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717"/>
        <w:gridCol w:w="5639"/>
      </w:tblGrid>
      <w:tr w:rsidR="00483351" w:rsidRPr="00050403" w14:paraId="2C025CAA" w14:textId="77777777" w:rsidTr="00686E75">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691E12E6" w14:textId="77777777" w:rsidR="00483351" w:rsidRPr="0017550C" w:rsidRDefault="00483351" w:rsidP="00F019DF">
            <w:pPr>
              <w:jc w:val="center"/>
              <w:rPr>
                <w:b/>
                <w:color w:val="000000" w:themeColor="text1"/>
                <w:sz w:val="28"/>
                <w:szCs w:val="28"/>
              </w:rPr>
            </w:pPr>
            <w:bookmarkStart w:id="0" w:name="_Hlk484253716"/>
            <w:bookmarkEnd w:id="0"/>
          </w:p>
          <w:p w14:paraId="41C7E1EA" w14:textId="77777777" w:rsidR="00483351" w:rsidRPr="00E93B98" w:rsidRDefault="00483351" w:rsidP="00F019DF">
            <w:pPr>
              <w:jc w:val="center"/>
              <w:rPr>
                <w:b/>
                <w:color w:val="000000" w:themeColor="text1"/>
                <w:sz w:val="32"/>
                <w:szCs w:val="28"/>
              </w:rPr>
            </w:pPr>
            <w:r w:rsidRPr="00E93B98">
              <w:rPr>
                <w:b/>
                <w:color w:val="000000" w:themeColor="text1"/>
                <w:sz w:val="32"/>
                <w:szCs w:val="28"/>
              </w:rPr>
              <w:t>БРОШЮРА ИССЛЕДОВАТЕЛЯ</w:t>
            </w:r>
          </w:p>
          <w:p w14:paraId="2C32981D" w14:textId="77777777" w:rsidR="00483351" w:rsidRPr="00050403" w:rsidRDefault="00483351" w:rsidP="00F019DF">
            <w:pPr>
              <w:jc w:val="center"/>
              <w:rPr>
                <w:b/>
                <w:color w:val="000000" w:themeColor="text1"/>
                <w:sz w:val="28"/>
                <w:szCs w:val="28"/>
                <w:highlight w:val="yellow"/>
                <w:lang w:eastAsia="en-US"/>
              </w:rPr>
            </w:pPr>
          </w:p>
        </w:tc>
      </w:tr>
      <w:tr w:rsidR="00483351" w:rsidRPr="00050403" w14:paraId="66E6FA84" w14:textId="77777777" w:rsidTr="00686E75">
        <w:trPr>
          <w:trHeight w:val="177"/>
        </w:trPr>
        <w:tc>
          <w:tcPr>
            <w:tcW w:w="3717" w:type="dxa"/>
            <w:tcBorders>
              <w:top w:val="thinThickSmallGap" w:sz="24" w:space="0" w:color="auto"/>
              <w:left w:val="thinThickSmallGap" w:sz="24" w:space="0" w:color="auto"/>
              <w:bottom w:val="nil"/>
              <w:right w:val="nil"/>
            </w:tcBorders>
          </w:tcPr>
          <w:p w14:paraId="71A9AE36" w14:textId="77777777" w:rsidR="00483351" w:rsidRPr="00050403" w:rsidRDefault="00483351" w:rsidP="00F019DF">
            <w:pPr>
              <w:jc w:val="left"/>
              <w:rPr>
                <w:b/>
                <w:color w:val="000000" w:themeColor="text1"/>
                <w:sz w:val="14"/>
                <w:highlight w:val="yellow"/>
                <w:lang w:val="en-US"/>
              </w:rPr>
            </w:pPr>
          </w:p>
        </w:tc>
        <w:tc>
          <w:tcPr>
            <w:tcW w:w="5639" w:type="dxa"/>
            <w:tcBorders>
              <w:top w:val="thinThickSmallGap" w:sz="24" w:space="0" w:color="auto"/>
              <w:left w:val="nil"/>
              <w:bottom w:val="nil"/>
              <w:right w:val="thickThinSmallGap" w:sz="24" w:space="0" w:color="auto"/>
            </w:tcBorders>
          </w:tcPr>
          <w:p w14:paraId="158D4043" w14:textId="77777777" w:rsidR="00483351" w:rsidRPr="00050403" w:rsidRDefault="00483351" w:rsidP="00F019DF">
            <w:pPr>
              <w:jc w:val="left"/>
              <w:rPr>
                <w:b/>
                <w:color w:val="000000" w:themeColor="text1"/>
                <w:sz w:val="14"/>
                <w:highlight w:val="yellow"/>
                <w:lang w:val="en-US"/>
              </w:rPr>
            </w:pPr>
          </w:p>
        </w:tc>
      </w:tr>
      <w:tr w:rsidR="00483351" w:rsidRPr="00A1562F" w14:paraId="3D20AFC3" w14:textId="77777777" w:rsidTr="00686E75">
        <w:trPr>
          <w:trHeight w:val="439"/>
        </w:trPr>
        <w:tc>
          <w:tcPr>
            <w:tcW w:w="3717" w:type="dxa"/>
            <w:tcBorders>
              <w:top w:val="nil"/>
              <w:left w:val="thinThickSmallGap" w:sz="24" w:space="0" w:color="auto"/>
              <w:bottom w:val="nil"/>
              <w:right w:val="nil"/>
            </w:tcBorders>
          </w:tcPr>
          <w:p w14:paraId="4625924A" w14:textId="77777777" w:rsidR="00483351" w:rsidRPr="00DB4906" w:rsidRDefault="00483351" w:rsidP="00F019DF">
            <w:pPr>
              <w:jc w:val="left"/>
              <w:rPr>
                <w:color w:val="000000" w:themeColor="text1"/>
                <w:highlight w:val="yellow"/>
                <w:lang w:eastAsia="en-US"/>
              </w:rPr>
            </w:pPr>
            <w:r w:rsidRPr="00DB4906">
              <w:rPr>
                <w:b/>
                <w:color w:val="000000" w:themeColor="text1"/>
              </w:rPr>
              <w:t>Код продукта:</w:t>
            </w:r>
          </w:p>
        </w:tc>
        <w:tc>
          <w:tcPr>
            <w:tcW w:w="5639" w:type="dxa"/>
            <w:tcBorders>
              <w:top w:val="nil"/>
              <w:left w:val="nil"/>
              <w:bottom w:val="nil"/>
              <w:right w:val="thickThinSmallGap" w:sz="24" w:space="0" w:color="auto"/>
            </w:tcBorders>
          </w:tcPr>
          <w:p w14:paraId="2A69EFC9" w14:textId="497823DA" w:rsidR="00483351" w:rsidRPr="00A1562F" w:rsidRDefault="00483351" w:rsidP="00F019DF">
            <w:pPr>
              <w:jc w:val="left"/>
              <w:rPr>
                <w:color w:val="000000" w:themeColor="text1"/>
                <w:highlight w:val="yellow"/>
                <w:lang w:eastAsia="en-US"/>
              </w:rPr>
            </w:pPr>
            <w:r w:rsidRPr="00904040">
              <w:rPr>
                <w:lang w:val="en-US" w:eastAsia="ru-RU"/>
              </w:rPr>
              <w:t>D</w:t>
            </w:r>
            <w:r w:rsidRPr="00904040">
              <w:rPr>
                <w:lang w:eastAsia="ru-RU"/>
              </w:rPr>
              <w:t>T-</w:t>
            </w:r>
            <w:r>
              <w:rPr>
                <w:lang w:val="en-US" w:eastAsia="ru-RU"/>
              </w:rPr>
              <w:t>LNG</w:t>
            </w:r>
            <w:r w:rsidRPr="00A1562F">
              <w:rPr>
                <w:lang w:eastAsia="ru-RU"/>
              </w:rPr>
              <w:t xml:space="preserve"> </w:t>
            </w:r>
            <w:r w:rsidRPr="00483351">
              <w:t>(</w:t>
            </w:r>
            <w:r w:rsidRPr="00483351">
              <w:rPr>
                <w:lang w:val="en-US"/>
              </w:rPr>
              <w:t>A</w:t>
            </w:r>
            <w:r>
              <w:t>10</w:t>
            </w:r>
            <w:r>
              <w:rPr>
                <w:lang w:val="en-US"/>
              </w:rPr>
              <w:t>1059</w:t>
            </w:r>
            <w:r w:rsidRPr="00483351">
              <w:t>)</w:t>
            </w:r>
          </w:p>
        </w:tc>
      </w:tr>
      <w:tr w:rsidR="00483351" w:rsidRPr="00DB4906" w14:paraId="289F9ADD" w14:textId="77777777" w:rsidTr="00686E75">
        <w:trPr>
          <w:trHeight w:val="391"/>
        </w:trPr>
        <w:tc>
          <w:tcPr>
            <w:tcW w:w="3717" w:type="dxa"/>
            <w:tcBorders>
              <w:top w:val="nil"/>
              <w:left w:val="thinThickSmallGap" w:sz="24" w:space="0" w:color="auto"/>
              <w:bottom w:val="nil"/>
              <w:right w:val="nil"/>
            </w:tcBorders>
          </w:tcPr>
          <w:p w14:paraId="2A039918" w14:textId="77777777" w:rsidR="00483351" w:rsidRPr="00DB4906" w:rsidRDefault="00483351" w:rsidP="00F019DF">
            <w:pPr>
              <w:jc w:val="left"/>
              <w:rPr>
                <w:b/>
                <w:color w:val="000000" w:themeColor="text1"/>
                <w:highlight w:val="yellow"/>
              </w:rPr>
            </w:pPr>
            <w:r w:rsidRPr="00DB4906">
              <w:rPr>
                <w:b/>
                <w:color w:val="000000" w:themeColor="text1"/>
              </w:rPr>
              <w:t>МНН:</w:t>
            </w:r>
          </w:p>
        </w:tc>
        <w:tc>
          <w:tcPr>
            <w:tcW w:w="5639" w:type="dxa"/>
            <w:tcBorders>
              <w:top w:val="nil"/>
              <w:left w:val="nil"/>
              <w:bottom w:val="nil"/>
              <w:right w:val="thickThinSmallGap" w:sz="24" w:space="0" w:color="auto"/>
            </w:tcBorders>
          </w:tcPr>
          <w:p w14:paraId="6714EB9C" w14:textId="01FC3E82" w:rsidR="00483351" w:rsidRPr="00DB4906" w:rsidRDefault="00571F9D" w:rsidP="00F019DF">
            <w:pPr>
              <w:jc w:val="left"/>
              <w:rPr>
                <w:bCs/>
                <w:color w:val="000000" w:themeColor="text1"/>
                <w:highlight w:val="yellow"/>
              </w:rPr>
            </w:pPr>
            <w:r>
              <w:rPr>
                <w:rFonts w:eastAsia="Times New Roman"/>
                <w:lang w:eastAsia="ru-RU"/>
              </w:rPr>
              <w:t>Линаглиптин</w:t>
            </w:r>
          </w:p>
        </w:tc>
      </w:tr>
      <w:tr w:rsidR="00483351" w:rsidRPr="00DB4906" w14:paraId="379036CF" w14:textId="77777777" w:rsidTr="00686E75">
        <w:trPr>
          <w:trHeight w:val="394"/>
        </w:trPr>
        <w:tc>
          <w:tcPr>
            <w:tcW w:w="3717" w:type="dxa"/>
            <w:tcBorders>
              <w:top w:val="nil"/>
              <w:left w:val="thinThickSmallGap" w:sz="24" w:space="0" w:color="auto"/>
              <w:bottom w:val="nil"/>
              <w:right w:val="nil"/>
            </w:tcBorders>
          </w:tcPr>
          <w:p w14:paraId="0E04C5F0" w14:textId="77777777" w:rsidR="00483351" w:rsidRPr="00DB4906" w:rsidRDefault="00483351" w:rsidP="00F019DF">
            <w:pPr>
              <w:jc w:val="left"/>
              <w:rPr>
                <w:b/>
                <w:color w:val="000000" w:themeColor="text1"/>
              </w:rPr>
            </w:pPr>
            <w:r w:rsidRPr="00DB4906">
              <w:rPr>
                <w:b/>
                <w:color w:val="000000" w:themeColor="text1"/>
              </w:rPr>
              <w:t>Торговое название</w:t>
            </w:r>
          </w:p>
        </w:tc>
        <w:tc>
          <w:tcPr>
            <w:tcW w:w="5639" w:type="dxa"/>
            <w:tcBorders>
              <w:top w:val="nil"/>
              <w:left w:val="nil"/>
              <w:bottom w:val="nil"/>
              <w:right w:val="thickThinSmallGap" w:sz="24" w:space="0" w:color="auto"/>
            </w:tcBorders>
          </w:tcPr>
          <w:p w14:paraId="682A3DC2" w14:textId="12EA0544" w:rsidR="00483351" w:rsidRPr="00DB4906" w:rsidRDefault="00571F9D" w:rsidP="00F019DF">
            <w:pPr>
              <w:rPr>
                <w:rFonts w:eastAsia="Calibri"/>
                <w:color w:val="000000" w:themeColor="text1"/>
              </w:rPr>
            </w:pPr>
            <w:r>
              <w:rPr>
                <w:rFonts w:eastAsiaTheme="minorHAnsi"/>
                <w:lang w:eastAsia="en-US"/>
              </w:rPr>
              <w:t>ЛИНАГЛИПТИН</w:t>
            </w:r>
          </w:p>
        </w:tc>
      </w:tr>
      <w:tr w:rsidR="00483351" w:rsidRPr="00DB4906" w14:paraId="1CA7F8D2" w14:textId="77777777" w:rsidTr="00686E75">
        <w:trPr>
          <w:trHeight w:val="319"/>
        </w:trPr>
        <w:tc>
          <w:tcPr>
            <w:tcW w:w="3717" w:type="dxa"/>
            <w:tcBorders>
              <w:top w:val="nil"/>
              <w:left w:val="thinThickSmallGap" w:sz="24" w:space="0" w:color="auto"/>
              <w:bottom w:val="nil"/>
              <w:right w:val="nil"/>
            </w:tcBorders>
            <w:hideMark/>
          </w:tcPr>
          <w:p w14:paraId="32937C4A" w14:textId="77777777" w:rsidR="00483351" w:rsidRPr="00DB4906" w:rsidRDefault="00483351" w:rsidP="00F019DF">
            <w:pPr>
              <w:jc w:val="left"/>
              <w:rPr>
                <w:b/>
                <w:color w:val="000000" w:themeColor="text1"/>
              </w:rPr>
            </w:pPr>
            <w:r w:rsidRPr="00DB4906">
              <w:rPr>
                <w:b/>
                <w:color w:val="000000" w:themeColor="text1"/>
              </w:rPr>
              <w:t>Лекарственная форма:</w:t>
            </w:r>
          </w:p>
        </w:tc>
        <w:tc>
          <w:tcPr>
            <w:tcW w:w="5639" w:type="dxa"/>
            <w:tcBorders>
              <w:top w:val="nil"/>
              <w:left w:val="nil"/>
              <w:bottom w:val="nil"/>
              <w:right w:val="thickThinSmallGap" w:sz="24" w:space="0" w:color="auto"/>
            </w:tcBorders>
            <w:hideMark/>
          </w:tcPr>
          <w:p w14:paraId="5F13FB99" w14:textId="0400315B" w:rsidR="00483351" w:rsidRPr="00DB4906" w:rsidRDefault="00483351" w:rsidP="00F019DF">
            <w:pPr>
              <w:rPr>
                <w:bCs/>
              </w:rPr>
            </w:pPr>
            <w:r w:rsidRPr="00DB4906">
              <w:t>Таблетки</w:t>
            </w:r>
            <w:r>
              <w:t>, покрытые пленочной оболочкой</w:t>
            </w:r>
          </w:p>
        </w:tc>
      </w:tr>
      <w:tr w:rsidR="00483351" w:rsidRPr="00A1562F" w14:paraId="1137BC8D" w14:textId="77777777" w:rsidTr="00686E75">
        <w:trPr>
          <w:trHeight w:val="1557"/>
        </w:trPr>
        <w:tc>
          <w:tcPr>
            <w:tcW w:w="3717" w:type="dxa"/>
            <w:tcBorders>
              <w:top w:val="nil"/>
              <w:left w:val="thinThickSmallGap" w:sz="24" w:space="0" w:color="auto"/>
              <w:bottom w:val="nil"/>
              <w:right w:val="nil"/>
            </w:tcBorders>
          </w:tcPr>
          <w:p w14:paraId="73015AC4" w14:textId="77777777" w:rsidR="00483351" w:rsidRPr="00DB4906" w:rsidRDefault="00483351" w:rsidP="00F019DF">
            <w:pPr>
              <w:jc w:val="left"/>
              <w:rPr>
                <w:rFonts w:eastAsia="Times New Roman"/>
                <w:b/>
                <w:color w:val="000000" w:themeColor="text1"/>
                <w:lang w:eastAsia="en-US"/>
              </w:rPr>
            </w:pPr>
            <w:r w:rsidRPr="00DB4906">
              <w:rPr>
                <w:b/>
                <w:color w:val="000000" w:themeColor="text1"/>
              </w:rPr>
              <w:t>Показание:</w:t>
            </w:r>
          </w:p>
          <w:p w14:paraId="1604002D" w14:textId="77777777" w:rsidR="00483351" w:rsidRPr="00DB4906" w:rsidRDefault="00483351" w:rsidP="00F019DF">
            <w:pPr>
              <w:jc w:val="left"/>
              <w:rPr>
                <w:color w:val="000000" w:themeColor="text1"/>
                <w:lang w:eastAsia="en-US"/>
              </w:rPr>
            </w:pPr>
          </w:p>
        </w:tc>
        <w:tc>
          <w:tcPr>
            <w:tcW w:w="5639" w:type="dxa"/>
            <w:tcBorders>
              <w:top w:val="nil"/>
              <w:left w:val="nil"/>
              <w:bottom w:val="nil"/>
              <w:right w:val="thickThinSmallGap" w:sz="24" w:space="0" w:color="auto"/>
            </w:tcBorders>
          </w:tcPr>
          <w:p w14:paraId="32877246" w14:textId="2860C139" w:rsidR="00483351" w:rsidRPr="00A1562F" w:rsidRDefault="00483351" w:rsidP="00FC2823">
            <w:pPr>
              <w:rPr>
                <w:bCs/>
              </w:rPr>
            </w:pPr>
            <w:r w:rsidRPr="00904040">
              <w:rPr>
                <w:lang w:eastAsia="ru-RU"/>
              </w:rPr>
              <w:t>Монотерапия (</w:t>
            </w:r>
            <w:r w:rsidR="00FC2823">
              <w:rPr>
                <w:lang w:eastAsia="ru-RU"/>
              </w:rPr>
              <w:t>при непереносимости метформина или противопоказании к его применению вследствие почечной недостаточности</w:t>
            </w:r>
            <w:r w:rsidRPr="00904040">
              <w:rPr>
                <w:lang w:eastAsia="ru-RU"/>
              </w:rPr>
              <w:t xml:space="preserve">) и комбинированная (в комбинации с </w:t>
            </w:r>
            <w:r w:rsidR="00FC2823">
              <w:rPr>
                <w:lang w:eastAsia="ru-RU"/>
              </w:rPr>
              <w:t>другими гипогликемическими лекарственными препаратами, включая инсулин</w:t>
            </w:r>
            <w:r w:rsidRPr="00A1562F">
              <w:rPr>
                <w:iCs/>
                <w:lang w:eastAsia="en-US"/>
              </w:rPr>
              <w:t>)</w:t>
            </w:r>
            <w:r w:rsidRPr="00A1562F">
              <w:rPr>
                <w:lang w:eastAsia="ru-RU"/>
              </w:rPr>
              <w:t xml:space="preserve"> терапия сахарного диабета 2 типа </w:t>
            </w:r>
          </w:p>
        </w:tc>
      </w:tr>
      <w:tr w:rsidR="00483351" w:rsidRPr="00904040" w14:paraId="3F26DADC" w14:textId="77777777" w:rsidTr="00686E75">
        <w:trPr>
          <w:trHeight w:val="987"/>
        </w:trPr>
        <w:tc>
          <w:tcPr>
            <w:tcW w:w="3717" w:type="dxa"/>
            <w:tcBorders>
              <w:top w:val="nil"/>
              <w:left w:val="thinThickSmallGap" w:sz="24" w:space="0" w:color="auto"/>
              <w:bottom w:val="nil"/>
              <w:right w:val="nil"/>
            </w:tcBorders>
          </w:tcPr>
          <w:p w14:paraId="22492DE3" w14:textId="77777777" w:rsidR="00483351" w:rsidRPr="00DB4906" w:rsidRDefault="00483351" w:rsidP="00F019DF">
            <w:pPr>
              <w:jc w:val="left"/>
              <w:rPr>
                <w:rFonts w:eastAsia="Calibri"/>
                <w:b/>
                <w:color w:val="000000" w:themeColor="text1"/>
                <w:highlight w:val="yellow"/>
                <w:lang w:eastAsia="en-US"/>
              </w:rPr>
            </w:pPr>
            <w:r w:rsidRPr="00DB4906">
              <w:rPr>
                <w:rFonts w:eastAsia="Calibri"/>
                <w:b/>
                <w:color w:val="000000" w:themeColor="text1"/>
              </w:rPr>
              <w:t>Идентификационный номер протокола клинического исследования:</w:t>
            </w:r>
          </w:p>
        </w:tc>
        <w:tc>
          <w:tcPr>
            <w:tcW w:w="5639" w:type="dxa"/>
            <w:tcBorders>
              <w:top w:val="nil"/>
              <w:left w:val="nil"/>
              <w:bottom w:val="nil"/>
              <w:right w:val="thickThinSmallGap" w:sz="24" w:space="0" w:color="auto"/>
            </w:tcBorders>
            <w:hideMark/>
          </w:tcPr>
          <w:p w14:paraId="6C722DEF" w14:textId="77777777" w:rsidR="00483351" w:rsidRPr="00DB4906" w:rsidRDefault="00483351" w:rsidP="00F019DF">
            <w:pPr>
              <w:rPr>
                <w:rFonts w:eastAsia="Calibri"/>
                <w:color w:val="000000" w:themeColor="text1"/>
                <w:highlight w:val="yellow"/>
                <w:lang w:eastAsia="en-US"/>
              </w:rPr>
            </w:pPr>
          </w:p>
          <w:p w14:paraId="73592D2C" w14:textId="184D9004" w:rsidR="00483351" w:rsidRPr="00904040" w:rsidRDefault="00483351" w:rsidP="00F019DF">
            <w:pPr>
              <w:rPr>
                <w:rFonts w:eastAsia="Calibri"/>
                <w:highlight w:val="yellow"/>
                <w:lang w:eastAsia="en-US"/>
              </w:rPr>
            </w:pPr>
            <w:r>
              <w:rPr>
                <w:rFonts w:eastAsia="Times New Roman"/>
                <w:lang w:val="en-US" w:eastAsia="en-US"/>
              </w:rPr>
              <w:t>CA</w:t>
            </w:r>
            <w:r w:rsidRPr="00BE4B51">
              <w:rPr>
                <w:rFonts w:eastAsia="Times New Roman"/>
                <w:lang w:eastAsia="en-US"/>
              </w:rPr>
              <w:t>101059165</w:t>
            </w:r>
          </w:p>
        </w:tc>
      </w:tr>
      <w:tr w:rsidR="00483351" w:rsidRPr="00DB4906" w14:paraId="205E7F02" w14:textId="77777777" w:rsidTr="00686E75">
        <w:trPr>
          <w:trHeight w:val="461"/>
        </w:trPr>
        <w:tc>
          <w:tcPr>
            <w:tcW w:w="3717" w:type="dxa"/>
            <w:tcBorders>
              <w:top w:val="nil"/>
              <w:left w:val="thinThickSmallGap" w:sz="24" w:space="0" w:color="auto"/>
              <w:bottom w:val="nil"/>
              <w:right w:val="nil"/>
            </w:tcBorders>
          </w:tcPr>
          <w:p w14:paraId="50A6F6B9" w14:textId="77777777" w:rsidR="00483351" w:rsidRPr="00DB4906" w:rsidRDefault="00483351" w:rsidP="00F019DF">
            <w:pPr>
              <w:jc w:val="left"/>
              <w:rPr>
                <w:rFonts w:eastAsia="Times New Roman"/>
                <w:b/>
                <w:bCs/>
                <w:iCs/>
                <w:color w:val="000000" w:themeColor="text1"/>
                <w:lang w:eastAsia="en-US"/>
              </w:rPr>
            </w:pPr>
            <w:r w:rsidRPr="00DB4906">
              <w:rPr>
                <w:b/>
                <w:color w:val="000000" w:themeColor="text1"/>
              </w:rPr>
              <w:t>Номер версии:</w:t>
            </w:r>
          </w:p>
        </w:tc>
        <w:tc>
          <w:tcPr>
            <w:tcW w:w="5639" w:type="dxa"/>
            <w:tcBorders>
              <w:top w:val="nil"/>
              <w:left w:val="nil"/>
              <w:bottom w:val="nil"/>
              <w:right w:val="thickThinSmallGap" w:sz="24" w:space="0" w:color="auto"/>
            </w:tcBorders>
            <w:hideMark/>
          </w:tcPr>
          <w:p w14:paraId="3053F804" w14:textId="77777777" w:rsidR="00483351" w:rsidRPr="00DB4906" w:rsidRDefault="00483351" w:rsidP="00F019DF">
            <w:pPr>
              <w:jc w:val="left"/>
              <w:rPr>
                <w:b/>
                <w:bCs/>
                <w:iCs/>
                <w:color w:val="000000" w:themeColor="text1"/>
                <w:lang w:eastAsia="en-US"/>
              </w:rPr>
            </w:pPr>
            <w:r w:rsidRPr="00DB4906">
              <w:rPr>
                <w:color w:val="000000" w:themeColor="text1"/>
              </w:rPr>
              <w:t>1.0</w:t>
            </w:r>
          </w:p>
        </w:tc>
      </w:tr>
      <w:tr w:rsidR="00483351" w:rsidRPr="00A1562F" w14:paraId="0AC62AD1" w14:textId="77777777" w:rsidTr="00105893">
        <w:trPr>
          <w:trHeight w:val="282"/>
        </w:trPr>
        <w:tc>
          <w:tcPr>
            <w:tcW w:w="3717" w:type="dxa"/>
            <w:tcBorders>
              <w:top w:val="nil"/>
              <w:left w:val="thinThickSmallGap" w:sz="24" w:space="0" w:color="auto"/>
              <w:bottom w:val="nil"/>
              <w:right w:val="nil"/>
            </w:tcBorders>
            <w:hideMark/>
          </w:tcPr>
          <w:p w14:paraId="643B2320" w14:textId="77777777" w:rsidR="00483351" w:rsidRPr="006F13E9" w:rsidRDefault="00483351" w:rsidP="00F019DF">
            <w:pPr>
              <w:rPr>
                <w:rFonts w:eastAsia="Calibri"/>
                <w:b/>
                <w:color w:val="000000" w:themeColor="text1"/>
                <w:lang w:eastAsia="en-US"/>
              </w:rPr>
            </w:pPr>
            <w:r w:rsidRPr="006F13E9">
              <w:rPr>
                <w:rFonts w:eastAsia="Calibri"/>
                <w:b/>
                <w:color w:val="000000" w:themeColor="text1"/>
              </w:rPr>
              <w:t>Дата версии:</w:t>
            </w:r>
          </w:p>
        </w:tc>
        <w:tc>
          <w:tcPr>
            <w:tcW w:w="5639" w:type="dxa"/>
            <w:tcBorders>
              <w:top w:val="nil"/>
              <w:left w:val="nil"/>
              <w:bottom w:val="nil"/>
              <w:right w:val="thickThinSmallGap" w:sz="24" w:space="0" w:color="auto"/>
            </w:tcBorders>
            <w:hideMark/>
          </w:tcPr>
          <w:p w14:paraId="4BBF73B1" w14:textId="46BB933C" w:rsidR="00483351" w:rsidRPr="006F13E9" w:rsidRDefault="00BE477C" w:rsidP="006F13E9">
            <w:pPr>
              <w:rPr>
                <w:rFonts w:eastAsia="Calibri"/>
                <w:color w:val="000000" w:themeColor="text1"/>
                <w:lang w:eastAsia="en-US"/>
              </w:rPr>
            </w:pPr>
            <w:r>
              <w:rPr>
                <w:rFonts w:eastAsia="Calibri"/>
                <w:color w:val="000000" w:themeColor="text1"/>
              </w:rPr>
              <w:t>23</w:t>
            </w:r>
            <w:r w:rsidR="00483351" w:rsidRPr="006F13E9">
              <w:rPr>
                <w:rFonts w:eastAsiaTheme="minorEastAsia"/>
                <w:color w:val="000000" w:themeColor="text1"/>
              </w:rPr>
              <w:t xml:space="preserve"> </w:t>
            </w:r>
            <w:r w:rsidR="006F13E9">
              <w:rPr>
                <w:rFonts w:eastAsiaTheme="minorEastAsia"/>
                <w:color w:val="000000" w:themeColor="text1"/>
              </w:rPr>
              <w:t>июня</w:t>
            </w:r>
            <w:r w:rsidR="00483351" w:rsidRPr="006F13E9">
              <w:rPr>
                <w:rFonts w:eastAsia="Calibri"/>
                <w:color w:val="000000" w:themeColor="text1"/>
              </w:rPr>
              <w:t xml:space="preserve"> 202</w:t>
            </w:r>
            <w:r w:rsidR="006F13E9">
              <w:rPr>
                <w:rFonts w:eastAsia="Calibri"/>
                <w:color w:val="000000" w:themeColor="text1"/>
              </w:rPr>
              <w:t>3</w:t>
            </w:r>
            <w:r w:rsidR="00483351" w:rsidRPr="006F13E9">
              <w:rPr>
                <w:rFonts w:eastAsia="Calibri"/>
                <w:color w:val="000000" w:themeColor="text1"/>
              </w:rPr>
              <w:t xml:space="preserve"> г.</w:t>
            </w:r>
          </w:p>
        </w:tc>
      </w:tr>
      <w:tr w:rsidR="00483351" w:rsidRPr="0017550C" w14:paraId="6EE77963" w14:textId="77777777" w:rsidTr="00105893">
        <w:trPr>
          <w:trHeight w:val="129"/>
        </w:trPr>
        <w:tc>
          <w:tcPr>
            <w:tcW w:w="3717" w:type="dxa"/>
            <w:tcBorders>
              <w:top w:val="nil"/>
              <w:left w:val="thinThickSmallGap" w:sz="24" w:space="0" w:color="auto"/>
              <w:bottom w:val="nil"/>
              <w:right w:val="nil"/>
            </w:tcBorders>
          </w:tcPr>
          <w:p w14:paraId="6F653B69" w14:textId="77777777" w:rsidR="00483351" w:rsidRPr="006F13E9" w:rsidRDefault="00483351" w:rsidP="00F019DF">
            <w:pPr>
              <w:rPr>
                <w:rFonts w:eastAsia="Calibri"/>
                <w:b/>
                <w:color w:val="000000" w:themeColor="text1"/>
              </w:rPr>
            </w:pPr>
            <w:r w:rsidRPr="006F13E9">
              <w:rPr>
                <w:rFonts w:eastAsia="Calibri"/>
                <w:b/>
                <w:color w:val="000000" w:themeColor="text1"/>
              </w:rPr>
              <w:t>Дата окончания сбора данных</w:t>
            </w:r>
          </w:p>
        </w:tc>
        <w:tc>
          <w:tcPr>
            <w:tcW w:w="5639" w:type="dxa"/>
            <w:tcBorders>
              <w:top w:val="nil"/>
              <w:left w:val="nil"/>
              <w:bottom w:val="nil"/>
              <w:right w:val="thickThinSmallGap" w:sz="24" w:space="0" w:color="auto"/>
            </w:tcBorders>
          </w:tcPr>
          <w:p w14:paraId="19A520C9" w14:textId="5FD4C376" w:rsidR="00483351" w:rsidRPr="006F13E9" w:rsidRDefault="00483351" w:rsidP="006F13E9">
            <w:pPr>
              <w:rPr>
                <w:rFonts w:eastAsia="Calibri"/>
                <w:color w:val="000000" w:themeColor="text1"/>
              </w:rPr>
            </w:pPr>
            <w:r w:rsidRPr="006F13E9">
              <w:rPr>
                <w:rFonts w:eastAsia="Calibri"/>
                <w:color w:val="000000" w:themeColor="text1"/>
              </w:rPr>
              <w:t xml:space="preserve">18 </w:t>
            </w:r>
            <w:r w:rsidR="006F13E9">
              <w:rPr>
                <w:rFonts w:eastAsia="Calibri"/>
                <w:color w:val="000000" w:themeColor="text1"/>
              </w:rPr>
              <w:t>ноября</w:t>
            </w:r>
            <w:r w:rsidRPr="006F13E9">
              <w:rPr>
                <w:rFonts w:eastAsia="Calibri"/>
                <w:color w:val="000000" w:themeColor="text1"/>
              </w:rPr>
              <w:t xml:space="preserve"> 2022 г.</w:t>
            </w:r>
          </w:p>
        </w:tc>
      </w:tr>
      <w:tr w:rsidR="00483351" w:rsidRPr="00DB4906" w14:paraId="5445427A" w14:textId="77777777" w:rsidTr="00105893">
        <w:trPr>
          <w:trHeight w:val="563"/>
        </w:trPr>
        <w:tc>
          <w:tcPr>
            <w:tcW w:w="3717" w:type="dxa"/>
            <w:tcBorders>
              <w:top w:val="nil"/>
              <w:left w:val="thinThickSmallGap" w:sz="24" w:space="0" w:color="auto"/>
              <w:bottom w:val="nil"/>
              <w:right w:val="nil"/>
            </w:tcBorders>
            <w:hideMark/>
          </w:tcPr>
          <w:p w14:paraId="4128B7E9" w14:textId="77777777" w:rsidR="00483351" w:rsidRPr="006F13E9" w:rsidRDefault="00483351" w:rsidP="00F019DF">
            <w:pPr>
              <w:jc w:val="left"/>
              <w:rPr>
                <w:b/>
                <w:bCs/>
                <w:iCs/>
                <w:color w:val="000000" w:themeColor="text1"/>
                <w:lang w:eastAsia="en-US"/>
              </w:rPr>
            </w:pPr>
            <w:r w:rsidRPr="006F13E9">
              <w:rPr>
                <w:b/>
                <w:color w:val="000000" w:themeColor="text1"/>
              </w:rPr>
              <w:t>Заменяет предыдущую версию номер:</w:t>
            </w:r>
          </w:p>
        </w:tc>
        <w:tc>
          <w:tcPr>
            <w:tcW w:w="5639" w:type="dxa"/>
            <w:tcBorders>
              <w:top w:val="nil"/>
              <w:left w:val="nil"/>
              <w:bottom w:val="nil"/>
              <w:right w:val="thickThinSmallGap" w:sz="24" w:space="0" w:color="auto"/>
            </w:tcBorders>
            <w:hideMark/>
          </w:tcPr>
          <w:p w14:paraId="522443AE" w14:textId="77777777" w:rsidR="00483351" w:rsidRPr="006F13E9" w:rsidRDefault="00483351" w:rsidP="00F019DF">
            <w:pPr>
              <w:jc w:val="left"/>
              <w:rPr>
                <w:b/>
                <w:bCs/>
                <w:iCs/>
                <w:color w:val="000000" w:themeColor="text1"/>
                <w:lang w:eastAsia="en-US"/>
              </w:rPr>
            </w:pPr>
            <w:r w:rsidRPr="006F13E9">
              <w:rPr>
                <w:color w:val="000000" w:themeColor="text1"/>
              </w:rPr>
              <w:t xml:space="preserve">Не применимо </w:t>
            </w:r>
          </w:p>
        </w:tc>
      </w:tr>
      <w:tr w:rsidR="00483351" w:rsidRPr="00DB4906" w14:paraId="0626239A" w14:textId="77777777" w:rsidTr="00686E75">
        <w:trPr>
          <w:trHeight w:val="265"/>
        </w:trPr>
        <w:tc>
          <w:tcPr>
            <w:tcW w:w="3717" w:type="dxa"/>
            <w:tcBorders>
              <w:top w:val="nil"/>
              <w:left w:val="thinThickSmallGap" w:sz="24" w:space="0" w:color="auto"/>
              <w:bottom w:val="nil"/>
              <w:right w:val="nil"/>
            </w:tcBorders>
          </w:tcPr>
          <w:p w14:paraId="00141B1D" w14:textId="77777777" w:rsidR="00483351" w:rsidRPr="00DB4906" w:rsidRDefault="00483351" w:rsidP="00F019DF">
            <w:pPr>
              <w:jc w:val="left"/>
              <w:rPr>
                <w:b/>
                <w:color w:val="000000" w:themeColor="text1"/>
              </w:rPr>
            </w:pPr>
            <w:r w:rsidRPr="00DB4906">
              <w:rPr>
                <w:b/>
                <w:color w:val="000000" w:themeColor="text1"/>
              </w:rPr>
              <w:t>Дата предыдущей версии:</w:t>
            </w:r>
          </w:p>
        </w:tc>
        <w:tc>
          <w:tcPr>
            <w:tcW w:w="5639" w:type="dxa"/>
            <w:tcBorders>
              <w:top w:val="nil"/>
              <w:left w:val="nil"/>
              <w:bottom w:val="nil"/>
              <w:right w:val="thickThinSmallGap" w:sz="24" w:space="0" w:color="auto"/>
            </w:tcBorders>
          </w:tcPr>
          <w:p w14:paraId="1E60E461" w14:textId="77777777" w:rsidR="00483351" w:rsidRPr="00DB4906" w:rsidRDefault="00483351" w:rsidP="00F019DF">
            <w:pPr>
              <w:jc w:val="left"/>
              <w:rPr>
                <w:color w:val="000000" w:themeColor="text1"/>
                <w:lang w:val="en-US"/>
              </w:rPr>
            </w:pPr>
            <w:r w:rsidRPr="00DB4906">
              <w:rPr>
                <w:color w:val="000000" w:themeColor="text1"/>
              </w:rPr>
              <w:t>Не применимо</w:t>
            </w:r>
          </w:p>
        </w:tc>
      </w:tr>
      <w:tr w:rsidR="00483351" w:rsidRPr="00DB4906" w14:paraId="22230116" w14:textId="77777777" w:rsidTr="00105893">
        <w:trPr>
          <w:trHeight w:val="1635"/>
        </w:trPr>
        <w:tc>
          <w:tcPr>
            <w:tcW w:w="3717" w:type="dxa"/>
            <w:tcBorders>
              <w:top w:val="single" w:sz="4" w:space="0" w:color="auto"/>
              <w:left w:val="thinThickSmallGap" w:sz="24" w:space="0" w:color="auto"/>
              <w:bottom w:val="nil"/>
              <w:right w:val="nil"/>
            </w:tcBorders>
          </w:tcPr>
          <w:p w14:paraId="00307B34" w14:textId="77777777" w:rsidR="00483351" w:rsidRPr="00DB4906" w:rsidRDefault="00483351" w:rsidP="00105893">
            <w:pPr>
              <w:spacing w:before="120"/>
              <w:jc w:val="left"/>
              <w:rPr>
                <w:rFonts w:eastAsia="Calibri"/>
                <w:b/>
                <w:color w:val="000000" w:themeColor="text1"/>
              </w:rPr>
            </w:pPr>
            <w:r w:rsidRPr="00DB4906">
              <w:rPr>
                <w:rFonts w:eastAsia="Calibri"/>
                <w:b/>
                <w:color w:val="000000" w:themeColor="text1"/>
              </w:rPr>
              <w:t>Наименование/имя и адрес спонсора (монитора) клинического исследования:</w:t>
            </w:r>
          </w:p>
          <w:p w14:paraId="5EF32C77" w14:textId="77777777" w:rsidR="00483351" w:rsidRPr="00DB4906" w:rsidRDefault="00483351" w:rsidP="00105893">
            <w:pPr>
              <w:spacing w:before="120"/>
              <w:jc w:val="left"/>
              <w:rPr>
                <w:rFonts w:eastAsia="Calibri"/>
                <w:color w:val="000000" w:themeColor="text1"/>
                <w:lang w:eastAsia="en-US"/>
              </w:rPr>
            </w:pPr>
          </w:p>
        </w:tc>
        <w:tc>
          <w:tcPr>
            <w:tcW w:w="5639" w:type="dxa"/>
            <w:tcBorders>
              <w:top w:val="single" w:sz="4" w:space="0" w:color="auto"/>
              <w:left w:val="nil"/>
              <w:bottom w:val="nil"/>
              <w:right w:val="thickThinSmallGap" w:sz="24" w:space="0" w:color="auto"/>
            </w:tcBorders>
            <w:hideMark/>
          </w:tcPr>
          <w:p w14:paraId="31FDC260" w14:textId="77777777" w:rsidR="00483351" w:rsidRPr="0017550C" w:rsidRDefault="00483351" w:rsidP="00105893">
            <w:pPr>
              <w:spacing w:before="120"/>
              <w:jc w:val="left"/>
              <w:rPr>
                <w:rFonts w:eastAsia="Calibri"/>
              </w:rPr>
            </w:pPr>
            <w:r w:rsidRPr="0017550C">
              <w:rPr>
                <w:rFonts w:eastAsia="Calibri"/>
              </w:rPr>
              <w:t xml:space="preserve">АО «Р-Фарм», Россия </w:t>
            </w:r>
          </w:p>
          <w:p w14:paraId="6F16A960" w14:textId="77777777" w:rsidR="00483351" w:rsidRPr="0017550C" w:rsidRDefault="00483351" w:rsidP="00105893">
            <w:pPr>
              <w:jc w:val="left"/>
              <w:rPr>
                <w:rFonts w:eastAsia="Calibri"/>
              </w:rPr>
            </w:pPr>
            <w:r w:rsidRPr="0017550C">
              <w:rPr>
                <w:rFonts w:eastAsia="Calibri"/>
              </w:rPr>
              <w:t xml:space="preserve">Юридический адрес: </w:t>
            </w:r>
            <w:r w:rsidRPr="0017550C">
              <w:t>123154, Москва, ул.  Берзарина, д. 19, корп. 1.</w:t>
            </w:r>
          </w:p>
          <w:p w14:paraId="536CB32C" w14:textId="77777777" w:rsidR="00483351" w:rsidRPr="0017550C" w:rsidRDefault="00483351" w:rsidP="00105893">
            <w:pPr>
              <w:jc w:val="left"/>
              <w:rPr>
                <w:rFonts w:eastAsia="Calibri"/>
              </w:rPr>
            </w:pPr>
            <w:r w:rsidRPr="0017550C">
              <w:rPr>
                <w:rFonts w:eastAsia="Calibri"/>
              </w:rPr>
              <w:t>Тел.: +7 (495) 956-79-37, факс: +7 (495) 956-79-38.</w:t>
            </w:r>
          </w:p>
          <w:p w14:paraId="0C227D06" w14:textId="77777777" w:rsidR="00483351" w:rsidRPr="00DB4906" w:rsidRDefault="00483351" w:rsidP="00105893">
            <w:pPr>
              <w:jc w:val="left"/>
              <w:rPr>
                <w:rFonts w:eastAsia="Calibri"/>
                <w:color w:val="000000" w:themeColor="text1"/>
                <w:lang w:eastAsia="en-US"/>
              </w:rPr>
            </w:pPr>
            <w:r w:rsidRPr="0017550C">
              <w:rPr>
                <w:rFonts w:eastAsia="Calibri"/>
              </w:rPr>
              <w:t xml:space="preserve">Эл. почта: </w:t>
            </w:r>
            <w:r w:rsidRPr="0017550C">
              <w:rPr>
                <w:lang w:val="en-US"/>
              </w:rPr>
              <w:t>info</w:t>
            </w:r>
            <w:r w:rsidRPr="0017550C">
              <w:t>@</w:t>
            </w:r>
            <w:r w:rsidRPr="0017550C">
              <w:rPr>
                <w:lang w:val="en-US"/>
              </w:rPr>
              <w:t>rpharm</w:t>
            </w:r>
            <w:r w:rsidRPr="0017550C">
              <w:t>.</w:t>
            </w:r>
            <w:r w:rsidRPr="0017550C">
              <w:rPr>
                <w:lang w:val="en-US"/>
              </w:rPr>
              <w:t>ru</w:t>
            </w:r>
          </w:p>
        </w:tc>
      </w:tr>
      <w:tr w:rsidR="00105893" w:rsidRPr="00DB4906" w14:paraId="085AEDAD" w14:textId="77777777" w:rsidTr="00BA60AC">
        <w:trPr>
          <w:trHeight w:val="2136"/>
        </w:trPr>
        <w:tc>
          <w:tcPr>
            <w:tcW w:w="3717" w:type="dxa"/>
            <w:tcBorders>
              <w:top w:val="single" w:sz="4" w:space="0" w:color="auto"/>
              <w:left w:val="thinThickSmallGap" w:sz="24" w:space="0" w:color="auto"/>
              <w:bottom w:val="nil"/>
              <w:right w:val="nil"/>
            </w:tcBorders>
          </w:tcPr>
          <w:p w14:paraId="33ED5B6C" w14:textId="52412F11" w:rsidR="00105893" w:rsidRPr="00DB4906" w:rsidRDefault="00105893" w:rsidP="00105893">
            <w:pPr>
              <w:spacing w:before="120"/>
              <w:jc w:val="left"/>
              <w:rPr>
                <w:rFonts w:eastAsia="Calibri"/>
                <w:color w:val="000000" w:themeColor="text1"/>
                <w:lang w:eastAsia="en-US"/>
              </w:rPr>
            </w:pPr>
            <w:r w:rsidRPr="00F14624">
              <w:rPr>
                <w:rFonts w:eastAsia="Calibri"/>
                <w:b/>
              </w:rPr>
              <w:t>Ф.И.О., должность, адрес и номер телефона назначенного спонсором медицинского эксперта по данному исследованию:</w:t>
            </w:r>
          </w:p>
        </w:tc>
        <w:tc>
          <w:tcPr>
            <w:tcW w:w="5639" w:type="dxa"/>
            <w:tcBorders>
              <w:top w:val="single" w:sz="4" w:space="0" w:color="auto"/>
              <w:left w:val="nil"/>
              <w:bottom w:val="nil"/>
              <w:right w:val="thickThinSmallGap" w:sz="24" w:space="0" w:color="auto"/>
            </w:tcBorders>
          </w:tcPr>
          <w:p w14:paraId="7D7F6D92" w14:textId="77777777" w:rsidR="00105893" w:rsidRPr="00F14624" w:rsidRDefault="00105893" w:rsidP="00105893">
            <w:pPr>
              <w:spacing w:before="120"/>
              <w:rPr>
                <w:rFonts w:eastAsia="Calibri"/>
              </w:rPr>
            </w:pPr>
            <w:r>
              <w:rPr>
                <w:rFonts w:eastAsia="Calibri"/>
                <w:b/>
              </w:rPr>
              <w:t xml:space="preserve">Отпущенникова </w:t>
            </w:r>
            <w:r w:rsidRPr="00725291">
              <w:rPr>
                <w:rFonts w:eastAsia="Calibri"/>
                <w:b/>
              </w:rPr>
              <w:t>Мария Викторовна</w:t>
            </w:r>
            <w:r w:rsidRPr="00F14624">
              <w:rPr>
                <w:rFonts w:eastAsia="Calibri"/>
              </w:rPr>
              <w:t>,</w:t>
            </w:r>
          </w:p>
          <w:p w14:paraId="1C9B8063" w14:textId="77777777" w:rsidR="00105893" w:rsidRPr="00F14624" w:rsidRDefault="00105893" w:rsidP="00105893">
            <w:pPr>
              <w:rPr>
                <w:rFonts w:eastAsia="Calibri"/>
              </w:rPr>
            </w:pPr>
            <w:r>
              <w:rPr>
                <w:rFonts w:eastAsia="Calibri"/>
              </w:rPr>
              <w:t>Медицинский монитор Отдела локальных клинических исследований</w:t>
            </w:r>
            <w:r w:rsidRPr="00F14624">
              <w:rPr>
                <w:rFonts w:eastAsia="Calibri"/>
              </w:rPr>
              <w:t xml:space="preserve"> Департамента доклинической и клинической разработки МД АО «Р-Фарм»</w:t>
            </w:r>
          </w:p>
          <w:p w14:paraId="149923AB" w14:textId="77777777" w:rsidR="00105893" w:rsidRPr="00CE259D" w:rsidRDefault="00105893" w:rsidP="00105893">
            <w:pPr>
              <w:rPr>
                <w:rFonts w:eastAsia="Calibri"/>
                <w:sz w:val="20"/>
              </w:rPr>
            </w:pPr>
            <w:r w:rsidRPr="00CE259D">
              <w:rPr>
                <w:rFonts w:eastAsia="Calibri"/>
                <w:sz w:val="20"/>
              </w:rPr>
              <w:t xml:space="preserve">Адрес: Ленинский проспект, д.111, к.1, Москва 119421, Российская Федерация </w:t>
            </w:r>
          </w:p>
          <w:p w14:paraId="51FA1875" w14:textId="77777777" w:rsidR="00105893" w:rsidRPr="00CE259D" w:rsidRDefault="00105893" w:rsidP="00105893">
            <w:pPr>
              <w:rPr>
                <w:rFonts w:eastAsia="Calibri"/>
                <w:sz w:val="20"/>
              </w:rPr>
            </w:pPr>
            <w:r>
              <w:rPr>
                <w:rFonts w:eastAsia="Calibri"/>
                <w:sz w:val="20"/>
              </w:rPr>
              <w:t>Тел.: +7 (495) 956-79-37, моб.: +7 (964) 791-95-89</w:t>
            </w:r>
            <w:r w:rsidRPr="00CE259D">
              <w:rPr>
                <w:rFonts w:eastAsia="Calibri"/>
                <w:sz w:val="20"/>
              </w:rPr>
              <w:t>.</w:t>
            </w:r>
          </w:p>
          <w:p w14:paraId="0B6F5B2B" w14:textId="08B10B1D" w:rsidR="00105893" w:rsidRDefault="00105893" w:rsidP="00105893">
            <w:pPr>
              <w:rPr>
                <w:rFonts w:eastAsia="Calibri"/>
                <w:sz w:val="20"/>
              </w:rPr>
            </w:pPr>
            <w:r w:rsidRPr="00CE259D">
              <w:rPr>
                <w:rFonts w:eastAsia="Calibri"/>
                <w:sz w:val="20"/>
              </w:rPr>
              <w:t xml:space="preserve">Эл. почта: </w:t>
            </w:r>
            <w:hyperlink r:id="rId8" w:history="1">
              <w:r w:rsidRPr="00091E04">
                <w:rPr>
                  <w:rStyle w:val="aa"/>
                  <w:rFonts w:eastAsia="Calibri"/>
                  <w:sz w:val="20"/>
                </w:rPr>
                <w:t>mv.otpuschennikova@rpharm.ru</w:t>
              </w:r>
            </w:hyperlink>
          </w:p>
          <w:p w14:paraId="1BFB077C" w14:textId="23D05C3D" w:rsidR="00105893" w:rsidRPr="00DB4906" w:rsidRDefault="00105893" w:rsidP="00105893">
            <w:pPr>
              <w:rPr>
                <w:rFonts w:eastAsia="Calibri"/>
                <w:color w:val="000000" w:themeColor="text1"/>
                <w:lang w:val="de-DE" w:eastAsia="en-US"/>
              </w:rPr>
            </w:pPr>
          </w:p>
        </w:tc>
      </w:tr>
      <w:tr w:rsidR="00483351" w:rsidRPr="002E30B9" w14:paraId="3846EAED" w14:textId="77777777" w:rsidTr="00105893">
        <w:trPr>
          <w:trHeight w:val="1321"/>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235CC038" w14:textId="77777777" w:rsidR="00483351" w:rsidRPr="002E30B9" w:rsidRDefault="00483351" w:rsidP="00F019DF">
            <w:pPr>
              <w:jc w:val="center"/>
              <w:rPr>
                <w:rFonts w:eastAsia="Calibri"/>
                <w:color w:val="000000" w:themeColor="text1"/>
                <w:sz w:val="20"/>
                <w:szCs w:val="20"/>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5C910971" w14:textId="77777777" w:rsidR="00E30437" w:rsidRPr="005E6358" w:rsidRDefault="00E30437" w:rsidP="004C505D">
      <w:pPr>
        <w:pStyle w:val="12"/>
        <w:spacing w:line="240" w:lineRule="auto"/>
        <w:rPr>
          <w:rFonts w:cs="Times New Roman"/>
          <w:color w:val="000000" w:themeColor="text1"/>
          <w:szCs w:val="24"/>
        </w:rPr>
      </w:pPr>
      <w:bookmarkStart w:id="1" w:name="_Toc139361914"/>
      <w:r w:rsidRPr="005E6358">
        <w:rPr>
          <w:rFonts w:cs="Times New Roman"/>
          <w:color w:val="000000" w:themeColor="text1"/>
          <w:szCs w:val="24"/>
        </w:rPr>
        <w:lastRenderedPageBreak/>
        <w:t>СОДЕРЖАНИЕ</w:t>
      </w:r>
      <w:bookmarkEnd w:id="1"/>
    </w:p>
    <w:p w14:paraId="0ECD5428" w14:textId="0F3E17C1" w:rsidR="007F5E52" w:rsidRPr="007F5E52" w:rsidRDefault="005C3F89">
      <w:pPr>
        <w:pStyle w:val="14"/>
        <w:rPr>
          <w:rFonts w:eastAsiaTheme="minorEastAsia"/>
          <w:noProof/>
          <w:lang w:eastAsia="ru-RU"/>
        </w:rPr>
      </w:pPr>
      <w:r w:rsidRPr="007F5E52">
        <w:rPr>
          <w:color w:val="000000" w:themeColor="text1"/>
        </w:rPr>
        <w:fldChar w:fldCharType="begin"/>
      </w:r>
      <w:r w:rsidR="00B30F15" w:rsidRPr="007F5E52">
        <w:rPr>
          <w:color w:val="000000" w:themeColor="text1"/>
        </w:rPr>
        <w:instrText xml:space="preserve"> TOC \o "1-5" \h \z \u </w:instrText>
      </w:r>
      <w:r w:rsidRPr="007F5E52">
        <w:rPr>
          <w:color w:val="000000" w:themeColor="text1"/>
        </w:rPr>
        <w:fldChar w:fldCharType="separate"/>
      </w:r>
      <w:hyperlink w:anchor="_Toc139361914" w:history="1">
        <w:r w:rsidR="007F5E52" w:rsidRPr="007F5E52">
          <w:rPr>
            <w:rStyle w:val="aa"/>
            <w:noProof/>
          </w:rPr>
          <w:t>СОДЕРЖАНИЕ</w:t>
        </w:r>
        <w:r w:rsidR="007F5E52" w:rsidRPr="007F5E52">
          <w:rPr>
            <w:noProof/>
            <w:webHidden/>
          </w:rPr>
          <w:tab/>
        </w:r>
        <w:r w:rsidR="007F5E52" w:rsidRPr="007F5E52">
          <w:rPr>
            <w:noProof/>
            <w:webHidden/>
          </w:rPr>
          <w:fldChar w:fldCharType="begin"/>
        </w:r>
        <w:r w:rsidR="007F5E52" w:rsidRPr="007F5E52">
          <w:rPr>
            <w:noProof/>
            <w:webHidden/>
          </w:rPr>
          <w:instrText xml:space="preserve"> PAGEREF _Toc139361914 \h </w:instrText>
        </w:r>
        <w:r w:rsidR="007F5E52" w:rsidRPr="007F5E52">
          <w:rPr>
            <w:noProof/>
            <w:webHidden/>
          </w:rPr>
        </w:r>
        <w:r w:rsidR="007F5E52" w:rsidRPr="007F5E52">
          <w:rPr>
            <w:noProof/>
            <w:webHidden/>
          </w:rPr>
          <w:fldChar w:fldCharType="separate"/>
        </w:r>
        <w:r w:rsidR="007F5E52">
          <w:rPr>
            <w:noProof/>
            <w:webHidden/>
          </w:rPr>
          <w:t>2</w:t>
        </w:r>
        <w:r w:rsidR="007F5E52" w:rsidRPr="007F5E52">
          <w:rPr>
            <w:noProof/>
            <w:webHidden/>
          </w:rPr>
          <w:fldChar w:fldCharType="end"/>
        </w:r>
      </w:hyperlink>
    </w:p>
    <w:p w14:paraId="76224A03" w14:textId="22181C2E" w:rsidR="007F5E52" w:rsidRPr="007F5E52" w:rsidRDefault="007F5E52">
      <w:pPr>
        <w:pStyle w:val="14"/>
        <w:rPr>
          <w:rFonts w:eastAsiaTheme="minorEastAsia"/>
          <w:noProof/>
          <w:lang w:eastAsia="ru-RU"/>
        </w:rPr>
      </w:pPr>
      <w:hyperlink w:anchor="_Toc139361915" w:history="1">
        <w:r w:rsidRPr="007F5E52">
          <w:rPr>
            <w:rStyle w:val="aa"/>
            <w:noProof/>
          </w:rPr>
          <w:t>ЛИСТ СОГЛАСОВАНИЯ</w:t>
        </w:r>
        <w:r w:rsidRPr="007F5E52">
          <w:rPr>
            <w:noProof/>
            <w:webHidden/>
          </w:rPr>
          <w:tab/>
        </w:r>
        <w:r w:rsidRPr="007F5E52">
          <w:rPr>
            <w:noProof/>
            <w:webHidden/>
          </w:rPr>
          <w:fldChar w:fldCharType="begin"/>
        </w:r>
        <w:r w:rsidRPr="007F5E52">
          <w:rPr>
            <w:noProof/>
            <w:webHidden/>
          </w:rPr>
          <w:instrText xml:space="preserve"> PAGEREF _Toc139361915 \h </w:instrText>
        </w:r>
        <w:r w:rsidRPr="007F5E52">
          <w:rPr>
            <w:noProof/>
            <w:webHidden/>
          </w:rPr>
        </w:r>
        <w:r w:rsidRPr="007F5E52">
          <w:rPr>
            <w:noProof/>
            <w:webHidden/>
          </w:rPr>
          <w:fldChar w:fldCharType="separate"/>
        </w:r>
        <w:r>
          <w:rPr>
            <w:noProof/>
            <w:webHidden/>
          </w:rPr>
          <w:t>5</w:t>
        </w:r>
        <w:r w:rsidRPr="007F5E52">
          <w:rPr>
            <w:noProof/>
            <w:webHidden/>
          </w:rPr>
          <w:fldChar w:fldCharType="end"/>
        </w:r>
      </w:hyperlink>
    </w:p>
    <w:p w14:paraId="1C7E39DF" w14:textId="5213D7D0" w:rsidR="007F5E52" w:rsidRPr="007F5E52" w:rsidRDefault="007F5E52">
      <w:pPr>
        <w:pStyle w:val="14"/>
        <w:rPr>
          <w:rFonts w:eastAsiaTheme="minorEastAsia"/>
          <w:noProof/>
          <w:lang w:eastAsia="ru-RU"/>
        </w:rPr>
      </w:pPr>
      <w:hyperlink w:anchor="_Toc139361916" w:history="1">
        <w:r w:rsidRPr="007F5E52">
          <w:rPr>
            <w:rStyle w:val="aa"/>
            <w:noProof/>
          </w:rPr>
          <w:t>СПИСОК СОКРАЩЕНИЙ</w:t>
        </w:r>
        <w:r w:rsidRPr="007F5E52">
          <w:rPr>
            <w:noProof/>
            <w:webHidden/>
          </w:rPr>
          <w:tab/>
        </w:r>
        <w:r w:rsidRPr="007F5E52">
          <w:rPr>
            <w:noProof/>
            <w:webHidden/>
          </w:rPr>
          <w:fldChar w:fldCharType="begin"/>
        </w:r>
        <w:r w:rsidRPr="007F5E52">
          <w:rPr>
            <w:noProof/>
            <w:webHidden/>
          </w:rPr>
          <w:instrText xml:space="preserve"> PAGEREF _Toc139361916 \h </w:instrText>
        </w:r>
        <w:r w:rsidRPr="007F5E52">
          <w:rPr>
            <w:noProof/>
            <w:webHidden/>
          </w:rPr>
        </w:r>
        <w:r w:rsidRPr="007F5E52">
          <w:rPr>
            <w:noProof/>
            <w:webHidden/>
          </w:rPr>
          <w:fldChar w:fldCharType="separate"/>
        </w:r>
        <w:r>
          <w:rPr>
            <w:noProof/>
            <w:webHidden/>
          </w:rPr>
          <w:t>6</w:t>
        </w:r>
        <w:r w:rsidRPr="007F5E52">
          <w:rPr>
            <w:noProof/>
            <w:webHidden/>
          </w:rPr>
          <w:fldChar w:fldCharType="end"/>
        </w:r>
      </w:hyperlink>
    </w:p>
    <w:p w14:paraId="317EDF54" w14:textId="031B619C" w:rsidR="007F5E52" w:rsidRPr="007F5E52" w:rsidRDefault="007F5E52">
      <w:pPr>
        <w:pStyle w:val="14"/>
        <w:rPr>
          <w:rFonts w:eastAsiaTheme="minorEastAsia"/>
          <w:noProof/>
          <w:lang w:eastAsia="ru-RU"/>
        </w:rPr>
      </w:pPr>
      <w:hyperlink w:anchor="_Toc139361917" w:history="1">
        <w:r w:rsidRPr="007F5E52">
          <w:rPr>
            <w:rStyle w:val="aa"/>
            <w:noProof/>
          </w:rPr>
          <w:t>ИСТОРИЯ ДОКУМЕНТА</w:t>
        </w:r>
        <w:r w:rsidRPr="007F5E52">
          <w:rPr>
            <w:noProof/>
            <w:webHidden/>
          </w:rPr>
          <w:tab/>
        </w:r>
        <w:r w:rsidRPr="007F5E52">
          <w:rPr>
            <w:noProof/>
            <w:webHidden/>
          </w:rPr>
          <w:fldChar w:fldCharType="begin"/>
        </w:r>
        <w:r w:rsidRPr="007F5E52">
          <w:rPr>
            <w:noProof/>
            <w:webHidden/>
          </w:rPr>
          <w:instrText xml:space="preserve"> PAGEREF _Toc139361917 \h </w:instrText>
        </w:r>
        <w:r w:rsidRPr="007F5E52">
          <w:rPr>
            <w:noProof/>
            <w:webHidden/>
          </w:rPr>
        </w:r>
        <w:r w:rsidRPr="007F5E52">
          <w:rPr>
            <w:noProof/>
            <w:webHidden/>
          </w:rPr>
          <w:fldChar w:fldCharType="separate"/>
        </w:r>
        <w:r>
          <w:rPr>
            <w:noProof/>
            <w:webHidden/>
          </w:rPr>
          <w:t>9</w:t>
        </w:r>
        <w:r w:rsidRPr="007F5E52">
          <w:rPr>
            <w:noProof/>
            <w:webHidden/>
          </w:rPr>
          <w:fldChar w:fldCharType="end"/>
        </w:r>
      </w:hyperlink>
    </w:p>
    <w:p w14:paraId="6B4A5FA5" w14:textId="5AA914CD" w:rsidR="007F5E52" w:rsidRPr="007F5E52" w:rsidRDefault="007F5E52">
      <w:pPr>
        <w:pStyle w:val="14"/>
        <w:rPr>
          <w:rFonts w:eastAsiaTheme="minorEastAsia"/>
          <w:noProof/>
          <w:lang w:eastAsia="ru-RU"/>
        </w:rPr>
      </w:pPr>
      <w:hyperlink w:anchor="_Toc139361918" w:history="1">
        <w:r w:rsidRPr="007F5E52">
          <w:rPr>
            <w:rStyle w:val="aa"/>
            <w:noProof/>
          </w:rPr>
          <w:t>РЕЗЮМЕ</w:t>
        </w:r>
        <w:r w:rsidRPr="007F5E52">
          <w:rPr>
            <w:noProof/>
            <w:webHidden/>
          </w:rPr>
          <w:tab/>
        </w:r>
        <w:r w:rsidRPr="007F5E52">
          <w:rPr>
            <w:noProof/>
            <w:webHidden/>
          </w:rPr>
          <w:fldChar w:fldCharType="begin"/>
        </w:r>
        <w:r w:rsidRPr="007F5E52">
          <w:rPr>
            <w:noProof/>
            <w:webHidden/>
          </w:rPr>
          <w:instrText xml:space="preserve"> PAGEREF _Toc139361918 \h </w:instrText>
        </w:r>
        <w:r w:rsidRPr="007F5E52">
          <w:rPr>
            <w:noProof/>
            <w:webHidden/>
          </w:rPr>
        </w:r>
        <w:r w:rsidRPr="007F5E52">
          <w:rPr>
            <w:noProof/>
            <w:webHidden/>
          </w:rPr>
          <w:fldChar w:fldCharType="separate"/>
        </w:r>
        <w:r>
          <w:rPr>
            <w:noProof/>
            <w:webHidden/>
          </w:rPr>
          <w:t>10</w:t>
        </w:r>
        <w:r w:rsidRPr="007F5E52">
          <w:rPr>
            <w:noProof/>
            <w:webHidden/>
          </w:rPr>
          <w:fldChar w:fldCharType="end"/>
        </w:r>
      </w:hyperlink>
    </w:p>
    <w:p w14:paraId="1F443DBF" w14:textId="63900508" w:rsidR="007F5E52" w:rsidRPr="007F5E52" w:rsidRDefault="007F5E52">
      <w:pPr>
        <w:pStyle w:val="14"/>
        <w:rPr>
          <w:rFonts w:eastAsiaTheme="minorEastAsia"/>
          <w:noProof/>
          <w:lang w:eastAsia="ru-RU"/>
        </w:rPr>
      </w:pPr>
      <w:hyperlink w:anchor="_Toc139361919" w:history="1">
        <w:r w:rsidRPr="007F5E52">
          <w:rPr>
            <w:rStyle w:val="aa"/>
            <w:noProof/>
          </w:rPr>
          <w:t>1. ВВЕДЕНИЕ</w:t>
        </w:r>
        <w:r w:rsidRPr="007F5E52">
          <w:rPr>
            <w:noProof/>
            <w:webHidden/>
          </w:rPr>
          <w:tab/>
        </w:r>
        <w:r w:rsidRPr="007F5E52">
          <w:rPr>
            <w:noProof/>
            <w:webHidden/>
          </w:rPr>
          <w:fldChar w:fldCharType="begin"/>
        </w:r>
        <w:r w:rsidRPr="007F5E52">
          <w:rPr>
            <w:noProof/>
            <w:webHidden/>
          </w:rPr>
          <w:instrText xml:space="preserve"> PAGEREF _Toc139361919 \h </w:instrText>
        </w:r>
        <w:r w:rsidRPr="007F5E52">
          <w:rPr>
            <w:noProof/>
            <w:webHidden/>
          </w:rPr>
        </w:r>
        <w:r w:rsidRPr="007F5E52">
          <w:rPr>
            <w:noProof/>
            <w:webHidden/>
          </w:rPr>
          <w:fldChar w:fldCharType="separate"/>
        </w:r>
        <w:r>
          <w:rPr>
            <w:noProof/>
            <w:webHidden/>
          </w:rPr>
          <w:t>13</w:t>
        </w:r>
        <w:r w:rsidRPr="007F5E52">
          <w:rPr>
            <w:noProof/>
            <w:webHidden/>
          </w:rPr>
          <w:fldChar w:fldCharType="end"/>
        </w:r>
      </w:hyperlink>
    </w:p>
    <w:p w14:paraId="18018528" w14:textId="3FDF196A" w:rsidR="007F5E52" w:rsidRPr="007F5E52" w:rsidRDefault="007F5E52">
      <w:pPr>
        <w:pStyle w:val="21"/>
        <w:rPr>
          <w:rFonts w:eastAsiaTheme="minorEastAsia"/>
          <w:noProof/>
          <w:lang w:eastAsia="ru-RU"/>
        </w:rPr>
      </w:pPr>
      <w:hyperlink w:anchor="_Toc139361920" w:history="1">
        <w:r w:rsidRPr="007F5E52">
          <w:rPr>
            <w:rStyle w:val="aa"/>
            <w:noProof/>
          </w:rPr>
          <w:t>1.2. Международное непатентованное название</w:t>
        </w:r>
        <w:r w:rsidRPr="007F5E52">
          <w:rPr>
            <w:noProof/>
            <w:webHidden/>
          </w:rPr>
          <w:tab/>
        </w:r>
        <w:r w:rsidRPr="007F5E52">
          <w:rPr>
            <w:noProof/>
            <w:webHidden/>
          </w:rPr>
          <w:fldChar w:fldCharType="begin"/>
        </w:r>
        <w:r w:rsidRPr="007F5E52">
          <w:rPr>
            <w:noProof/>
            <w:webHidden/>
          </w:rPr>
          <w:instrText xml:space="preserve"> PAGEREF _Toc139361920 \h </w:instrText>
        </w:r>
        <w:r w:rsidRPr="007F5E52">
          <w:rPr>
            <w:noProof/>
            <w:webHidden/>
          </w:rPr>
        </w:r>
        <w:r w:rsidRPr="007F5E52">
          <w:rPr>
            <w:noProof/>
            <w:webHidden/>
          </w:rPr>
          <w:fldChar w:fldCharType="separate"/>
        </w:r>
        <w:r>
          <w:rPr>
            <w:noProof/>
            <w:webHidden/>
          </w:rPr>
          <w:t>13</w:t>
        </w:r>
        <w:r w:rsidRPr="007F5E52">
          <w:rPr>
            <w:noProof/>
            <w:webHidden/>
          </w:rPr>
          <w:fldChar w:fldCharType="end"/>
        </w:r>
      </w:hyperlink>
    </w:p>
    <w:p w14:paraId="0D5E0EED" w14:textId="37EA5958" w:rsidR="007F5E52" w:rsidRPr="007F5E52" w:rsidRDefault="007F5E52">
      <w:pPr>
        <w:pStyle w:val="21"/>
        <w:rPr>
          <w:rFonts w:eastAsiaTheme="minorEastAsia"/>
          <w:noProof/>
          <w:lang w:eastAsia="ru-RU"/>
        </w:rPr>
      </w:pPr>
      <w:hyperlink w:anchor="_Toc139361921" w:history="1">
        <w:r w:rsidRPr="007F5E52">
          <w:rPr>
            <w:rStyle w:val="aa"/>
            <w:noProof/>
          </w:rPr>
          <w:t>1.3. Торговое название</w:t>
        </w:r>
        <w:r w:rsidRPr="007F5E52">
          <w:rPr>
            <w:noProof/>
            <w:webHidden/>
          </w:rPr>
          <w:tab/>
        </w:r>
        <w:r w:rsidRPr="007F5E52">
          <w:rPr>
            <w:noProof/>
            <w:webHidden/>
          </w:rPr>
          <w:fldChar w:fldCharType="begin"/>
        </w:r>
        <w:r w:rsidRPr="007F5E52">
          <w:rPr>
            <w:noProof/>
            <w:webHidden/>
          </w:rPr>
          <w:instrText xml:space="preserve"> PAGEREF _Toc139361921 \h </w:instrText>
        </w:r>
        <w:r w:rsidRPr="007F5E52">
          <w:rPr>
            <w:noProof/>
            <w:webHidden/>
          </w:rPr>
        </w:r>
        <w:r w:rsidRPr="007F5E52">
          <w:rPr>
            <w:noProof/>
            <w:webHidden/>
          </w:rPr>
          <w:fldChar w:fldCharType="separate"/>
        </w:r>
        <w:r>
          <w:rPr>
            <w:noProof/>
            <w:webHidden/>
          </w:rPr>
          <w:t>13</w:t>
        </w:r>
        <w:r w:rsidRPr="007F5E52">
          <w:rPr>
            <w:noProof/>
            <w:webHidden/>
          </w:rPr>
          <w:fldChar w:fldCharType="end"/>
        </w:r>
      </w:hyperlink>
    </w:p>
    <w:p w14:paraId="6C6F40D5" w14:textId="23AEB13C" w:rsidR="007F5E52" w:rsidRPr="007F5E52" w:rsidRDefault="007F5E52">
      <w:pPr>
        <w:pStyle w:val="21"/>
        <w:rPr>
          <w:rFonts w:eastAsiaTheme="minorEastAsia"/>
          <w:noProof/>
          <w:lang w:eastAsia="ru-RU"/>
        </w:rPr>
      </w:pPr>
      <w:hyperlink w:anchor="_Toc139361922" w:history="1">
        <w:r w:rsidRPr="007F5E52">
          <w:rPr>
            <w:rStyle w:val="aa"/>
            <w:noProof/>
          </w:rPr>
          <w:t>1.4. Активные ингредиенты</w:t>
        </w:r>
        <w:r w:rsidRPr="007F5E52">
          <w:rPr>
            <w:noProof/>
            <w:webHidden/>
          </w:rPr>
          <w:tab/>
        </w:r>
        <w:r w:rsidRPr="007F5E52">
          <w:rPr>
            <w:noProof/>
            <w:webHidden/>
          </w:rPr>
          <w:fldChar w:fldCharType="begin"/>
        </w:r>
        <w:r w:rsidRPr="007F5E52">
          <w:rPr>
            <w:noProof/>
            <w:webHidden/>
          </w:rPr>
          <w:instrText xml:space="preserve"> PAGEREF _Toc139361922 \h </w:instrText>
        </w:r>
        <w:r w:rsidRPr="007F5E52">
          <w:rPr>
            <w:noProof/>
            <w:webHidden/>
          </w:rPr>
        </w:r>
        <w:r w:rsidRPr="007F5E52">
          <w:rPr>
            <w:noProof/>
            <w:webHidden/>
          </w:rPr>
          <w:fldChar w:fldCharType="separate"/>
        </w:r>
        <w:r>
          <w:rPr>
            <w:noProof/>
            <w:webHidden/>
          </w:rPr>
          <w:t>13</w:t>
        </w:r>
        <w:r w:rsidRPr="007F5E52">
          <w:rPr>
            <w:noProof/>
            <w:webHidden/>
          </w:rPr>
          <w:fldChar w:fldCharType="end"/>
        </w:r>
      </w:hyperlink>
    </w:p>
    <w:p w14:paraId="03172810" w14:textId="37EBFFE5" w:rsidR="007F5E52" w:rsidRPr="007F5E52" w:rsidRDefault="007F5E52">
      <w:pPr>
        <w:pStyle w:val="21"/>
        <w:rPr>
          <w:rFonts w:eastAsiaTheme="minorEastAsia"/>
          <w:noProof/>
          <w:lang w:eastAsia="ru-RU"/>
        </w:rPr>
      </w:pPr>
      <w:hyperlink w:anchor="_Toc139361923" w:history="1">
        <w:r w:rsidRPr="007F5E52">
          <w:rPr>
            <w:rStyle w:val="aa"/>
            <w:noProof/>
          </w:rPr>
          <w:t>1.5. Фармакологическая группа</w:t>
        </w:r>
        <w:r w:rsidRPr="007F5E52">
          <w:rPr>
            <w:noProof/>
            <w:webHidden/>
          </w:rPr>
          <w:tab/>
        </w:r>
        <w:r w:rsidRPr="007F5E52">
          <w:rPr>
            <w:noProof/>
            <w:webHidden/>
          </w:rPr>
          <w:fldChar w:fldCharType="begin"/>
        </w:r>
        <w:r w:rsidRPr="007F5E52">
          <w:rPr>
            <w:noProof/>
            <w:webHidden/>
          </w:rPr>
          <w:instrText xml:space="preserve"> PAGEREF _Toc139361923 \h </w:instrText>
        </w:r>
        <w:r w:rsidRPr="007F5E52">
          <w:rPr>
            <w:noProof/>
            <w:webHidden/>
          </w:rPr>
        </w:r>
        <w:r w:rsidRPr="007F5E52">
          <w:rPr>
            <w:noProof/>
            <w:webHidden/>
          </w:rPr>
          <w:fldChar w:fldCharType="separate"/>
        </w:r>
        <w:r>
          <w:rPr>
            <w:noProof/>
            <w:webHidden/>
          </w:rPr>
          <w:t>13</w:t>
        </w:r>
        <w:r w:rsidRPr="007F5E52">
          <w:rPr>
            <w:noProof/>
            <w:webHidden/>
          </w:rPr>
          <w:fldChar w:fldCharType="end"/>
        </w:r>
      </w:hyperlink>
    </w:p>
    <w:p w14:paraId="2A68AAE1" w14:textId="5C8903F6" w:rsidR="007F5E52" w:rsidRPr="007F5E52" w:rsidRDefault="007F5E52">
      <w:pPr>
        <w:pStyle w:val="21"/>
        <w:rPr>
          <w:rFonts w:eastAsiaTheme="minorEastAsia"/>
          <w:noProof/>
          <w:lang w:eastAsia="ru-RU"/>
        </w:rPr>
      </w:pPr>
      <w:hyperlink w:anchor="_Toc139361924" w:history="1">
        <w:r w:rsidRPr="007F5E52">
          <w:rPr>
            <w:rStyle w:val="aa"/>
            <w:noProof/>
          </w:rPr>
          <w:t>1.6. Код по АТХ</w:t>
        </w:r>
        <w:r w:rsidRPr="007F5E52">
          <w:rPr>
            <w:noProof/>
            <w:webHidden/>
          </w:rPr>
          <w:tab/>
        </w:r>
        <w:r w:rsidRPr="007F5E52">
          <w:rPr>
            <w:noProof/>
            <w:webHidden/>
          </w:rPr>
          <w:fldChar w:fldCharType="begin"/>
        </w:r>
        <w:r w:rsidRPr="007F5E52">
          <w:rPr>
            <w:noProof/>
            <w:webHidden/>
          </w:rPr>
          <w:instrText xml:space="preserve"> PAGEREF _Toc139361924 \h </w:instrText>
        </w:r>
        <w:r w:rsidRPr="007F5E52">
          <w:rPr>
            <w:noProof/>
            <w:webHidden/>
          </w:rPr>
        </w:r>
        <w:r w:rsidRPr="007F5E52">
          <w:rPr>
            <w:noProof/>
            <w:webHidden/>
          </w:rPr>
          <w:fldChar w:fldCharType="separate"/>
        </w:r>
        <w:r>
          <w:rPr>
            <w:noProof/>
            <w:webHidden/>
          </w:rPr>
          <w:t>13</w:t>
        </w:r>
        <w:r w:rsidRPr="007F5E52">
          <w:rPr>
            <w:noProof/>
            <w:webHidden/>
          </w:rPr>
          <w:fldChar w:fldCharType="end"/>
        </w:r>
      </w:hyperlink>
    </w:p>
    <w:p w14:paraId="0C705502" w14:textId="6B35009C" w:rsidR="007F5E52" w:rsidRPr="007F5E52" w:rsidRDefault="007F5E52">
      <w:pPr>
        <w:pStyle w:val="21"/>
        <w:rPr>
          <w:rFonts w:eastAsiaTheme="minorEastAsia"/>
          <w:noProof/>
          <w:lang w:eastAsia="ru-RU"/>
        </w:rPr>
      </w:pPr>
      <w:hyperlink w:anchor="_Toc139361925" w:history="1">
        <w:r w:rsidRPr="007F5E52">
          <w:rPr>
            <w:rStyle w:val="aa"/>
            <w:noProof/>
          </w:rPr>
          <w:t>1.7.</w:t>
        </w:r>
        <w:r w:rsidRPr="007F5E52">
          <w:rPr>
            <w:rFonts w:eastAsiaTheme="minorEastAsia"/>
            <w:noProof/>
            <w:lang w:eastAsia="ru-RU"/>
          </w:rPr>
          <w:tab/>
        </w:r>
        <w:r w:rsidRPr="007F5E52">
          <w:rPr>
            <w:rStyle w:val="aa"/>
            <w:noProof/>
          </w:rPr>
          <w:t>Обоснование для изучения исследуемого препарата</w:t>
        </w:r>
        <w:r w:rsidRPr="007F5E52">
          <w:rPr>
            <w:noProof/>
            <w:webHidden/>
          </w:rPr>
          <w:tab/>
        </w:r>
        <w:r w:rsidRPr="007F5E52">
          <w:rPr>
            <w:noProof/>
            <w:webHidden/>
          </w:rPr>
          <w:fldChar w:fldCharType="begin"/>
        </w:r>
        <w:r w:rsidRPr="007F5E52">
          <w:rPr>
            <w:noProof/>
            <w:webHidden/>
          </w:rPr>
          <w:instrText xml:space="preserve"> PAGEREF _Toc139361925 \h </w:instrText>
        </w:r>
        <w:r w:rsidRPr="007F5E52">
          <w:rPr>
            <w:noProof/>
            <w:webHidden/>
          </w:rPr>
        </w:r>
        <w:r w:rsidRPr="007F5E52">
          <w:rPr>
            <w:noProof/>
            <w:webHidden/>
          </w:rPr>
          <w:fldChar w:fldCharType="separate"/>
        </w:r>
        <w:r>
          <w:rPr>
            <w:noProof/>
            <w:webHidden/>
          </w:rPr>
          <w:t>13</w:t>
        </w:r>
        <w:r w:rsidRPr="007F5E52">
          <w:rPr>
            <w:noProof/>
            <w:webHidden/>
          </w:rPr>
          <w:fldChar w:fldCharType="end"/>
        </w:r>
      </w:hyperlink>
    </w:p>
    <w:p w14:paraId="4C79DAFC" w14:textId="2A1190D5" w:rsidR="007F5E52" w:rsidRPr="007F5E52" w:rsidRDefault="007F5E52">
      <w:pPr>
        <w:pStyle w:val="31"/>
        <w:rPr>
          <w:rFonts w:eastAsiaTheme="minorEastAsia"/>
          <w:b w:val="0"/>
          <w:bCs w:val="0"/>
          <w:iCs w:val="0"/>
          <w:lang w:eastAsia="ru-RU"/>
        </w:rPr>
      </w:pPr>
      <w:hyperlink w:anchor="_Toc139361926" w:history="1">
        <w:r w:rsidRPr="007F5E52">
          <w:rPr>
            <w:rStyle w:val="aa"/>
            <w:b w:val="0"/>
          </w:rPr>
          <w:t>1.7.1.</w:t>
        </w:r>
        <w:r w:rsidRPr="007F5E52">
          <w:rPr>
            <w:rFonts w:eastAsiaTheme="minorEastAsia"/>
            <w:b w:val="0"/>
            <w:bCs w:val="0"/>
            <w:iCs w:val="0"/>
            <w:lang w:eastAsia="ru-RU"/>
          </w:rPr>
          <w:tab/>
        </w:r>
        <w:r w:rsidRPr="007F5E52">
          <w:rPr>
            <w:rStyle w:val="aa"/>
            <w:b w:val="0"/>
          </w:rPr>
          <w:t>Общие сведения о заболевании</w:t>
        </w:r>
        <w:r w:rsidRPr="007F5E52">
          <w:rPr>
            <w:b w:val="0"/>
            <w:webHidden/>
          </w:rPr>
          <w:tab/>
        </w:r>
        <w:r w:rsidRPr="007F5E52">
          <w:rPr>
            <w:b w:val="0"/>
            <w:webHidden/>
          </w:rPr>
          <w:fldChar w:fldCharType="begin"/>
        </w:r>
        <w:r w:rsidRPr="007F5E52">
          <w:rPr>
            <w:b w:val="0"/>
            <w:webHidden/>
          </w:rPr>
          <w:instrText xml:space="preserve"> PAGEREF _Toc139361926 \h </w:instrText>
        </w:r>
        <w:r w:rsidRPr="007F5E52">
          <w:rPr>
            <w:b w:val="0"/>
            <w:webHidden/>
          </w:rPr>
        </w:r>
        <w:r w:rsidRPr="007F5E52">
          <w:rPr>
            <w:b w:val="0"/>
            <w:webHidden/>
          </w:rPr>
          <w:fldChar w:fldCharType="separate"/>
        </w:r>
        <w:r>
          <w:rPr>
            <w:b w:val="0"/>
            <w:webHidden/>
          </w:rPr>
          <w:t>13</w:t>
        </w:r>
        <w:r w:rsidRPr="007F5E52">
          <w:rPr>
            <w:b w:val="0"/>
            <w:webHidden/>
          </w:rPr>
          <w:fldChar w:fldCharType="end"/>
        </w:r>
      </w:hyperlink>
    </w:p>
    <w:p w14:paraId="79D2C44B" w14:textId="0C27343F" w:rsidR="007F5E52" w:rsidRPr="007F5E52" w:rsidRDefault="007F5E52">
      <w:pPr>
        <w:pStyle w:val="31"/>
        <w:rPr>
          <w:rFonts w:eastAsiaTheme="minorEastAsia"/>
          <w:b w:val="0"/>
          <w:bCs w:val="0"/>
          <w:iCs w:val="0"/>
          <w:lang w:eastAsia="ru-RU"/>
        </w:rPr>
      </w:pPr>
      <w:hyperlink w:anchor="_Toc139361927" w:history="1">
        <w:r w:rsidRPr="007F5E52">
          <w:rPr>
            <w:rStyle w:val="aa"/>
            <w:b w:val="0"/>
          </w:rPr>
          <w:t>1.7.2.  Существующие варианты терапии</w:t>
        </w:r>
        <w:r w:rsidRPr="007F5E52">
          <w:rPr>
            <w:b w:val="0"/>
            <w:webHidden/>
          </w:rPr>
          <w:tab/>
        </w:r>
        <w:r w:rsidRPr="007F5E52">
          <w:rPr>
            <w:b w:val="0"/>
            <w:webHidden/>
          </w:rPr>
          <w:fldChar w:fldCharType="begin"/>
        </w:r>
        <w:r w:rsidRPr="007F5E52">
          <w:rPr>
            <w:b w:val="0"/>
            <w:webHidden/>
          </w:rPr>
          <w:instrText xml:space="preserve"> PAGEREF _Toc139361927 \h </w:instrText>
        </w:r>
        <w:r w:rsidRPr="007F5E52">
          <w:rPr>
            <w:b w:val="0"/>
            <w:webHidden/>
          </w:rPr>
        </w:r>
        <w:r w:rsidRPr="007F5E52">
          <w:rPr>
            <w:b w:val="0"/>
            <w:webHidden/>
          </w:rPr>
          <w:fldChar w:fldCharType="separate"/>
        </w:r>
        <w:r>
          <w:rPr>
            <w:b w:val="0"/>
            <w:webHidden/>
          </w:rPr>
          <w:t>14</w:t>
        </w:r>
        <w:r w:rsidRPr="007F5E52">
          <w:rPr>
            <w:b w:val="0"/>
            <w:webHidden/>
          </w:rPr>
          <w:fldChar w:fldCharType="end"/>
        </w:r>
      </w:hyperlink>
    </w:p>
    <w:p w14:paraId="25C16DC7" w14:textId="053097DF" w:rsidR="007F5E52" w:rsidRPr="007F5E52" w:rsidRDefault="007F5E52">
      <w:pPr>
        <w:pStyle w:val="31"/>
        <w:rPr>
          <w:rFonts w:eastAsiaTheme="minorEastAsia"/>
          <w:b w:val="0"/>
          <w:bCs w:val="0"/>
          <w:iCs w:val="0"/>
          <w:lang w:eastAsia="ru-RU"/>
        </w:rPr>
      </w:pPr>
      <w:hyperlink w:anchor="_Toc139361928" w:history="1">
        <w:r w:rsidRPr="007F5E52">
          <w:rPr>
            <w:rStyle w:val="aa"/>
            <w:b w:val="0"/>
          </w:rPr>
          <w:t>1.7.3. Вводная информация по исследуемой терапии</w:t>
        </w:r>
        <w:r w:rsidRPr="007F5E52">
          <w:rPr>
            <w:b w:val="0"/>
            <w:webHidden/>
          </w:rPr>
          <w:tab/>
        </w:r>
        <w:r w:rsidRPr="007F5E52">
          <w:rPr>
            <w:b w:val="0"/>
            <w:webHidden/>
          </w:rPr>
          <w:fldChar w:fldCharType="begin"/>
        </w:r>
        <w:r w:rsidRPr="007F5E52">
          <w:rPr>
            <w:b w:val="0"/>
            <w:webHidden/>
          </w:rPr>
          <w:instrText xml:space="preserve"> PAGEREF _Toc139361928 \h </w:instrText>
        </w:r>
        <w:r w:rsidRPr="007F5E52">
          <w:rPr>
            <w:b w:val="0"/>
            <w:webHidden/>
          </w:rPr>
        </w:r>
        <w:r w:rsidRPr="007F5E52">
          <w:rPr>
            <w:b w:val="0"/>
            <w:webHidden/>
          </w:rPr>
          <w:fldChar w:fldCharType="separate"/>
        </w:r>
        <w:r>
          <w:rPr>
            <w:b w:val="0"/>
            <w:webHidden/>
          </w:rPr>
          <w:t>17</w:t>
        </w:r>
        <w:r w:rsidRPr="007F5E52">
          <w:rPr>
            <w:b w:val="0"/>
            <w:webHidden/>
          </w:rPr>
          <w:fldChar w:fldCharType="end"/>
        </w:r>
      </w:hyperlink>
    </w:p>
    <w:p w14:paraId="089D40F1" w14:textId="7123A8FD" w:rsidR="007F5E52" w:rsidRPr="007F5E52" w:rsidRDefault="007F5E52">
      <w:pPr>
        <w:pStyle w:val="21"/>
        <w:rPr>
          <w:rFonts w:eastAsiaTheme="minorEastAsia"/>
          <w:noProof/>
          <w:lang w:eastAsia="ru-RU"/>
        </w:rPr>
      </w:pPr>
      <w:hyperlink w:anchor="_Toc139361929" w:history="1">
        <w:r w:rsidRPr="007F5E52">
          <w:rPr>
            <w:rStyle w:val="aa"/>
            <w:noProof/>
          </w:rPr>
          <w:t>1.8.</w:t>
        </w:r>
        <w:r w:rsidRPr="007F5E52">
          <w:rPr>
            <w:rFonts w:eastAsiaTheme="minorEastAsia"/>
            <w:noProof/>
            <w:lang w:eastAsia="ru-RU"/>
          </w:rPr>
          <w:tab/>
        </w:r>
        <w:r w:rsidRPr="007F5E52">
          <w:rPr>
            <w:rStyle w:val="aa"/>
            <w:noProof/>
          </w:rPr>
          <w:t>Ожидаемые показания к применению</w:t>
        </w:r>
        <w:r w:rsidRPr="007F5E52">
          <w:rPr>
            <w:noProof/>
            <w:webHidden/>
          </w:rPr>
          <w:tab/>
        </w:r>
        <w:r w:rsidRPr="007F5E52">
          <w:rPr>
            <w:noProof/>
            <w:webHidden/>
          </w:rPr>
          <w:fldChar w:fldCharType="begin"/>
        </w:r>
        <w:r w:rsidRPr="007F5E52">
          <w:rPr>
            <w:noProof/>
            <w:webHidden/>
          </w:rPr>
          <w:instrText xml:space="preserve"> PAGEREF _Toc139361929 \h </w:instrText>
        </w:r>
        <w:r w:rsidRPr="007F5E52">
          <w:rPr>
            <w:noProof/>
            <w:webHidden/>
          </w:rPr>
        </w:r>
        <w:r w:rsidRPr="007F5E52">
          <w:rPr>
            <w:noProof/>
            <w:webHidden/>
          </w:rPr>
          <w:fldChar w:fldCharType="separate"/>
        </w:r>
        <w:r>
          <w:rPr>
            <w:noProof/>
            <w:webHidden/>
          </w:rPr>
          <w:t>18</w:t>
        </w:r>
        <w:r w:rsidRPr="007F5E52">
          <w:rPr>
            <w:noProof/>
            <w:webHidden/>
          </w:rPr>
          <w:fldChar w:fldCharType="end"/>
        </w:r>
      </w:hyperlink>
    </w:p>
    <w:p w14:paraId="13D10245" w14:textId="0C2D8A75" w:rsidR="007F5E52" w:rsidRPr="007F5E52" w:rsidRDefault="007F5E52">
      <w:pPr>
        <w:pStyle w:val="21"/>
        <w:rPr>
          <w:rFonts w:eastAsiaTheme="minorEastAsia"/>
          <w:noProof/>
          <w:lang w:eastAsia="ru-RU"/>
        </w:rPr>
      </w:pPr>
      <w:hyperlink w:anchor="_Toc139361930" w:history="1">
        <w:r w:rsidRPr="007F5E52">
          <w:rPr>
            <w:rStyle w:val="aa"/>
            <w:noProof/>
          </w:rPr>
          <w:t>Список</w:t>
        </w:r>
        <w:r w:rsidRPr="007F5E52">
          <w:rPr>
            <w:rStyle w:val="aa"/>
            <w:noProof/>
            <w:lang w:val="en-US"/>
          </w:rPr>
          <w:t xml:space="preserve"> </w:t>
        </w:r>
        <w:r w:rsidRPr="007F5E52">
          <w:rPr>
            <w:rStyle w:val="aa"/>
            <w:noProof/>
          </w:rPr>
          <w:t>литературы</w:t>
        </w:r>
        <w:r w:rsidRPr="007F5E52">
          <w:rPr>
            <w:noProof/>
            <w:webHidden/>
          </w:rPr>
          <w:tab/>
        </w:r>
        <w:r w:rsidRPr="007F5E52">
          <w:rPr>
            <w:noProof/>
            <w:webHidden/>
          </w:rPr>
          <w:fldChar w:fldCharType="begin"/>
        </w:r>
        <w:r w:rsidRPr="007F5E52">
          <w:rPr>
            <w:noProof/>
            <w:webHidden/>
          </w:rPr>
          <w:instrText xml:space="preserve"> PAGEREF _Toc139361930 \h </w:instrText>
        </w:r>
        <w:r w:rsidRPr="007F5E52">
          <w:rPr>
            <w:noProof/>
            <w:webHidden/>
          </w:rPr>
        </w:r>
        <w:r w:rsidRPr="007F5E52">
          <w:rPr>
            <w:noProof/>
            <w:webHidden/>
          </w:rPr>
          <w:fldChar w:fldCharType="separate"/>
        </w:r>
        <w:r>
          <w:rPr>
            <w:noProof/>
            <w:webHidden/>
          </w:rPr>
          <w:t>19</w:t>
        </w:r>
        <w:r w:rsidRPr="007F5E52">
          <w:rPr>
            <w:noProof/>
            <w:webHidden/>
          </w:rPr>
          <w:fldChar w:fldCharType="end"/>
        </w:r>
      </w:hyperlink>
    </w:p>
    <w:p w14:paraId="5450C4B1" w14:textId="169BE520" w:rsidR="007F5E52" w:rsidRPr="007F5E52" w:rsidRDefault="007F5E52">
      <w:pPr>
        <w:pStyle w:val="14"/>
        <w:tabs>
          <w:tab w:val="left" w:pos="720"/>
        </w:tabs>
        <w:rPr>
          <w:rFonts w:eastAsiaTheme="minorEastAsia"/>
          <w:noProof/>
          <w:lang w:eastAsia="ru-RU"/>
        </w:rPr>
      </w:pPr>
      <w:hyperlink w:anchor="_Toc139361931" w:history="1">
        <w:r w:rsidRPr="007F5E52">
          <w:rPr>
            <w:rStyle w:val="aa"/>
            <w:noProof/>
          </w:rPr>
          <w:t>2.</w:t>
        </w:r>
        <w:r w:rsidRPr="007F5E52">
          <w:rPr>
            <w:rFonts w:eastAsiaTheme="minorEastAsia"/>
            <w:noProof/>
            <w:lang w:eastAsia="ru-RU"/>
          </w:rPr>
          <w:tab/>
        </w:r>
        <w:r w:rsidRPr="007F5E52">
          <w:rPr>
            <w:rStyle w:val="aa"/>
            <w:noProof/>
          </w:rPr>
          <w:t>ФИЗИЧЕСКИЕ, ХИМИЧЕСКИЕ И ФАРМАЦЕВТИЧЕСКИЕ СВОЙСТВА И ЛЕКАРСТВЕННАЯ ФОРМА</w:t>
        </w:r>
        <w:r w:rsidRPr="007F5E52">
          <w:rPr>
            <w:noProof/>
            <w:webHidden/>
          </w:rPr>
          <w:tab/>
        </w:r>
        <w:r w:rsidRPr="007F5E52">
          <w:rPr>
            <w:noProof/>
            <w:webHidden/>
          </w:rPr>
          <w:fldChar w:fldCharType="begin"/>
        </w:r>
        <w:r w:rsidRPr="007F5E52">
          <w:rPr>
            <w:noProof/>
            <w:webHidden/>
          </w:rPr>
          <w:instrText xml:space="preserve"> PAGEREF _Toc139361931 \h </w:instrText>
        </w:r>
        <w:r w:rsidRPr="007F5E52">
          <w:rPr>
            <w:noProof/>
            <w:webHidden/>
          </w:rPr>
        </w:r>
        <w:r w:rsidRPr="007F5E52">
          <w:rPr>
            <w:noProof/>
            <w:webHidden/>
          </w:rPr>
          <w:fldChar w:fldCharType="separate"/>
        </w:r>
        <w:r>
          <w:rPr>
            <w:noProof/>
            <w:webHidden/>
          </w:rPr>
          <w:t>20</w:t>
        </w:r>
        <w:r w:rsidRPr="007F5E52">
          <w:rPr>
            <w:noProof/>
            <w:webHidden/>
          </w:rPr>
          <w:fldChar w:fldCharType="end"/>
        </w:r>
      </w:hyperlink>
    </w:p>
    <w:p w14:paraId="399699E9" w14:textId="3FBA44B8" w:rsidR="007F5E52" w:rsidRPr="007F5E52" w:rsidRDefault="007F5E52">
      <w:pPr>
        <w:pStyle w:val="21"/>
        <w:rPr>
          <w:rFonts w:eastAsiaTheme="minorEastAsia"/>
          <w:noProof/>
          <w:lang w:eastAsia="ru-RU"/>
        </w:rPr>
      </w:pPr>
      <w:hyperlink w:anchor="_Toc139361932" w:history="1">
        <w:r w:rsidRPr="007F5E52">
          <w:rPr>
            <w:rStyle w:val="aa"/>
            <w:noProof/>
          </w:rPr>
          <w:t>2.1. Описание свойств исследуемого препарата</w:t>
        </w:r>
        <w:r w:rsidRPr="007F5E52">
          <w:rPr>
            <w:noProof/>
            <w:webHidden/>
          </w:rPr>
          <w:tab/>
        </w:r>
        <w:r w:rsidRPr="007F5E52">
          <w:rPr>
            <w:noProof/>
            <w:webHidden/>
          </w:rPr>
          <w:fldChar w:fldCharType="begin"/>
        </w:r>
        <w:r w:rsidRPr="007F5E52">
          <w:rPr>
            <w:noProof/>
            <w:webHidden/>
          </w:rPr>
          <w:instrText xml:space="preserve"> PAGEREF _Toc139361932 \h </w:instrText>
        </w:r>
        <w:r w:rsidRPr="007F5E52">
          <w:rPr>
            <w:noProof/>
            <w:webHidden/>
          </w:rPr>
        </w:r>
        <w:r w:rsidRPr="007F5E52">
          <w:rPr>
            <w:noProof/>
            <w:webHidden/>
          </w:rPr>
          <w:fldChar w:fldCharType="separate"/>
        </w:r>
        <w:r>
          <w:rPr>
            <w:noProof/>
            <w:webHidden/>
          </w:rPr>
          <w:t>20</w:t>
        </w:r>
        <w:r w:rsidRPr="007F5E52">
          <w:rPr>
            <w:noProof/>
            <w:webHidden/>
          </w:rPr>
          <w:fldChar w:fldCharType="end"/>
        </w:r>
      </w:hyperlink>
    </w:p>
    <w:p w14:paraId="619B50CA" w14:textId="3EF3520B" w:rsidR="007F5E52" w:rsidRPr="007F5E52" w:rsidRDefault="007F5E52">
      <w:pPr>
        <w:pStyle w:val="31"/>
        <w:rPr>
          <w:rFonts w:eastAsiaTheme="minorEastAsia"/>
          <w:b w:val="0"/>
          <w:bCs w:val="0"/>
          <w:iCs w:val="0"/>
          <w:lang w:eastAsia="ru-RU"/>
        </w:rPr>
      </w:pPr>
      <w:hyperlink w:anchor="_Toc139361933" w:history="1">
        <w:r w:rsidRPr="007F5E52">
          <w:rPr>
            <w:rStyle w:val="aa"/>
            <w:b w:val="0"/>
          </w:rPr>
          <w:t>2.1.1. Химическая формула</w:t>
        </w:r>
        <w:r w:rsidRPr="007F5E52">
          <w:rPr>
            <w:b w:val="0"/>
            <w:webHidden/>
          </w:rPr>
          <w:tab/>
        </w:r>
        <w:r w:rsidRPr="007F5E52">
          <w:rPr>
            <w:b w:val="0"/>
            <w:webHidden/>
          </w:rPr>
          <w:fldChar w:fldCharType="begin"/>
        </w:r>
        <w:r w:rsidRPr="007F5E52">
          <w:rPr>
            <w:b w:val="0"/>
            <w:webHidden/>
          </w:rPr>
          <w:instrText xml:space="preserve"> PAGEREF _Toc139361933 \h </w:instrText>
        </w:r>
        <w:r w:rsidRPr="007F5E52">
          <w:rPr>
            <w:b w:val="0"/>
            <w:webHidden/>
          </w:rPr>
        </w:r>
        <w:r w:rsidRPr="007F5E52">
          <w:rPr>
            <w:b w:val="0"/>
            <w:webHidden/>
          </w:rPr>
          <w:fldChar w:fldCharType="separate"/>
        </w:r>
        <w:r>
          <w:rPr>
            <w:b w:val="0"/>
            <w:webHidden/>
          </w:rPr>
          <w:t>20</w:t>
        </w:r>
        <w:r w:rsidRPr="007F5E52">
          <w:rPr>
            <w:b w:val="0"/>
            <w:webHidden/>
          </w:rPr>
          <w:fldChar w:fldCharType="end"/>
        </w:r>
      </w:hyperlink>
    </w:p>
    <w:p w14:paraId="1E774AB9" w14:textId="561C9A30" w:rsidR="007F5E52" w:rsidRPr="007F5E52" w:rsidRDefault="007F5E52">
      <w:pPr>
        <w:pStyle w:val="31"/>
        <w:rPr>
          <w:rFonts w:eastAsiaTheme="minorEastAsia"/>
          <w:b w:val="0"/>
          <w:bCs w:val="0"/>
          <w:iCs w:val="0"/>
          <w:lang w:eastAsia="ru-RU"/>
        </w:rPr>
      </w:pPr>
      <w:hyperlink w:anchor="_Toc139361934" w:history="1">
        <w:r w:rsidRPr="007F5E52">
          <w:rPr>
            <w:rStyle w:val="aa"/>
            <w:b w:val="0"/>
          </w:rPr>
          <w:t>2.1.2. Структурная формула</w:t>
        </w:r>
        <w:r w:rsidRPr="007F5E52">
          <w:rPr>
            <w:b w:val="0"/>
            <w:webHidden/>
          </w:rPr>
          <w:tab/>
        </w:r>
        <w:r w:rsidRPr="007F5E52">
          <w:rPr>
            <w:b w:val="0"/>
            <w:webHidden/>
          </w:rPr>
          <w:fldChar w:fldCharType="begin"/>
        </w:r>
        <w:r w:rsidRPr="007F5E52">
          <w:rPr>
            <w:b w:val="0"/>
            <w:webHidden/>
          </w:rPr>
          <w:instrText xml:space="preserve"> PAGEREF _Toc139361934 \h </w:instrText>
        </w:r>
        <w:r w:rsidRPr="007F5E52">
          <w:rPr>
            <w:b w:val="0"/>
            <w:webHidden/>
          </w:rPr>
        </w:r>
        <w:r w:rsidRPr="007F5E52">
          <w:rPr>
            <w:b w:val="0"/>
            <w:webHidden/>
          </w:rPr>
          <w:fldChar w:fldCharType="separate"/>
        </w:r>
        <w:r>
          <w:rPr>
            <w:b w:val="0"/>
            <w:webHidden/>
          </w:rPr>
          <w:t>20</w:t>
        </w:r>
        <w:r w:rsidRPr="007F5E52">
          <w:rPr>
            <w:b w:val="0"/>
            <w:webHidden/>
          </w:rPr>
          <w:fldChar w:fldCharType="end"/>
        </w:r>
      </w:hyperlink>
    </w:p>
    <w:p w14:paraId="617A5FEA" w14:textId="0C255316" w:rsidR="007F5E52" w:rsidRPr="007F5E52" w:rsidRDefault="007F5E52">
      <w:pPr>
        <w:pStyle w:val="31"/>
        <w:rPr>
          <w:rFonts w:eastAsiaTheme="minorEastAsia"/>
          <w:b w:val="0"/>
          <w:bCs w:val="0"/>
          <w:iCs w:val="0"/>
          <w:lang w:eastAsia="ru-RU"/>
        </w:rPr>
      </w:pPr>
      <w:hyperlink w:anchor="_Toc139361935" w:history="1">
        <w:r w:rsidRPr="007F5E52">
          <w:rPr>
            <w:rStyle w:val="aa"/>
            <w:b w:val="0"/>
          </w:rPr>
          <w:t>2.1.3. Физико-химические и фармацевтические свойства</w:t>
        </w:r>
        <w:r w:rsidRPr="007F5E52">
          <w:rPr>
            <w:b w:val="0"/>
            <w:webHidden/>
          </w:rPr>
          <w:tab/>
        </w:r>
        <w:r w:rsidRPr="007F5E52">
          <w:rPr>
            <w:b w:val="0"/>
            <w:webHidden/>
          </w:rPr>
          <w:fldChar w:fldCharType="begin"/>
        </w:r>
        <w:r w:rsidRPr="007F5E52">
          <w:rPr>
            <w:b w:val="0"/>
            <w:webHidden/>
          </w:rPr>
          <w:instrText xml:space="preserve"> PAGEREF _Toc139361935 \h </w:instrText>
        </w:r>
        <w:r w:rsidRPr="007F5E52">
          <w:rPr>
            <w:b w:val="0"/>
            <w:webHidden/>
          </w:rPr>
        </w:r>
        <w:r w:rsidRPr="007F5E52">
          <w:rPr>
            <w:b w:val="0"/>
            <w:webHidden/>
          </w:rPr>
          <w:fldChar w:fldCharType="separate"/>
        </w:r>
        <w:r>
          <w:rPr>
            <w:b w:val="0"/>
            <w:webHidden/>
          </w:rPr>
          <w:t>20</w:t>
        </w:r>
        <w:r w:rsidRPr="007F5E52">
          <w:rPr>
            <w:b w:val="0"/>
            <w:webHidden/>
          </w:rPr>
          <w:fldChar w:fldCharType="end"/>
        </w:r>
      </w:hyperlink>
    </w:p>
    <w:p w14:paraId="2EBE8381" w14:textId="577137D4" w:rsidR="007F5E52" w:rsidRPr="007F5E52" w:rsidRDefault="007F5E52">
      <w:pPr>
        <w:pStyle w:val="21"/>
        <w:rPr>
          <w:rFonts w:eastAsiaTheme="minorEastAsia"/>
          <w:noProof/>
          <w:lang w:eastAsia="ru-RU"/>
        </w:rPr>
      </w:pPr>
      <w:hyperlink w:anchor="_Toc139361936" w:history="1">
        <w:r w:rsidRPr="007F5E52">
          <w:rPr>
            <w:rStyle w:val="aa"/>
            <w:noProof/>
          </w:rPr>
          <w:t>2.2. Лекарственная форма</w:t>
        </w:r>
        <w:r w:rsidRPr="007F5E52">
          <w:rPr>
            <w:noProof/>
            <w:webHidden/>
          </w:rPr>
          <w:tab/>
        </w:r>
        <w:r w:rsidRPr="007F5E52">
          <w:rPr>
            <w:noProof/>
            <w:webHidden/>
          </w:rPr>
          <w:fldChar w:fldCharType="begin"/>
        </w:r>
        <w:r w:rsidRPr="007F5E52">
          <w:rPr>
            <w:noProof/>
            <w:webHidden/>
          </w:rPr>
          <w:instrText xml:space="preserve"> PAGEREF _Toc139361936 \h </w:instrText>
        </w:r>
        <w:r w:rsidRPr="007F5E52">
          <w:rPr>
            <w:noProof/>
            <w:webHidden/>
          </w:rPr>
        </w:r>
        <w:r w:rsidRPr="007F5E52">
          <w:rPr>
            <w:noProof/>
            <w:webHidden/>
          </w:rPr>
          <w:fldChar w:fldCharType="separate"/>
        </w:r>
        <w:r>
          <w:rPr>
            <w:noProof/>
            <w:webHidden/>
          </w:rPr>
          <w:t>21</w:t>
        </w:r>
        <w:r w:rsidRPr="007F5E52">
          <w:rPr>
            <w:noProof/>
            <w:webHidden/>
          </w:rPr>
          <w:fldChar w:fldCharType="end"/>
        </w:r>
      </w:hyperlink>
    </w:p>
    <w:p w14:paraId="5DC7AA21" w14:textId="63869380" w:rsidR="007F5E52" w:rsidRPr="007F5E52" w:rsidRDefault="007F5E52">
      <w:pPr>
        <w:pStyle w:val="31"/>
        <w:rPr>
          <w:rFonts w:eastAsiaTheme="minorEastAsia"/>
          <w:b w:val="0"/>
          <w:bCs w:val="0"/>
          <w:iCs w:val="0"/>
          <w:lang w:eastAsia="ru-RU"/>
        </w:rPr>
      </w:pPr>
      <w:hyperlink w:anchor="_Toc139361937" w:history="1">
        <w:r w:rsidRPr="007F5E52">
          <w:rPr>
            <w:rStyle w:val="aa"/>
            <w:b w:val="0"/>
          </w:rPr>
          <w:t>2.2.1. Название лекарственной формы</w:t>
        </w:r>
        <w:r w:rsidRPr="007F5E52">
          <w:rPr>
            <w:b w:val="0"/>
            <w:webHidden/>
          </w:rPr>
          <w:tab/>
        </w:r>
        <w:r w:rsidRPr="007F5E52">
          <w:rPr>
            <w:b w:val="0"/>
            <w:webHidden/>
          </w:rPr>
          <w:fldChar w:fldCharType="begin"/>
        </w:r>
        <w:r w:rsidRPr="007F5E52">
          <w:rPr>
            <w:b w:val="0"/>
            <w:webHidden/>
          </w:rPr>
          <w:instrText xml:space="preserve"> PAGEREF _Toc139361937 \h </w:instrText>
        </w:r>
        <w:r w:rsidRPr="007F5E52">
          <w:rPr>
            <w:b w:val="0"/>
            <w:webHidden/>
          </w:rPr>
        </w:r>
        <w:r w:rsidRPr="007F5E52">
          <w:rPr>
            <w:b w:val="0"/>
            <w:webHidden/>
          </w:rPr>
          <w:fldChar w:fldCharType="separate"/>
        </w:r>
        <w:r>
          <w:rPr>
            <w:b w:val="0"/>
            <w:webHidden/>
          </w:rPr>
          <w:t>21</w:t>
        </w:r>
        <w:r w:rsidRPr="007F5E52">
          <w:rPr>
            <w:b w:val="0"/>
            <w:webHidden/>
          </w:rPr>
          <w:fldChar w:fldCharType="end"/>
        </w:r>
      </w:hyperlink>
    </w:p>
    <w:p w14:paraId="4FD68BA7" w14:textId="65E04E76" w:rsidR="007F5E52" w:rsidRPr="007F5E52" w:rsidRDefault="007F5E52">
      <w:pPr>
        <w:pStyle w:val="31"/>
        <w:rPr>
          <w:rFonts w:eastAsiaTheme="minorEastAsia"/>
          <w:b w:val="0"/>
          <w:bCs w:val="0"/>
          <w:iCs w:val="0"/>
          <w:lang w:eastAsia="ru-RU"/>
        </w:rPr>
      </w:pPr>
      <w:hyperlink w:anchor="_Toc139361938" w:history="1">
        <w:r w:rsidRPr="007F5E52">
          <w:rPr>
            <w:rStyle w:val="aa"/>
            <w:b w:val="0"/>
          </w:rPr>
          <w:t>2.2.2. Описание лекарственной формы</w:t>
        </w:r>
        <w:r w:rsidRPr="007F5E52">
          <w:rPr>
            <w:b w:val="0"/>
            <w:webHidden/>
          </w:rPr>
          <w:tab/>
        </w:r>
        <w:r w:rsidRPr="007F5E52">
          <w:rPr>
            <w:b w:val="0"/>
            <w:webHidden/>
          </w:rPr>
          <w:fldChar w:fldCharType="begin"/>
        </w:r>
        <w:r w:rsidRPr="007F5E52">
          <w:rPr>
            <w:b w:val="0"/>
            <w:webHidden/>
          </w:rPr>
          <w:instrText xml:space="preserve"> PAGEREF _Toc139361938 \h </w:instrText>
        </w:r>
        <w:r w:rsidRPr="007F5E52">
          <w:rPr>
            <w:b w:val="0"/>
            <w:webHidden/>
          </w:rPr>
        </w:r>
        <w:r w:rsidRPr="007F5E52">
          <w:rPr>
            <w:b w:val="0"/>
            <w:webHidden/>
          </w:rPr>
          <w:fldChar w:fldCharType="separate"/>
        </w:r>
        <w:r>
          <w:rPr>
            <w:b w:val="0"/>
            <w:webHidden/>
          </w:rPr>
          <w:t>21</w:t>
        </w:r>
        <w:r w:rsidRPr="007F5E52">
          <w:rPr>
            <w:b w:val="0"/>
            <w:webHidden/>
          </w:rPr>
          <w:fldChar w:fldCharType="end"/>
        </w:r>
      </w:hyperlink>
    </w:p>
    <w:p w14:paraId="74B8736F" w14:textId="495E722E" w:rsidR="007F5E52" w:rsidRPr="007F5E52" w:rsidRDefault="007F5E52">
      <w:pPr>
        <w:pStyle w:val="31"/>
        <w:rPr>
          <w:rFonts w:eastAsiaTheme="minorEastAsia"/>
          <w:b w:val="0"/>
          <w:bCs w:val="0"/>
          <w:iCs w:val="0"/>
          <w:lang w:eastAsia="ru-RU"/>
        </w:rPr>
      </w:pPr>
      <w:hyperlink w:anchor="_Toc139361939" w:history="1">
        <w:r w:rsidRPr="007F5E52">
          <w:rPr>
            <w:rStyle w:val="aa"/>
            <w:b w:val="0"/>
          </w:rPr>
          <w:t>2.2.3. Состав лекарственной формы</w:t>
        </w:r>
        <w:r w:rsidRPr="007F5E52">
          <w:rPr>
            <w:b w:val="0"/>
            <w:webHidden/>
          </w:rPr>
          <w:tab/>
        </w:r>
        <w:r w:rsidRPr="007F5E52">
          <w:rPr>
            <w:b w:val="0"/>
            <w:webHidden/>
          </w:rPr>
          <w:fldChar w:fldCharType="begin"/>
        </w:r>
        <w:r w:rsidRPr="007F5E52">
          <w:rPr>
            <w:b w:val="0"/>
            <w:webHidden/>
          </w:rPr>
          <w:instrText xml:space="preserve"> PAGEREF _Toc139361939 \h </w:instrText>
        </w:r>
        <w:r w:rsidRPr="007F5E52">
          <w:rPr>
            <w:b w:val="0"/>
            <w:webHidden/>
          </w:rPr>
        </w:r>
        <w:r w:rsidRPr="007F5E52">
          <w:rPr>
            <w:b w:val="0"/>
            <w:webHidden/>
          </w:rPr>
          <w:fldChar w:fldCharType="separate"/>
        </w:r>
        <w:r>
          <w:rPr>
            <w:b w:val="0"/>
            <w:webHidden/>
          </w:rPr>
          <w:t>21</w:t>
        </w:r>
        <w:r w:rsidRPr="007F5E52">
          <w:rPr>
            <w:b w:val="0"/>
            <w:webHidden/>
          </w:rPr>
          <w:fldChar w:fldCharType="end"/>
        </w:r>
      </w:hyperlink>
    </w:p>
    <w:p w14:paraId="63316D7F" w14:textId="431E3788" w:rsidR="007F5E52" w:rsidRPr="007F5E52" w:rsidRDefault="007F5E52">
      <w:pPr>
        <w:pStyle w:val="31"/>
        <w:rPr>
          <w:rFonts w:eastAsiaTheme="minorEastAsia"/>
          <w:b w:val="0"/>
          <w:bCs w:val="0"/>
          <w:iCs w:val="0"/>
          <w:lang w:eastAsia="ru-RU"/>
        </w:rPr>
      </w:pPr>
      <w:hyperlink w:anchor="_Toc139361940" w:history="1">
        <w:r w:rsidRPr="007F5E52">
          <w:rPr>
            <w:rStyle w:val="aa"/>
            <w:b w:val="0"/>
          </w:rPr>
          <w:t>2.2.4 Форма выпуска</w:t>
        </w:r>
        <w:r w:rsidRPr="007F5E52">
          <w:rPr>
            <w:b w:val="0"/>
            <w:webHidden/>
          </w:rPr>
          <w:tab/>
        </w:r>
        <w:r w:rsidRPr="007F5E52">
          <w:rPr>
            <w:b w:val="0"/>
            <w:webHidden/>
          </w:rPr>
          <w:fldChar w:fldCharType="begin"/>
        </w:r>
        <w:r w:rsidRPr="007F5E52">
          <w:rPr>
            <w:b w:val="0"/>
            <w:webHidden/>
          </w:rPr>
          <w:instrText xml:space="preserve"> PAGEREF _Toc139361940 \h </w:instrText>
        </w:r>
        <w:r w:rsidRPr="007F5E52">
          <w:rPr>
            <w:b w:val="0"/>
            <w:webHidden/>
          </w:rPr>
        </w:r>
        <w:r w:rsidRPr="007F5E52">
          <w:rPr>
            <w:b w:val="0"/>
            <w:webHidden/>
          </w:rPr>
          <w:fldChar w:fldCharType="separate"/>
        </w:r>
        <w:r>
          <w:rPr>
            <w:b w:val="0"/>
            <w:webHidden/>
          </w:rPr>
          <w:t>24</w:t>
        </w:r>
        <w:r w:rsidRPr="007F5E52">
          <w:rPr>
            <w:b w:val="0"/>
            <w:webHidden/>
          </w:rPr>
          <w:fldChar w:fldCharType="end"/>
        </w:r>
      </w:hyperlink>
    </w:p>
    <w:p w14:paraId="7A428ADB" w14:textId="705E53A0" w:rsidR="007F5E52" w:rsidRPr="007F5E52" w:rsidRDefault="007F5E52">
      <w:pPr>
        <w:pStyle w:val="21"/>
        <w:rPr>
          <w:rFonts w:eastAsiaTheme="minorEastAsia"/>
          <w:noProof/>
          <w:lang w:eastAsia="ru-RU"/>
        </w:rPr>
      </w:pPr>
      <w:hyperlink w:anchor="_Toc139361941" w:history="1">
        <w:r w:rsidRPr="007F5E52">
          <w:rPr>
            <w:rStyle w:val="aa"/>
            <w:noProof/>
          </w:rPr>
          <w:t>2.3. Правила хранения и обращения</w:t>
        </w:r>
        <w:r w:rsidRPr="007F5E52">
          <w:rPr>
            <w:noProof/>
            <w:webHidden/>
          </w:rPr>
          <w:tab/>
        </w:r>
        <w:r w:rsidRPr="007F5E52">
          <w:rPr>
            <w:noProof/>
            <w:webHidden/>
          </w:rPr>
          <w:fldChar w:fldCharType="begin"/>
        </w:r>
        <w:r w:rsidRPr="007F5E52">
          <w:rPr>
            <w:noProof/>
            <w:webHidden/>
          </w:rPr>
          <w:instrText xml:space="preserve"> PAGEREF _Toc139361941 \h </w:instrText>
        </w:r>
        <w:r w:rsidRPr="007F5E52">
          <w:rPr>
            <w:noProof/>
            <w:webHidden/>
          </w:rPr>
        </w:r>
        <w:r w:rsidRPr="007F5E52">
          <w:rPr>
            <w:noProof/>
            <w:webHidden/>
          </w:rPr>
          <w:fldChar w:fldCharType="separate"/>
        </w:r>
        <w:r>
          <w:rPr>
            <w:noProof/>
            <w:webHidden/>
          </w:rPr>
          <w:t>25</w:t>
        </w:r>
        <w:r w:rsidRPr="007F5E52">
          <w:rPr>
            <w:noProof/>
            <w:webHidden/>
          </w:rPr>
          <w:fldChar w:fldCharType="end"/>
        </w:r>
      </w:hyperlink>
    </w:p>
    <w:p w14:paraId="65D5FF13" w14:textId="3AAA96ED" w:rsidR="007F5E52" w:rsidRPr="007F5E52" w:rsidRDefault="007F5E52">
      <w:pPr>
        <w:pStyle w:val="31"/>
        <w:rPr>
          <w:rFonts w:eastAsiaTheme="minorEastAsia"/>
          <w:b w:val="0"/>
          <w:bCs w:val="0"/>
          <w:iCs w:val="0"/>
          <w:lang w:eastAsia="ru-RU"/>
        </w:rPr>
      </w:pPr>
      <w:hyperlink w:anchor="_Toc139361942" w:history="1">
        <w:r w:rsidRPr="007F5E52">
          <w:rPr>
            <w:rStyle w:val="aa"/>
            <w:b w:val="0"/>
          </w:rPr>
          <w:t>2.3.1. Условия хранения и транспортировки</w:t>
        </w:r>
        <w:r w:rsidRPr="007F5E52">
          <w:rPr>
            <w:b w:val="0"/>
            <w:webHidden/>
          </w:rPr>
          <w:tab/>
        </w:r>
        <w:r w:rsidRPr="007F5E52">
          <w:rPr>
            <w:b w:val="0"/>
            <w:webHidden/>
          </w:rPr>
          <w:fldChar w:fldCharType="begin"/>
        </w:r>
        <w:r w:rsidRPr="007F5E52">
          <w:rPr>
            <w:b w:val="0"/>
            <w:webHidden/>
          </w:rPr>
          <w:instrText xml:space="preserve"> PAGEREF _Toc139361942 \h </w:instrText>
        </w:r>
        <w:r w:rsidRPr="007F5E52">
          <w:rPr>
            <w:b w:val="0"/>
            <w:webHidden/>
          </w:rPr>
        </w:r>
        <w:r w:rsidRPr="007F5E52">
          <w:rPr>
            <w:b w:val="0"/>
            <w:webHidden/>
          </w:rPr>
          <w:fldChar w:fldCharType="separate"/>
        </w:r>
        <w:r>
          <w:rPr>
            <w:b w:val="0"/>
            <w:webHidden/>
          </w:rPr>
          <w:t>25</w:t>
        </w:r>
        <w:r w:rsidRPr="007F5E52">
          <w:rPr>
            <w:b w:val="0"/>
            <w:webHidden/>
          </w:rPr>
          <w:fldChar w:fldCharType="end"/>
        </w:r>
      </w:hyperlink>
    </w:p>
    <w:p w14:paraId="5DA75E22" w14:textId="10EB7E25" w:rsidR="007F5E52" w:rsidRPr="007F5E52" w:rsidRDefault="007F5E52">
      <w:pPr>
        <w:pStyle w:val="31"/>
        <w:rPr>
          <w:rFonts w:eastAsiaTheme="minorEastAsia"/>
          <w:b w:val="0"/>
          <w:bCs w:val="0"/>
          <w:iCs w:val="0"/>
          <w:lang w:eastAsia="ru-RU"/>
        </w:rPr>
      </w:pPr>
      <w:hyperlink w:anchor="_Toc139361943" w:history="1">
        <w:r w:rsidRPr="007F5E52">
          <w:rPr>
            <w:rStyle w:val="aa"/>
            <w:b w:val="0"/>
          </w:rPr>
          <w:t>2.3.2. Срок годности</w:t>
        </w:r>
        <w:r w:rsidRPr="007F5E52">
          <w:rPr>
            <w:b w:val="0"/>
            <w:webHidden/>
          </w:rPr>
          <w:tab/>
        </w:r>
        <w:r w:rsidRPr="007F5E52">
          <w:rPr>
            <w:b w:val="0"/>
            <w:webHidden/>
          </w:rPr>
          <w:fldChar w:fldCharType="begin"/>
        </w:r>
        <w:r w:rsidRPr="007F5E52">
          <w:rPr>
            <w:b w:val="0"/>
            <w:webHidden/>
          </w:rPr>
          <w:instrText xml:space="preserve"> PAGEREF _Toc139361943 \h </w:instrText>
        </w:r>
        <w:r w:rsidRPr="007F5E52">
          <w:rPr>
            <w:b w:val="0"/>
            <w:webHidden/>
          </w:rPr>
        </w:r>
        <w:r w:rsidRPr="007F5E52">
          <w:rPr>
            <w:b w:val="0"/>
            <w:webHidden/>
          </w:rPr>
          <w:fldChar w:fldCharType="separate"/>
        </w:r>
        <w:r>
          <w:rPr>
            <w:b w:val="0"/>
            <w:webHidden/>
          </w:rPr>
          <w:t>25</w:t>
        </w:r>
        <w:r w:rsidRPr="007F5E52">
          <w:rPr>
            <w:b w:val="0"/>
            <w:webHidden/>
          </w:rPr>
          <w:fldChar w:fldCharType="end"/>
        </w:r>
      </w:hyperlink>
    </w:p>
    <w:p w14:paraId="78D31D35" w14:textId="4BB44B45" w:rsidR="007F5E52" w:rsidRPr="007F5E52" w:rsidRDefault="007F5E52">
      <w:pPr>
        <w:pStyle w:val="31"/>
        <w:rPr>
          <w:rFonts w:eastAsiaTheme="minorEastAsia"/>
          <w:b w:val="0"/>
          <w:bCs w:val="0"/>
          <w:iCs w:val="0"/>
          <w:lang w:eastAsia="ru-RU"/>
        </w:rPr>
      </w:pPr>
      <w:hyperlink w:anchor="_Toc139361944" w:history="1">
        <w:r w:rsidRPr="007F5E52">
          <w:rPr>
            <w:rStyle w:val="aa"/>
            <w:b w:val="0"/>
          </w:rPr>
          <w:t>2.3.3. Правила по обращению с препаратом</w:t>
        </w:r>
        <w:r w:rsidRPr="007F5E52">
          <w:rPr>
            <w:b w:val="0"/>
            <w:webHidden/>
          </w:rPr>
          <w:tab/>
        </w:r>
        <w:r w:rsidRPr="007F5E52">
          <w:rPr>
            <w:b w:val="0"/>
            <w:webHidden/>
          </w:rPr>
          <w:fldChar w:fldCharType="begin"/>
        </w:r>
        <w:r w:rsidRPr="007F5E52">
          <w:rPr>
            <w:b w:val="0"/>
            <w:webHidden/>
          </w:rPr>
          <w:instrText xml:space="preserve"> PAGEREF _Toc139361944 \h </w:instrText>
        </w:r>
        <w:r w:rsidRPr="007F5E52">
          <w:rPr>
            <w:b w:val="0"/>
            <w:webHidden/>
          </w:rPr>
        </w:r>
        <w:r w:rsidRPr="007F5E52">
          <w:rPr>
            <w:b w:val="0"/>
            <w:webHidden/>
          </w:rPr>
          <w:fldChar w:fldCharType="separate"/>
        </w:r>
        <w:r>
          <w:rPr>
            <w:b w:val="0"/>
            <w:webHidden/>
          </w:rPr>
          <w:t>25</w:t>
        </w:r>
        <w:r w:rsidRPr="007F5E52">
          <w:rPr>
            <w:b w:val="0"/>
            <w:webHidden/>
          </w:rPr>
          <w:fldChar w:fldCharType="end"/>
        </w:r>
      </w:hyperlink>
    </w:p>
    <w:p w14:paraId="561478CF" w14:textId="638A75E2" w:rsidR="007F5E52" w:rsidRPr="007F5E52" w:rsidRDefault="007F5E52">
      <w:pPr>
        <w:pStyle w:val="31"/>
        <w:rPr>
          <w:rFonts w:eastAsiaTheme="minorEastAsia"/>
          <w:b w:val="0"/>
          <w:bCs w:val="0"/>
          <w:iCs w:val="0"/>
          <w:lang w:eastAsia="ru-RU"/>
        </w:rPr>
      </w:pPr>
      <w:hyperlink w:anchor="_Toc139361945" w:history="1">
        <w:r w:rsidRPr="007F5E52">
          <w:rPr>
            <w:rStyle w:val="aa"/>
            <w:b w:val="0"/>
          </w:rPr>
          <w:t>Список литературы</w:t>
        </w:r>
        <w:r w:rsidRPr="007F5E52">
          <w:rPr>
            <w:b w:val="0"/>
            <w:webHidden/>
          </w:rPr>
          <w:tab/>
        </w:r>
        <w:r w:rsidRPr="007F5E52">
          <w:rPr>
            <w:b w:val="0"/>
            <w:webHidden/>
          </w:rPr>
          <w:fldChar w:fldCharType="begin"/>
        </w:r>
        <w:r w:rsidRPr="007F5E52">
          <w:rPr>
            <w:b w:val="0"/>
            <w:webHidden/>
          </w:rPr>
          <w:instrText xml:space="preserve"> PAGEREF _Toc139361945 \h </w:instrText>
        </w:r>
        <w:r w:rsidRPr="007F5E52">
          <w:rPr>
            <w:b w:val="0"/>
            <w:webHidden/>
          </w:rPr>
        </w:r>
        <w:r w:rsidRPr="007F5E52">
          <w:rPr>
            <w:b w:val="0"/>
            <w:webHidden/>
          </w:rPr>
          <w:fldChar w:fldCharType="separate"/>
        </w:r>
        <w:r>
          <w:rPr>
            <w:b w:val="0"/>
            <w:webHidden/>
          </w:rPr>
          <w:t>25</w:t>
        </w:r>
        <w:r w:rsidRPr="007F5E52">
          <w:rPr>
            <w:b w:val="0"/>
            <w:webHidden/>
          </w:rPr>
          <w:fldChar w:fldCharType="end"/>
        </w:r>
      </w:hyperlink>
    </w:p>
    <w:p w14:paraId="6A6B6F18" w14:textId="199D56DB" w:rsidR="007F5E52" w:rsidRPr="007F5E52" w:rsidRDefault="007F5E52">
      <w:pPr>
        <w:pStyle w:val="14"/>
        <w:rPr>
          <w:rFonts w:eastAsiaTheme="minorEastAsia"/>
          <w:noProof/>
          <w:lang w:eastAsia="ru-RU"/>
        </w:rPr>
      </w:pPr>
      <w:hyperlink w:anchor="_Toc139361946" w:history="1">
        <w:r w:rsidRPr="007F5E52">
          <w:rPr>
            <w:rStyle w:val="aa"/>
            <w:noProof/>
          </w:rPr>
          <w:t>3. РЕЗУЛЬТАТЫ ДОКЛИНИЧЕСКИХ ИССЛЕДОВАНИЙ</w:t>
        </w:r>
        <w:r w:rsidRPr="007F5E52">
          <w:rPr>
            <w:noProof/>
            <w:webHidden/>
          </w:rPr>
          <w:tab/>
        </w:r>
        <w:r w:rsidRPr="007F5E52">
          <w:rPr>
            <w:noProof/>
            <w:webHidden/>
          </w:rPr>
          <w:fldChar w:fldCharType="begin"/>
        </w:r>
        <w:r w:rsidRPr="007F5E52">
          <w:rPr>
            <w:noProof/>
            <w:webHidden/>
          </w:rPr>
          <w:instrText xml:space="preserve"> PAGEREF _Toc139361946 \h </w:instrText>
        </w:r>
        <w:r w:rsidRPr="007F5E52">
          <w:rPr>
            <w:noProof/>
            <w:webHidden/>
          </w:rPr>
        </w:r>
        <w:r w:rsidRPr="007F5E52">
          <w:rPr>
            <w:noProof/>
            <w:webHidden/>
          </w:rPr>
          <w:fldChar w:fldCharType="separate"/>
        </w:r>
        <w:r>
          <w:rPr>
            <w:noProof/>
            <w:webHidden/>
          </w:rPr>
          <w:t>25</w:t>
        </w:r>
        <w:r w:rsidRPr="007F5E52">
          <w:rPr>
            <w:noProof/>
            <w:webHidden/>
          </w:rPr>
          <w:fldChar w:fldCharType="end"/>
        </w:r>
      </w:hyperlink>
    </w:p>
    <w:p w14:paraId="3691DA04" w14:textId="3007CC25" w:rsidR="007F5E52" w:rsidRPr="007F5E52" w:rsidRDefault="007F5E52">
      <w:pPr>
        <w:pStyle w:val="21"/>
        <w:rPr>
          <w:rFonts w:eastAsiaTheme="minorEastAsia"/>
          <w:noProof/>
          <w:lang w:eastAsia="ru-RU"/>
        </w:rPr>
      </w:pPr>
      <w:hyperlink w:anchor="_Toc139361947" w:history="1">
        <w:r w:rsidRPr="007F5E52">
          <w:rPr>
            <w:rStyle w:val="aa"/>
            <w:noProof/>
          </w:rPr>
          <w:t>Введение и резюме</w:t>
        </w:r>
        <w:r w:rsidRPr="007F5E52">
          <w:rPr>
            <w:noProof/>
            <w:webHidden/>
          </w:rPr>
          <w:tab/>
        </w:r>
        <w:r w:rsidRPr="007F5E52">
          <w:rPr>
            <w:noProof/>
            <w:webHidden/>
          </w:rPr>
          <w:fldChar w:fldCharType="begin"/>
        </w:r>
        <w:r w:rsidRPr="007F5E52">
          <w:rPr>
            <w:noProof/>
            <w:webHidden/>
          </w:rPr>
          <w:instrText xml:space="preserve"> PAGEREF _Toc139361947 \h </w:instrText>
        </w:r>
        <w:r w:rsidRPr="007F5E52">
          <w:rPr>
            <w:noProof/>
            <w:webHidden/>
          </w:rPr>
        </w:r>
        <w:r w:rsidRPr="007F5E52">
          <w:rPr>
            <w:noProof/>
            <w:webHidden/>
          </w:rPr>
          <w:fldChar w:fldCharType="separate"/>
        </w:r>
        <w:r>
          <w:rPr>
            <w:noProof/>
            <w:webHidden/>
          </w:rPr>
          <w:t>25</w:t>
        </w:r>
        <w:r w:rsidRPr="007F5E52">
          <w:rPr>
            <w:noProof/>
            <w:webHidden/>
          </w:rPr>
          <w:fldChar w:fldCharType="end"/>
        </w:r>
      </w:hyperlink>
    </w:p>
    <w:p w14:paraId="14658D51" w14:textId="537A6720" w:rsidR="007F5E52" w:rsidRPr="007F5E52" w:rsidRDefault="007F5E52">
      <w:pPr>
        <w:pStyle w:val="21"/>
        <w:rPr>
          <w:rFonts w:eastAsiaTheme="minorEastAsia"/>
          <w:noProof/>
          <w:lang w:eastAsia="ru-RU"/>
        </w:rPr>
      </w:pPr>
      <w:hyperlink w:anchor="_Toc139361948" w:history="1">
        <w:r w:rsidRPr="007F5E52">
          <w:rPr>
            <w:rStyle w:val="aa"/>
            <w:noProof/>
          </w:rPr>
          <w:t>3.1 Доклиническая фармакология</w:t>
        </w:r>
        <w:r w:rsidRPr="007F5E52">
          <w:rPr>
            <w:noProof/>
            <w:webHidden/>
          </w:rPr>
          <w:tab/>
        </w:r>
        <w:r w:rsidRPr="007F5E52">
          <w:rPr>
            <w:noProof/>
            <w:webHidden/>
          </w:rPr>
          <w:fldChar w:fldCharType="begin"/>
        </w:r>
        <w:r w:rsidRPr="007F5E52">
          <w:rPr>
            <w:noProof/>
            <w:webHidden/>
          </w:rPr>
          <w:instrText xml:space="preserve"> PAGEREF _Toc139361948 \h </w:instrText>
        </w:r>
        <w:r w:rsidRPr="007F5E52">
          <w:rPr>
            <w:noProof/>
            <w:webHidden/>
          </w:rPr>
        </w:r>
        <w:r w:rsidRPr="007F5E52">
          <w:rPr>
            <w:noProof/>
            <w:webHidden/>
          </w:rPr>
          <w:fldChar w:fldCharType="separate"/>
        </w:r>
        <w:r>
          <w:rPr>
            <w:noProof/>
            <w:webHidden/>
          </w:rPr>
          <w:t>27</w:t>
        </w:r>
        <w:r w:rsidRPr="007F5E52">
          <w:rPr>
            <w:noProof/>
            <w:webHidden/>
          </w:rPr>
          <w:fldChar w:fldCharType="end"/>
        </w:r>
      </w:hyperlink>
    </w:p>
    <w:p w14:paraId="16EB294E" w14:textId="53BAD96A" w:rsidR="007F5E52" w:rsidRPr="007F5E52" w:rsidRDefault="007F5E52">
      <w:pPr>
        <w:pStyle w:val="31"/>
        <w:rPr>
          <w:rFonts w:eastAsiaTheme="minorEastAsia"/>
          <w:b w:val="0"/>
          <w:bCs w:val="0"/>
          <w:iCs w:val="0"/>
          <w:lang w:eastAsia="ru-RU"/>
        </w:rPr>
      </w:pPr>
      <w:hyperlink w:anchor="_Toc139361949" w:history="1">
        <w:r w:rsidRPr="007F5E52">
          <w:rPr>
            <w:rStyle w:val="aa"/>
            <w:b w:val="0"/>
          </w:rPr>
          <w:t>3.1.1. Механизм действия</w:t>
        </w:r>
        <w:r w:rsidRPr="007F5E52">
          <w:rPr>
            <w:b w:val="0"/>
            <w:webHidden/>
          </w:rPr>
          <w:tab/>
        </w:r>
        <w:r w:rsidRPr="007F5E52">
          <w:rPr>
            <w:b w:val="0"/>
            <w:webHidden/>
          </w:rPr>
          <w:fldChar w:fldCharType="begin"/>
        </w:r>
        <w:r w:rsidRPr="007F5E52">
          <w:rPr>
            <w:b w:val="0"/>
            <w:webHidden/>
          </w:rPr>
          <w:instrText xml:space="preserve"> PAGEREF _Toc139361949 \h </w:instrText>
        </w:r>
        <w:r w:rsidRPr="007F5E52">
          <w:rPr>
            <w:b w:val="0"/>
            <w:webHidden/>
          </w:rPr>
        </w:r>
        <w:r w:rsidRPr="007F5E52">
          <w:rPr>
            <w:b w:val="0"/>
            <w:webHidden/>
          </w:rPr>
          <w:fldChar w:fldCharType="separate"/>
        </w:r>
        <w:r>
          <w:rPr>
            <w:b w:val="0"/>
            <w:webHidden/>
          </w:rPr>
          <w:t>27</w:t>
        </w:r>
        <w:r w:rsidRPr="007F5E52">
          <w:rPr>
            <w:b w:val="0"/>
            <w:webHidden/>
          </w:rPr>
          <w:fldChar w:fldCharType="end"/>
        </w:r>
      </w:hyperlink>
    </w:p>
    <w:p w14:paraId="569C56BF" w14:textId="5235F428" w:rsidR="007F5E52" w:rsidRPr="007F5E52" w:rsidRDefault="007F5E52">
      <w:pPr>
        <w:pStyle w:val="31"/>
        <w:rPr>
          <w:rFonts w:eastAsiaTheme="minorEastAsia"/>
          <w:b w:val="0"/>
          <w:bCs w:val="0"/>
          <w:iCs w:val="0"/>
          <w:lang w:eastAsia="ru-RU"/>
        </w:rPr>
      </w:pPr>
      <w:hyperlink w:anchor="_Toc139361950" w:history="1">
        <w:r w:rsidRPr="007F5E52">
          <w:rPr>
            <w:rStyle w:val="aa"/>
            <w:b w:val="0"/>
          </w:rPr>
          <w:t>3.1.2. Первичная фармакодинамика</w:t>
        </w:r>
        <w:r w:rsidRPr="007F5E52">
          <w:rPr>
            <w:b w:val="0"/>
            <w:webHidden/>
          </w:rPr>
          <w:tab/>
        </w:r>
        <w:r w:rsidRPr="007F5E52">
          <w:rPr>
            <w:b w:val="0"/>
            <w:webHidden/>
          </w:rPr>
          <w:fldChar w:fldCharType="begin"/>
        </w:r>
        <w:r w:rsidRPr="007F5E52">
          <w:rPr>
            <w:b w:val="0"/>
            <w:webHidden/>
          </w:rPr>
          <w:instrText xml:space="preserve"> PAGEREF _Toc139361950 \h </w:instrText>
        </w:r>
        <w:r w:rsidRPr="007F5E52">
          <w:rPr>
            <w:b w:val="0"/>
            <w:webHidden/>
          </w:rPr>
        </w:r>
        <w:r w:rsidRPr="007F5E52">
          <w:rPr>
            <w:b w:val="0"/>
            <w:webHidden/>
          </w:rPr>
          <w:fldChar w:fldCharType="separate"/>
        </w:r>
        <w:r>
          <w:rPr>
            <w:b w:val="0"/>
            <w:webHidden/>
          </w:rPr>
          <w:t>28</w:t>
        </w:r>
        <w:r w:rsidRPr="007F5E52">
          <w:rPr>
            <w:b w:val="0"/>
            <w:webHidden/>
          </w:rPr>
          <w:fldChar w:fldCharType="end"/>
        </w:r>
      </w:hyperlink>
    </w:p>
    <w:p w14:paraId="46B8CD2E" w14:textId="28CF2DD8" w:rsidR="007F5E52" w:rsidRPr="007F5E52" w:rsidRDefault="007F5E52">
      <w:pPr>
        <w:pStyle w:val="41"/>
        <w:tabs>
          <w:tab w:val="right" w:leader="dot" w:pos="9346"/>
        </w:tabs>
        <w:rPr>
          <w:rFonts w:eastAsiaTheme="minorEastAsia"/>
          <w:noProof/>
          <w:lang w:eastAsia="ru-RU"/>
        </w:rPr>
      </w:pPr>
      <w:hyperlink w:anchor="_Toc139361951" w:history="1">
        <w:r w:rsidRPr="007F5E52">
          <w:rPr>
            <w:rStyle w:val="aa"/>
            <w:noProof/>
          </w:rPr>
          <w:t xml:space="preserve">3.1.2.1. Первичная фармакодинамика </w:t>
        </w:r>
        <w:r w:rsidRPr="007F5E52">
          <w:rPr>
            <w:rStyle w:val="aa"/>
            <w:i/>
            <w:noProof/>
          </w:rPr>
          <w:t>in vitro</w:t>
        </w:r>
        <w:r w:rsidRPr="007F5E52">
          <w:rPr>
            <w:noProof/>
            <w:webHidden/>
          </w:rPr>
          <w:tab/>
        </w:r>
        <w:r w:rsidRPr="007F5E52">
          <w:rPr>
            <w:noProof/>
            <w:webHidden/>
          </w:rPr>
          <w:fldChar w:fldCharType="begin"/>
        </w:r>
        <w:r w:rsidRPr="007F5E52">
          <w:rPr>
            <w:noProof/>
            <w:webHidden/>
          </w:rPr>
          <w:instrText xml:space="preserve"> PAGEREF _Toc139361951 \h </w:instrText>
        </w:r>
        <w:r w:rsidRPr="007F5E52">
          <w:rPr>
            <w:noProof/>
            <w:webHidden/>
          </w:rPr>
        </w:r>
        <w:r w:rsidRPr="007F5E52">
          <w:rPr>
            <w:noProof/>
            <w:webHidden/>
          </w:rPr>
          <w:fldChar w:fldCharType="separate"/>
        </w:r>
        <w:r>
          <w:rPr>
            <w:noProof/>
            <w:webHidden/>
          </w:rPr>
          <w:t>28</w:t>
        </w:r>
        <w:r w:rsidRPr="007F5E52">
          <w:rPr>
            <w:noProof/>
            <w:webHidden/>
          </w:rPr>
          <w:fldChar w:fldCharType="end"/>
        </w:r>
      </w:hyperlink>
    </w:p>
    <w:p w14:paraId="3AA437DA" w14:textId="3ED10260" w:rsidR="007F5E52" w:rsidRPr="007F5E52" w:rsidRDefault="007F5E52">
      <w:pPr>
        <w:pStyle w:val="41"/>
        <w:tabs>
          <w:tab w:val="right" w:leader="dot" w:pos="9346"/>
        </w:tabs>
        <w:rPr>
          <w:rFonts w:eastAsiaTheme="minorEastAsia"/>
          <w:noProof/>
          <w:lang w:eastAsia="ru-RU"/>
        </w:rPr>
      </w:pPr>
      <w:hyperlink w:anchor="_Toc139361952" w:history="1">
        <w:r w:rsidRPr="007F5E52">
          <w:rPr>
            <w:rStyle w:val="aa"/>
            <w:noProof/>
          </w:rPr>
          <w:t xml:space="preserve">3.1.2.2. Первичная фармакодинамика </w:t>
        </w:r>
        <w:r w:rsidRPr="007F5E52">
          <w:rPr>
            <w:rStyle w:val="aa"/>
            <w:i/>
            <w:noProof/>
          </w:rPr>
          <w:t>in vivo</w:t>
        </w:r>
        <w:r w:rsidRPr="007F5E52">
          <w:rPr>
            <w:noProof/>
            <w:webHidden/>
          </w:rPr>
          <w:tab/>
        </w:r>
        <w:r w:rsidRPr="007F5E52">
          <w:rPr>
            <w:noProof/>
            <w:webHidden/>
          </w:rPr>
          <w:fldChar w:fldCharType="begin"/>
        </w:r>
        <w:r w:rsidRPr="007F5E52">
          <w:rPr>
            <w:noProof/>
            <w:webHidden/>
          </w:rPr>
          <w:instrText xml:space="preserve"> PAGEREF _Toc139361952 \h </w:instrText>
        </w:r>
        <w:r w:rsidRPr="007F5E52">
          <w:rPr>
            <w:noProof/>
            <w:webHidden/>
          </w:rPr>
        </w:r>
        <w:r w:rsidRPr="007F5E52">
          <w:rPr>
            <w:noProof/>
            <w:webHidden/>
          </w:rPr>
          <w:fldChar w:fldCharType="separate"/>
        </w:r>
        <w:r>
          <w:rPr>
            <w:noProof/>
            <w:webHidden/>
          </w:rPr>
          <w:t>29</w:t>
        </w:r>
        <w:r w:rsidRPr="007F5E52">
          <w:rPr>
            <w:noProof/>
            <w:webHidden/>
          </w:rPr>
          <w:fldChar w:fldCharType="end"/>
        </w:r>
      </w:hyperlink>
    </w:p>
    <w:p w14:paraId="48FF6D61" w14:textId="1FABC395" w:rsidR="007F5E52" w:rsidRPr="007F5E52" w:rsidRDefault="007F5E52">
      <w:pPr>
        <w:pStyle w:val="31"/>
        <w:rPr>
          <w:rFonts w:eastAsiaTheme="minorEastAsia"/>
          <w:b w:val="0"/>
          <w:bCs w:val="0"/>
          <w:iCs w:val="0"/>
          <w:lang w:eastAsia="ru-RU"/>
        </w:rPr>
      </w:pPr>
      <w:hyperlink w:anchor="_Toc139361953" w:history="1">
        <w:r w:rsidRPr="007F5E52">
          <w:rPr>
            <w:rStyle w:val="aa"/>
            <w:b w:val="0"/>
          </w:rPr>
          <w:t>3.1.3. Вторичная фармакодинамика</w:t>
        </w:r>
        <w:r w:rsidRPr="007F5E52">
          <w:rPr>
            <w:b w:val="0"/>
            <w:webHidden/>
          </w:rPr>
          <w:tab/>
        </w:r>
        <w:r w:rsidRPr="007F5E52">
          <w:rPr>
            <w:b w:val="0"/>
            <w:webHidden/>
          </w:rPr>
          <w:fldChar w:fldCharType="begin"/>
        </w:r>
        <w:r w:rsidRPr="007F5E52">
          <w:rPr>
            <w:b w:val="0"/>
            <w:webHidden/>
          </w:rPr>
          <w:instrText xml:space="preserve"> PAGEREF _Toc139361953 \h </w:instrText>
        </w:r>
        <w:r w:rsidRPr="007F5E52">
          <w:rPr>
            <w:b w:val="0"/>
            <w:webHidden/>
          </w:rPr>
        </w:r>
        <w:r w:rsidRPr="007F5E52">
          <w:rPr>
            <w:b w:val="0"/>
            <w:webHidden/>
          </w:rPr>
          <w:fldChar w:fldCharType="separate"/>
        </w:r>
        <w:r>
          <w:rPr>
            <w:b w:val="0"/>
            <w:webHidden/>
          </w:rPr>
          <w:t>30</w:t>
        </w:r>
        <w:r w:rsidRPr="007F5E52">
          <w:rPr>
            <w:b w:val="0"/>
            <w:webHidden/>
          </w:rPr>
          <w:fldChar w:fldCharType="end"/>
        </w:r>
      </w:hyperlink>
    </w:p>
    <w:p w14:paraId="0A13EB26" w14:textId="570D8BB3" w:rsidR="007F5E52" w:rsidRPr="007F5E52" w:rsidRDefault="007F5E52">
      <w:pPr>
        <w:pStyle w:val="31"/>
        <w:rPr>
          <w:rFonts w:eastAsiaTheme="minorEastAsia"/>
          <w:b w:val="0"/>
          <w:bCs w:val="0"/>
          <w:iCs w:val="0"/>
          <w:lang w:eastAsia="ru-RU"/>
        </w:rPr>
      </w:pPr>
      <w:hyperlink w:anchor="_Toc139361954" w:history="1">
        <w:r w:rsidRPr="007F5E52">
          <w:rPr>
            <w:rStyle w:val="aa"/>
            <w:b w:val="0"/>
          </w:rPr>
          <w:t>3.1.4. Фармакологическая безопасность</w:t>
        </w:r>
        <w:r w:rsidRPr="007F5E52">
          <w:rPr>
            <w:b w:val="0"/>
            <w:webHidden/>
          </w:rPr>
          <w:tab/>
        </w:r>
        <w:r w:rsidRPr="007F5E52">
          <w:rPr>
            <w:b w:val="0"/>
            <w:webHidden/>
          </w:rPr>
          <w:fldChar w:fldCharType="begin"/>
        </w:r>
        <w:r w:rsidRPr="007F5E52">
          <w:rPr>
            <w:b w:val="0"/>
            <w:webHidden/>
          </w:rPr>
          <w:instrText xml:space="preserve"> PAGEREF _Toc139361954 \h </w:instrText>
        </w:r>
        <w:r w:rsidRPr="007F5E52">
          <w:rPr>
            <w:b w:val="0"/>
            <w:webHidden/>
          </w:rPr>
        </w:r>
        <w:r w:rsidRPr="007F5E52">
          <w:rPr>
            <w:b w:val="0"/>
            <w:webHidden/>
          </w:rPr>
          <w:fldChar w:fldCharType="separate"/>
        </w:r>
        <w:r>
          <w:rPr>
            <w:b w:val="0"/>
            <w:webHidden/>
          </w:rPr>
          <w:t>31</w:t>
        </w:r>
        <w:r w:rsidRPr="007F5E52">
          <w:rPr>
            <w:b w:val="0"/>
            <w:webHidden/>
          </w:rPr>
          <w:fldChar w:fldCharType="end"/>
        </w:r>
      </w:hyperlink>
    </w:p>
    <w:p w14:paraId="3930BA2A" w14:textId="6B7A68A5" w:rsidR="007F5E52" w:rsidRPr="007F5E52" w:rsidRDefault="007F5E52">
      <w:pPr>
        <w:pStyle w:val="31"/>
        <w:rPr>
          <w:rFonts w:eastAsiaTheme="minorEastAsia"/>
          <w:b w:val="0"/>
          <w:bCs w:val="0"/>
          <w:iCs w:val="0"/>
          <w:lang w:eastAsia="ru-RU"/>
        </w:rPr>
      </w:pPr>
      <w:hyperlink w:anchor="_Toc139361955" w:history="1">
        <w:r w:rsidRPr="007F5E52">
          <w:rPr>
            <w:rStyle w:val="aa"/>
            <w:b w:val="0"/>
          </w:rPr>
          <w:t>3.1.5. Фармакодинамические лекарственные взаимодействия</w:t>
        </w:r>
        <w:r w:rsidRPr="007F5E52">
          <w:rPr>
            <w:b w:val="0"/>
            <w:webHidden/>
          </w:rPr>
          <w:tab/>
        </w:r>
        <w:r w:rsidRPr="007F5E52">
          <w:rPr>
            <w:b w:val="0"/>
            <w:webHidden/>
          </w:rPr>
          <w:fldChar w:fldCharType="begin"/>
        </w:r>
        <w:r w:rsidRPr="007F5E52">
          <w:rPr>
            <w:b w:val="0"/>
            <w:webHidden/>
          </w:rPr>
          <w:instrText xml:space="preserve"> PAGEREF _Toc139361955 \h </w:instrText>
        </w:r>
        <w:r w:rsidRPr="007F5E52">
          <w:rPr>
            <w:b w:val="0"/>
            <w:webHidden/>
          </w:rPr>
        </w:r>
        <w:r w:rsidRPr="007F5E52">
          <w:rPr>
            <w:b w:val="0"/>
            <w:webHidden/>
          </w:rPr>
          <w:fldChar w:fldCharType="separate"/>
        </w:r>
        <w:r>
          <w:rPr>
            <w:b w:val="0"/>
            <w:webHidden/>
          </w:rPr>
          <w:t>32</w:t>
        </w:r>
        <w:r w:rsidRPr="007F5E52">
          <w:rPr>
            <w:b w:val="0"/>
            <w:webHidden/>
          </w:rPr>
          <w:fldChar w:fldCharType="end"/>
        </w:r>
      </w:hyperlink>
    </w:p>
    <w:p w14:paraId="1D62C14A" w14:textId="682D3AE1" w:rsidR="007F5E52" w:rsidRPr="007F5E52" w:rsidRDefault="007F5E52">
      <w:pPr>
        <w:pStyle w:val="21"/>
        <w:rPr>
          <w:rFonts w:eastAsiaTheme="minorEastAsia"/>
          <w:noProof/>
          <w:lang w:eastAsia="ru-RU"/>
        </w:rPr>
      </w:pPr>
      <w:hyperlink w:anchor="_Toc139361956" w:history="1">
        <w:r w:rsidRPr="007F5E52">
          <w:rPr>
            <w:rStyle w:val="aa"/>
            <w:noProof/>
          </w:rPr>
          <w:t>3.2. Доклиническая фармакокинетика</w:t>
        </w:r>
        <w:r w:rsidRPr="007F5E52">
          <w:rPr>
            <w:noProof/>
            <w:webHidden/>
          </w:rPr>
          <w:tab/>
        </w:r>
        <w:r w:rsidRPr="007F5E52">
          <w:rPr>
            <w:noProof/>
            <w:webHidden/>
          </w:rPr>
          <w:fldChar w:fldCharType="begin"/>
        </w:r>
        <w:r w:rsidRPr="007F5E52">
          <w:rPr>
            <w:noProof/>
            <w:webHidden/>
          </w:rPr>
          <w:instrText xml:space="preserve"> PAGEREF _Toc139361956 \h </w:instrText>
        </w:r>
        <w:r w:rsidRPr="007F5E52">
          <w:rPr>
            <w:noProof/>
            <w:webHidden/>
          </w:rPr>
        </w:r>
        <w:r w:rsidRPr="007F5E52">
          <w:rPr>
            <w:noProof/>
            <w:webHidden/>
          </w:rPr>
          <w:fldChar w:fldCharType="separate"/>
        </w:r>
        <w:r>
          <w:rPr>
            <w:noProof/>
            <w:webHidden/>
          </w:rPr>
          <w:t>33</w:t>
        </w:r>
        <w:r w:rsidRPr="007F5E52">
          <w:rPr>
            <w:noProof/>
            <w:webHidden/>
          </w:rPr>
          <w:fldChar w:fldCharType="end"/>
        </w:r>
      </w:hyperlink>
    </w:p>
    <w:p w14:paraId="709DFA2A" w14:textId="5E9CA040" w:rsidR="007F5E52" w:rsidRPr="007F5E52" w:rsidRDefault="007F5E52">
      <w:pPr>
        <w:pStyle w:val="31"/>
        <w:rPr>
          <w:rFonts w:eastAsiaTheme="minorEastAsia"/>
          <w:b w:val="0"/>
          <w:bCs w:val="0"/>
          <w:iCs w:val="0"/>
          <w:lang w:eastAsia="ru-RU"/>
        </w:rPr>
      </w:pPr>
      <w:hyperlink w:anchor="_Toc139361957" w:history="1">
        <w:r w:rsidRPr="007F5E52">
          <w:rPr>
            <w:rStyle w:val="aa"/>
            <w:b w:val="0"/>
          </w:rPr>
          <w:t>3.2.1. Всасывание</w:t>
        </w:r>
        <w:r w:rsidRPr="007F5E52">
          <w:rPr>
            <w:b w:val="0"/>
            <w:webHidden/>
          </w:rPr>
          <w:tab/>
        </w:r>
        <w:r w:rsidRPr="007F5E52">
          <w:rPr>
            <w:b w:val="0"/>
            <w:webHidden/>
          </w:rPr>
          <w:fldChar w:fldCharType="begin"/>
        </w:r>
        <w:r w:rsidRPr="007F5E52">
          <w:rPr>
            <w:b w:val="0"/>
            <w:webHidden/>
          </w:rPr>
          <w:instrText xml:space="preserve"> PAGEREF _Toc139361957 \h </w:instrText>
        </w:r>
        <w:r w:rsidRPr="007F5E52">
          <w:rPr>
            <w:b w:val="0"/>
            <w:webHidden/>
          </w:rPr>
        </w:r>
        <w:r w:rsidRPr="007F5E52">
          <w:rPr>
            <w:b w:val="0"/>
            <w:webHidden/>
          </w:rPr>
          <w:fldChar w:fldCharType="separate"/>
        </w:r>
        <w:r>
          <w:rPr>
            <w:b w:val="0"/>
            <w:webHidden/>
          </w:rPr>
          <w:t>33</w:t>
        </w:r>
        <w:r w:rsidRPr="007F5E52">
          <w:rPr>
            <w:b w:val="0"/>
            <w:webHidden/>
          </w:rPr>
          <w:fldChar w:fldCharType="end"/>
        </w:r>
      </w:hyperlink>
    </w:p>
    <w:p w14:paraId="779305A1" w14:textId="11F75274" w:rsidR="007F5E52" w:rsidRPr="007F5E52" w:rsidRDefault="007F5E52">
      <w:pPr>
        <w:pStyle w:val="31"/>
        <w:rPr>
          <w:rFonts w:eastAsiaTheme="minorEastAsia"/>
          <w:b w:val="0"/>
          <w:bCs w:val="0"/>
          <w:iCs w:val="0"/>
          <w:lang w:eastAsia="ru-RU"/>
        </w:rPr>
      </w:pPr>
      <w:hyperlink w:anchor="_Toc139361958" w:history="1">
        <w:r w:rsidRPr="007F5E52">
          <w:rPr>
            <w:rStyle w:val="aa"/>
            <w:b w:val="0"/>
          </w:rPr>
          <w:t>3.2.2. Распределение</w:t>
        </w:r>
        <w:r w:rsidRPr="007F5E52">
          <w:rPr>
            <w:b w:val="0"/>
            <w:webHidden/>
          </w:rPr>
          <w:tab/>
        </w:r>
        <w:r w:rsidRPr="007F5E52">
          <w:rPr>
            <w:b w:val="0"/>
            <w:webHidden/>
          </w:rPr>
          <w:fldChar w:fldCharType="begin"/>
        </w:r>
        <w:r w:rsidRPr="007F5E52">
          <w:rPr>
            <w:b w:val="0"/>
            <w:webHidden/>
          </w:rPr>
          <w:instrText xml:space="preserve"> PAGEREF _Toc139361958 \h </w:instrText>
        </w:r>
        <w:r w:rsidRPr="007F5E52">
          <w:rPr>
            <w:b w:val="0"/>
            <w:webHidden/>
          </w:rPr>
        </w:r>
        <w:r w:rsidRPr="007F5E52">
          <w:rPr>
            <w:b w:val="0"/>
            <w:webHidden/>
          </w:rPr>
          <w:fldChar w:fldCharType="separate"/>
        </w:r>
        <w:r>
          <w:rPr>
            <w:b w:val="0"/>
            <w:webHidden/>
          </w:rPr>
          <w:t>33</w:t>
        </w:r>
        <w:r w:rsidRPr="007F5E52">
          <w:rPr>
            <w:b w:val="0"/>
            <w:webHidden/>
          </w:rPr>
          <w:fldChar w:fldCharType="end"/>
        </w:r>
      </w:hyperlink>
    </w:p>
    <w:p w14:paraId="5E4BF2BD" w14:textId="4DE396D2" w:rsidR="007F5E52" w:rsidRPr="007F5E52" w:rsidRDefault="007F5E52">
      <w:pPr>
        <w:pStyle w:val="31"/>
        <w:rPr>
          <w:rFonts w:eastAsiaTheme="minorEastAsia"/>
          <w:b w:val="0"/>
          <w:bCs w:val="0"/>
          <w:iCs w:val="0"/>
          <w:lang w:eastAsia="ru-RU"/>
        </w:rPr>
      </w:pPr>
      <w:hyperlink w:anchor="_Toc139361959" w:history="1">
        <w:r w:rsidRPr="007F5E52">
          <w:rPr>
            <w:rStyle w:val="aa"/>
            <w:b w:val="0"/>
          </w:rPr>
          <w:t>3.2.3. Связывание с белками плазмы</w:t>
        </w:r>
        <w:r w:rsidRPr="007F5E52">
          <w:rPr>
            <w:b w:val="0"/>
            <w:webHidden/>
          </w:rPr>
          <w:tab/>
        </w:r>
        <w:r w:rsidRPr="007F5E52">
          <w:rPr>
            <w:b w:val="0"/>
            <w:webHidden/>
          </w:rPr>
          <w:fldChar w:fldCharType="begin"/>
        </w:r>
        <w:r w:rsidRPr="007F5E52">
          <w:rPr>
            <w:b w:val="0"/>
            <w:webHidden/>
          </w:rPr>
          <w:instrText xml:space="preserve"> PAGEREF _Toc139361959 \h </w:instrText>
        </w:r>
        <w:r w:rsidRPr="007F5E52">
          <w:rPr>
            <w:b w:val="0"/>
            <w:webHidden/>
          </w:rPr>
        </w:r>
        <w:r w:rsidRPr="007F5E52">
          <w:rPr>
            <w:b w:val="0"/>
            <w:webHidden/>
          </w:rPr>
          <w:fldChar w:fldCharType="separate"/>
        </w:r>
        <w:r>
          <w:rPr>
            <w:b w:val="0"/>
            <w:webHidden/>
          </w:rPr>
          <w:t>34</w:t>
        </w:r>
        <w:r w:rsidRPr="007F5E52">
          <w:rPr>
            <w:b w:val="0"/>
            <w:webHidden/>
          </w:rPr>
          <w:fldChar w:fldCharType="end"/>
        </w:r>
      </w:hyperlink>
    </w:p>
    <w:p w14:paraId="22AC233D" w14:textId="23B84B54" w:rsidR="007F5E52" w:rsidRPr="007F5E52" w:rsidRDefault="007F5E52">
      <w:pPr>
        <w:pStyle w:val="31"/>
        <w:rPr>
          <w:rFonts w:eastAsiaTheme="minorEastAsia"/>
          <w:b w:val="0"/>
          <w:bCs w:val="0"/>
          <w:iCs w:val="0"/>
          <w:lang w:eastAsia="ru-RU"/>
        </w:rPr>
      </w:pPr>
      <w:hyperlink w:anchor="_Toc139361960" w:history="1">
        <w:r w:rsidRPr="007F5E52">
          <w:rPr>
            <w:rStyle w:val="aa"/>
            <w:b w:val="0"/>
          </w:rPr>
          <w:t>3.2.4. Метаболизм</w:t>
        </w:r>
        <w:r w:rsidRPr="007F5E52">
          <w:rPr>
            <w:b w:val="0"/>
            <w:webHidden/>
          </w:rPr>
          <w:tab/>
        </w:r>
        <w:r w:rsidRPr="007F5E52">
          <w:rPr>
            <w:b w:val="0"/>
            <w:webHidden/>
          </w:rPr>
          <w:fldChar w:fldCharType="begin"/>
        </w:r>
        <w:r w:rsidRPr="007F5E52">
          <w:rPr>
            <w:b w:val="0"/>
            <w:webHidden/>
          </w:rPr>
          <w:instrText xml:space="preserve"> PAGEREF _Toc139361960 \h </w:instrText>
        </w:r>
        <w:r w:rsidRPr="007F5E52">
          <w:rPr>
            <w:b w:val="0"/>
            <w:webHidden/>
          </w:rPr>
        </w:r>
        <w:r w:rsidRPr="007F5E52">
          <w:rPr>
            <w:b w:val="0"/>
            <w:webHidden/>
          </w:rPr>
          <w:fldChar w:fldCharType="separate"/>
        </w:r>
        <w:r>
          <w:rPr>
            <w:b w:val="0"/>
            <w:webHidden/>
          </w:rPr>
          <w:t>34</w:t>
        </w:r>
        <w:r w:rsidRPr="007F5E52">
          <w:rPr>
            <w:b w:val="0"/>
            <w:webHidden/>
          </w:rPr>
          <w:fldChar w:fldCharType="end"/>
        </w:r>
      </w:hyperlink>
    </w:p>
    <w:p w14:paraId="40D0A830" w14:textId="4801BF23" w:rsidR="007F5E52" w:rsidRPr="007F5E52" w:rsidRDefault="007F5E52">
      <w:pPr>
        <w:pStyle w:val="31"/>
        <w:rPr>
          <w:rFonts w:eastAsiaTheme="minorEastAsia"/>
          <w:b w:val="0"/>
          <w:bCs w:val="0"/>
          <w:iCs w:val="0"/>
          <w:lang w:eastAsia="ru-RU"/>
        </w:rPr>
      </w:pPr>
      <w:hyperlink w:anchor="_Toc139361961" w:history="1">
        <w:r w:rsidRPr="007F5E52">
          <w:rPr>
            <w:rStyle w:val="aa"/>
            <w:b w:val="0"/>
          </w:rPr>
          <w:t>3.2.5. Выведение</w:t>
        </w:r>
        <w:r w:rsidRPr="007F5E52">
          <w:rPr>
            <w:b w:val="0"/>
            <w:webHidden/>
          </w:rPr>
          <w:tab/>
        </w:r>
        <w:r w:rsidRPr="007F5E52">
          <w:rPr>
            <w:b w:val="0"/>
            <w:webHidden/>
          </w:rPr>
          <w:fldChar w:fldCharType="begin"/>
        </w:r>
        <w:r w:rsidRPr="007F5E52">
          <w:rPr>
            <w:b w:val="0"/>
            <w:webHidden/>
          </w:rPr>
          <w:instrText xml:space="preserve"> PAGEREF _Toc139361961 \h </w:instrText>
        </w:r>
        <w:r w:rsidRPr="007F5E52">
          <w:rPr>
            <w:b w:val="0"/>
            <w:webHidden/>
          </w:rPr>
        </w:r>
        <w:r w:rsidRPr="007F5E52">
          <w:rPr>
            <w:b w:val="0"/>
            <w:webHidden/>
          </w:rPr>
          <w:fldChar w:fldCharType="separate"/>
        </w:r>
        <w:r>
          <w:rPr>
            <w:b w:val="0"/>
            <w:webHidden/>
          </w:rPr>
          <w:t>35</w:t>
        </w:r>
        <w:r w:rsidRPr="007F5E52">
          <w:rPr>
            <w:b w:val="0"/>
            <w:webHidden/>
          </w:rPr>
          <w:fldChar w:fldCharType="end"/>
        </w:r>
      </w:hyperlink>
    </w:p>
    <w:p w14:paraId="1FD108CA" w14:textId="7724EB8B" w:rsidR="007F5E52" w:rsidRPr="007F5E52" w:rsidRDefault="007F5E52">
      <w:pPr>
        <w:pStyle w:val="31"/>
        <w:rPr>
          <w:rFonts w:eastAsiaTheme="minorEastAsia"/>
          <w:b w:val="0"/>
          <w:bCs w:val="0"/>
          <w:iCs w:val="0"/>
          <w:lang w:eastAsia="ru-RU"/>
        </w:rPr>
      </w:pPr>
      <w:hyperlink w:anchor="_Toc139361962" w:history="1">
        <w:r w:rsidRPr="007F5E52">
          <w:rPr>
            <w:rStyle w:val="aa"/>
            <w:b w:val="0"/>
          </w:rPr>
          <w:t>3.2.6. Фармакокинетические лекарственные взаимодействия</w:t>
        </w:r>
        <w:r w:rsidRPr="007F5E52">
          <w:rPr>
            <w:b w:val="0"/>
            <w:webHidden/>
          </w:rPr>
          <w:tab/>
        </w:r>
        <w:r w:rsidRPr="007F5E52">
          <w:rPr>
            <w:b w:val="0"/>
            <w:webHidden/>
          </w:rPr>
          <w:fldChar w:fldCharType="begin"/>
        </w:r>
        <w:r w:rsidRPr="007F5E52">
          <w:rPr>
            <w:b w:val="0"/>
            <w:webHidden/>
          </w:rPr>
          <w:instrText xml:space="preserve"> PAGEREF _Toc139361962 \h </w:instrText>
        </w:r>
        <w:r w:rsidRPr="007F5E52">
          <w:rPr>
            <w:b w:val="0"/>
            <w:webHidden/>
          </w:rPr>
        </w:r>
        <w:r w:rsidRPr="007F5E52">
          <w:rPr>
            <w:b w:val="0"/>
            <w:webHidden/>
          </w:rPr>
          <w:fldChar w:fldCharType="separate"/>
        </w:r>
        <w:r>
          <w:rPr>
            <w:b w:val="0"/>
            <w:webHidden/>
          </w:rPr>
          <w:t>35</w:t>
        </w:r>
        <w:r w:rsidRPr="007F5E52">
          <w:rPr>
            <w:b w:val="0"/>
            <w:webHidden/>
          </w:rPr>
          <w:fldChar w:fldCharType="end"/>
        </w:r>
      </w:hyperlink>
    </w:p>
    <w:p w14:paraId="314AEE92" w14:textId="1F342277" w:rsidR="007F5E52" w:rsidRPr="007F5E52" w:rsidRDefault="007F5E52">
      <w:pPr>
        <w:pStyle w:val="21"/>
        <w:rPr>
          <w:rFonts w:eastAsiaTheme="minorEastAsia"/>
          <w:noProof/>
          <w:lang w:eastAsia="ru-RU"/>
        </w:rPr>
      </w:pPr>
      <w:hyperlink w:anchor="_Toc139361963" w:history="1">
        <w:r w:rsidRPr="007F5E52">
          <w:rPr>
            <w:rStyle w:val="aa"/>
            <w:noProof/>
          </w:rPr>
          <w:t>3.3. Токсикологические исследования</w:t>
        </w:r>
        <w:r w:rsidRPr="007F5E52">
          <w:rPr>
            <w:noProof/>
            <w:webHidden/>
          </w:rPr>
          <w:tab/>
        </w:r>
        <w:r w:rsidRPr="007F5E52">
          <w:rPr>
            <w:noProof/>
            <w:webHidden/>
          </w:rPr>
          <w:fldChar w:fldCharType="begin"/>
        </w:r>
        <w:r w:rsidRPr="007F5E52">
          <w:rPr>
            <w:noProof/>
            <w:webHidden/>
          </w:rPr>
          <w:instrText xml:space="preserve"> PAGEREF _Toc139361963 \h </w:instrText>
        </w:r>
        <w:r w:rsidRPr="007F5E52">
          <w:rPr>
            <w:noProof/>
            <w:webHidden/>
          </w:rPr>
        </w:r>
        <w:r w:rsidRPr="007F5E52">
          <w:rPr>
            <w:noProof/>
            <w:webHidden/>
          </w:rPr>
          <w:fldChar w:fldCharType="separate"/>
        </w:r>
        <w:r>
          <w:rPr>
            <w:noProof/>
            <w:webHidden/>
          </w:rPr>
          <w:t>35</w:t>
        </w:r>
        <w:r w:rsidRPr="007F5E52">
          <w:rPr>
            <w:noProof/>
            <w:webHidden/>
          </w:rPr>
          <w:fldChar w:fldCharType="end"/>
        </w:r>
      </w:hyperlink>
    </w:p>
    <w:p w14:paraId="22AF31EE" w14:textId="5AF90E96" w:rsidR="007F5E52" w:rsidRPr="007F5E52" w:rsidRDefault="007F5E52">
      <w:pPr>
        <w:pStyle w:val="31"/>
        <w:rPr>
          <w:rFonts w:eastAsiaTheme="minorEastAsia"/>
          <w:b w:val="0"/>
          <w:bCs w:val="0"/>
          <w:iCs w:val="0"/>
          <w:lang w:eastAsia="ru-RU"/>
        </w:rPr>
      </w:pPr>
      <w:hyperlink w:anchor="_Toc139361964" w:history="1">
        <w:r w:rsidRPr="007F5E52">
          <w:rPr>
            <w:rStyle w:val="aa"/>
            <w:b w:val="0"/>
          </w:rPr>
          <w:t>3.3.1. Токсичность при однократном введении</w:t>
        </w:r>
        <w:r w:rsidRPr="007F5E52">
          <w:rPr>
            <w:b w:val="0"/>
            <w:webHidden/>
          </w:rPr>
          <w:tab/>
        </w:r>
        <w:r w:rsidRPr="007F5E52">
          <w:rPr>
            <w:b w:val="0"/>
            <w:webHidden/>
          </w:rPr>
          <w:fldChar w:fldCharType="begin"/>
        </w:r>
        <w:r w:rsidRPr="007F5E52">
          <w:rPr>
            <w:b w:val="0"/>
            <w:webHidden/>
          </w:rPr>
          <w:instrText xml:space="preserve"> PAGEREF _Toc139361964 \h </w:instrText>
        </w:r>
        <w:r w:rsidRPr="007F5E52">
          <w:rPr>
            <w:b w:val="0"/>
            <w:webHidden/>
          </w:rPr>
        </w:r>
        <w:r w:rsidRPr="007F5E52">
          <w:rPr>
            <w:b w:val="0"/>
            <w:webHidden/>
          </w:rPr>
          <w:fldChar w:fldCharType="separate"/>
        </w:r>
        <w:r>
          <w:rPr>
            <w:b w:val="0"/>
            <w:webHidden/>
          </w:rPr>
          <w:t>36</w:t>
        </w:r>
        <w:r w:rsidRPr="007F5E52">
          <w:rPr>
            <w:b w:val="0"/>
            <w:webHidden/>
          </w:rPr>
          <w:fldChar w:fldCharType="end"/>
        </w:r>
      </w:hyperlink>
    </w:p>
    <w:p w14:paraId="361B379A" w14:textId="7479EE59" w:rsidR="007F5E52" w:rsidRPr="007F5E52" w:rsidRDefault="007F5E52">
      <w:pPr>
        <w:pStyle w:val="31"/>
        <w:rPr>
          <w:rFonts w:eastAsiaTheme="minorEastAsia"/>
          <w:b w:val="0"/>
          <w:bCs w:val="0"/>
          <w:iCs w:val="0"/>
          <w:lang w:eastAsia="ru-RU"/>
        </w:rPr>
      </w:pPr>
      <w:hyperlink w:anchor="_Toc139361965" w:history="1">
        <w:r w:rsidRPr="007F5E52">
          <w:rPr>
            <w:rStyle w:val="aa"/>
            <w:b w:val="0"/>
          </w:rPr>
          <w:t>3.3.2. Токсичность при многократном введении</w:t>
        </w:r>
        <w:r w:rsidRPr="007F5E52">
          <w:rPr>
            <w:b w:val="0"/>
            <w:webHidden/>
          </w:rPr>
          <w:tab/>
        </w:r>
        <w:r w:rsidRPr="007F5E52">
          <w:rPr>
            <w:b w:val="0"/>
            <w:webHidden/>
          </w:rPr>
          <w:fldChar w:fldCharType="begin"/>
        </w:r>
        <w:r w:rsidRPr="007F5E52">
          <w:rPr>
            <w:b w:val="0"/>
            <w:webHidden/>
          </w:rPr>
          <w:instrText xml:space="preserve"> PAGEREF _Toc139361965 \h </w:instrText>
        </w:r>
        <w:r w:rsidRPr="007F5E52">
          <w:rPr>
            <w:b w:val="0"/>
            <w:webHidden/>
          </w:rPr>
        </w:r>
        <w:r w:rsidRPr="007F5E52">
          <w:rPr>
            <w:b w:val="0"/>
            <w:webHidden/>
          </w:rPr>
          <w:fldChar w:fldCharType="separate"/>
        </w:r>
        <w:r>
          <w:rPr>
            <w:b w:val="0"/>
            <w:webHidden/>
          </w:rPr>
          <w:t>36</w:t>
        </w:r>
        <w:r w:rsidRPr="007F5E52">
          <w:rPr>
            <w:b w:val="0"/>
            <w:webHidden/>
          </w:rPr>
          <w:fldChar w:fldCharType="end"/>
        </w:r>
      </w:hyperlink>
    </w:p>
    <w:p w14:paraId="4D30D501" w14:textId="67D70ADB" w:rsidR="007F5E52" w:rsidRPr="007F5E52" w:rsidRDefault="007F5E52">
      <w:pPr>
        <w:pStyle w:val="31"/>
        <w:rPr>
          <w:rFonts w:eastAsiaTheme="minorEastAsia"/>
          <w:b w:val="0"/>
          <w:bCs w:val="0"/>
          <w:iCs w:val="0"/>
          <w:lang w:eastAsia="ru-RU"/>
        </w:rPr>
      </w:pPr>
      <w:hyperlink w:anchor="_Toc139361966" w:history="1">
        <w:r w:rsidRPr="007F5E52">
          <w:rPr>
            <w:rStyle w:val="aa"/>
            <w:b w:val="0"/>
          </w:rPr>
          <w:t xml:space="preserve">3.3.3. </w:t>
        </w:r>
        <w:r w:rsidRPr="007F5E52">
          <w:rPr>
            <w:rStyle w:val="aa"/>
            <w:rFonts w:eastAsia="Calibri"/>
            <w:b w:val="0"/>
            <w:shd w:val="clear" w:color="auto" w:fill="FFFFFF"/>
          </w:rPr>
          <w:t>Генотоксичность</w:t>
        </w:r>
        <w:r w:rsidRPr="007F5E52">
          <w:rPr>
            <w:b w:val="0"/>
            <w:webHidden/>
          </w:rPr>
          <w:tab/>
        </w:r>
        <w:r w:rsidRPr="007F5E52">
          <w:rPr>
            <w:b w:val="0"/>
            <w:webHidden/>
          </w:rPr>
          <w:fldChar w:fldCharType="begin"/>
        </w:r>
        <w:r w:rsidRPr="007F5E52">
          <w:rPr>
            <w:b w:val="0"/>
            <w:webHidden/>
          </w:rPr>
          <w:instrText xml:space="preserve"> PAGEREF _Toc139361966 \h </w:instrText>
        </w:r>
        <w:r w:rsidRPr="007F5E52">
          <w:rPr>
            <w:b w:val="0"/>
            <w:webHidden/>
          </w:rPr>
        </w:r>
        <w:r w:rsidRPr="007F5E52">
          <w:rPr>
            <w:b w:val="0"/>
            <w:webHidden/>
          </w:rPr>
          <w:fldChar w:fldCharType="separate"/>
        </w:r>
        <w:r>
          <w:rPr>
            <w:b w:val="0"/>
            <w:webHidden/>
          </w:rPr>
          <w:t>38</w:t>
        </w:r>
        <w:r w:rsidRPr="007F5E52">
          <w:rPr>
            <w:b w:val="0"/>
            <w:webHidden/>
          </w:rPr>
          <w:fldChar w:fldCharType="end"/>
        </w:r>
      </w:hyperlink>
    </w:p>
    <w:p w14:paraId="65685AD5" w14:textId="04CF16E4" w:rsidR="007F5E52" w:rsidRPr="007F5E52" w:rsidRDefault="007F5E52">
      <w:pPr>
        <w:pStyle w:val="31"/>
        <w:rPr>
          <w:rFonts w:eastAsiaTheme="minorEastAsia"/>
          <w:b w:val="0"/>
          <w:bCs w:val="0"/>
          <w:iCs w:val="0"/>
          <w:lang w:eastAsia="ru-RU"/>
        </w:rPr>
      </w:pPr>
      <w:hyperlink w:anchor="_Toc139361967" w:history="1">
        <w:r w:rsidRPr="007F5E52">
          <w:rPr>
            <w:rStyle w:val="aa"/>
            <w:b w:val="0"/>
          </w:rPr>
          <w:t>3.3.4. Канцерогенность</w:t>
        </w:r>
        <w:r w:rsidRPr="007F5E52">
          <w:rPr>
            <w:b w:val="0"/>
            <w:webHidden/>
          </w:rPr>
          <w:tab/>
        </w:r>
        <w:r w:rsidRPr="007F5E52">
          <w:rPr>
            <w:b w:val="0"/>
            <w:webHidden/>
          </w:rPr>
          <w:fldChar w:fldCharType="begin"/>
        </w:r>
        <w:r w:rsidRPr="007F5E52">
          <w:rPr>
            <w:b w:val="0"/>
            <w:webHidden/>
          </w:rPr>
          <w:instrText xml:space="preserve"> PAGEREF _Toc139361967 \h </w:instrText>
        </w:r>
        <w:r w:rsidRPr="007F5E52">
          <w:rPr>
            <w:b w:val="0"/>
            <w:webHidden/>
          </w:rPr>
        </w:r>
        <w:r w:rsidRPr="007F5E52">
          <w:rPr>
            <w:b w:val="0"/>
            <w:webHidden/>
          </w:rPr>
          <w:fldChar w:fldCharType="separate"/>
        </w:r>
        <w:r>
          <w:rPr>
            <w:b w:val="0"/>
            <w:webHidden/>
          </w:rPr>
          <w:t>38</w:t>
        </w:r>
        <w:r w:rsidRPr="007F5E52">
          <w:rPr>
            <w:b w:val="0"/>
            <w:webHidden/>
          </w:rPr>
          <w:fldChar w:fldCharType="end"/>
        </w:r>
      </w:hyperlink>
    </w:p>
    <w:p w14:paraId="6F71848D" w14:textId="041A4BD0" w:rsidR="007F5E52" w:rsidRPr="007F5E52" w:rsidRDefault="007F5E52">
      <w:pPr>
        <w:pStyle w:val="31"/>
        <w:rPr>
          <w:rFonts w:eastAsiaTheme="minorEastAsia"/>
          <w:b w:val="0"/>
          <w:bCs w:val="0"/>
          <w:iCs w:val="0"/>
          <w:lang w:eastAsia="ru-RU"/>
        </w:rPr>
      </w:pPr>
      <w:hyperlink w:anchor="_Toc139361968" w:history="1">
        <w:r w:rsidRPr="007F5E52">
          <w:rPr>
            <w:rStyle w:val="aa"/>
            <w:b w:val="0"/>
          </w:rPr>
          <w:t>3.3.5. Репродуктивная и онтогенетическая токсичность</w:t>
        </w:r>
        <w:r w:rsidRPr="007F5E52">
          <w:rPr>
            <w:b w:val="0"/>
            <w:webHidden/>
          </w:rPr>
          <w:tab/>
        </w:r>
        <w:r w:rsidRPr="007F5E52">
          <w:rPr>
            <w:b w:val="0"/>
            <w:webHidden/>
          </w:rPr>
          <w:fldChar w:fldCharType="begin"/>
        </w:r>
        <w:r w:rsidRPr="007F5E52">
          <w:rPr>
            <w:b w:val="0"/>
            <w:webHidden/>
          </w:rPr>
          <w:instrText xml:space="preserve"> PAGEREF _Toc139361968 \h </w:instrText>
        </w:r>
        <w:r w:rsidRPr="007F5E52">
          <w:rPr>
            <w:b w:val="0"/>
            <w:webHidden/>
          </w:rPr>
        </w:r>
        <w:r w:rsidRPr="007F5E52">
          <w:rPr>
            <w:b w:val="0"/>
            <w:webHidden/>
          </w:rPr>
          <w:fldChar w:fldCharType="separate"/>
        </w:r>
        <w:r>
          <w:rPr>
            <w:b w:val="0"/>
            <w:webHidden/>
          </w:rPr>
          <w:t>39</w:t>
        </w:r>
        <w:r w:rsidRPr="007F5E52">
          <w:rPr>
            <w:b w:val="0"/>
            <w:webHidden/>
          </w:rPr>
          <w:fldChar w:fldCharType="end"/>
        </w:r>
      </w:hyperlink>
    </w:p>
    <w:p w14:paraId="70F719FE" w14:textId="150ACC93" w:rsidR="007F5E52" w:rsidRPr="007F5E52" w:rsidRDefault="007F5E52">
      <w:pPr>
        <w:pStyle w:val="41"/>
        <w:tabs>
          <w:tab w:val="right" w:leader="dot" w:pos="9346"/>
        </w:tabs>
        <w:rPr>
          <w:rFonts w:eastAsiaTheme="minorEastAsia"/>
          <w:noProof/>
          <w:lang w:eastAsia="ru-RU"/>
        </w:rPr>
      </w:pPr>
      <w:hyperlink w:anchor="_Toc139361969" w:history="1">
        <w:r w:rsidRPr="007F5E52">
          <w:rPr>
            <w:rStyle w:val="aa"/>
            <w:noProof/>
          </w:rPr>
          <w:t>3.3.5.1. Влияние на фертильность и ранняя эмбриональная токсичность</w:t>
        </w:r>
        <w:r w:rsidRPr="007F5E52">
          <w:rPr>
            <w:noProof/>
            <w:webHidden/>
          </w:rPr>
          <w:tab/>
        </w:r>
        <w:r w:rsidRPr="007F5E52">
          <w:rPr>
            <w:noProof/>
            <w:webHidden/>
          </w:rPr>
          <w:fldChar w:fldCharType="begin"/>
        </w:r>
        <w:r w:rsidRPr="007F5E52">
          <w:rPr>
            <w:noProof/>
            <w:webHidden/>
          </w:rPr>
          <w:instrText xml:space="preserve"> PAGEREF _Toc139361969 \h </w:instrText>
        </w:r>
        <w:r w:rsidRPr="007F5E52">
          <w:rPr>
            <w:noProof/>
            <w:webHidden/>
          </w:rPr>
        </w:r>
        <w:r w:rsidRPr="007F5E52">
          <w:rPr>
            <w:noProof/>
            <w:webHidden/>
          </w:rPr>
          <w:fldChar w:fldCharType="separate"/>
        </w:r>
        <w:r>
          <w:rPr>
            <w:noProof/>
            <w:webHidden/>
          </w:rPr>
          <w:t>39</w:t>
        </w:r>
        <w:r w:rsidRPr="007F5E52">
          <w:rPr>
            <w:noProof/>
            <w:webHidden/>
          </w:rPr>
          <w:fldChar w:fldCharType="end"/>
        </w:r>
      </w:hyperlink>
    </w:p>
    <w:p w14:paraId="52AD2061" w14:textId="50EB827F" w:rsidR="007F5E52" w:rsidRPr="007F5E52" w:rsidRDefault="007F5E52">
      <w:pPr>
        <w:pStyle w:val="41"/>
        <w:tabs>
          <w:tab w:val="right" w:leader="dot" w:pos="9346"/>
        </w:tabs>
        <w:rPr>
          <w:rFonts w:eastAsiaTheme="minorEastAsia"/>
          <w:noProof/>
          <w:lang w:eastAsia="ru-RU"/>
        </w:rPr>
      </w:pPr>
      <w:hyperlink w:anchor="_Toc139361970" w:history="1">
        <w:r w:rsidRPr="007F5E52">
          <w:rPr>
            <w:rStyle w:val="aa"/>
            <w:noProof/>
          </w:rPr>
          <w:t>3.3.5.2. Эмбрио-фетальная токсичность</w:t>
        </w:r>
        <w:r w:rsidRPr="007F5E52">
          <w:rPr>
            <w:noProof/>
            <w:webHidden/>
          </w:rPr>
          <w:tab/>
        </w:r>
        <w:r w:rsidRPr="007F5E52">
          <w:rPr>
            <w:noProof/>
            <w:webHidden/>
          </w:rPr>
          <w:fldChar w:fldCharType="begin"/>
        </w:r>
        <w:r w:rsidRPr="007F5E52">
          <w:rPr>
            <w:noProof/>
            <w:webHidden/>
          </w:rPr>
          <w:instrText xml:space="preserve"> PAGEREF _Toc139361970 \h </w:instrText>
        </w:r>
        <w:r w:rsidRPr="007F5E52">
          <w:rPr>
            <w:noProof/>
            <w:webHidden/>
          </w:rPr>
        </w:r>
        <w:r w:rsidRPr="007F5E52">
          <w:rPr>
            <w:noProof/>
            <w:webHidden/>
          </w:rPr>
          <w:fldChar w:fldCharType="separate"/>
        </w:r>
        <w:r>
          <w:rPr>
            <w:noProof/>
            <w:webHidden/>
          </w:rPr>
          <w:t>39</w:t>
        </w:r>
        <w:r w:rsidRPr="007F5E52">
          <w:rPr>
            <w:noProof/>
            <w:webHidden/>
          </w:rPr>
          <w:fldChar w:fldCharType="end"/>
        </w:r>
      </w:hyperlink>
    </w:p>
    <w:p w14:paraId="56C013DC" w14:textId="16861DB4" w:rsidR="007F5E52" w:rsidRPr="007F5E52" w:rsidRDefault="007F5E52">
      <w:pPr>
        <w:pStyle w:val="41"/>
        <w:tabs>
          <w:tab w:val="right" w:leader="dot" w:pos="9346"/>
        </w:tabs>
        <w:rPr>
          <w:rFonts w:eastAsiaTheme="minorEastAsia"/>
          <w:noProof/>
          <w:lang w:eastAsia="ru-RU"/>
        </w:rPr>
      </w:pPr>
      <w:hyperlink w:anchor="_Toc139361971" w:history="1">
        <w:r w:rsidRPr="007F5E52">
          <w:rPr>
            <w:rStyle w:val="aa"/>
            <w:noProof/>
          </w:rPr>
          <w:t>.3.3.5.3. Влияние на пренатальное и постнатальное развитие</w:t>
        </w:r>
        <w:r w:rsidRPr="007F5E52">
          <w:rPr>
            <w:noProof/>
            <w:webHidden/>
          </w:rPr>
          <w:tab/>
        </w:r>
        <w:r w:rsidRPr="007F5E52">
          <w:rPr>
            <w:noProof/>
            <w:webHidden/>
          </w:rPr>
          <w:fldChar w:fldCharType="begin"/>
        </w:r>
        <w:r w:rsidRPr="007F5E52">
          <w:rPr>
            <w:noProof/>
            <w:webHidden/>
          </w:rPr>
          <w:instrText xml:space="preserve"> PAGEREF _Toc139361971 \h </w:instrText>
        </w:r>
        <w:r w:rsidRPr="007F5E52">
          <w:rPr>
            <w:noProof/>
            <w:webHidden/>
          </w:rPr>
        </w:r>
        <w:r w:rsidRPr="007F5E52">
          <w:rPr>
            <w:noProof/>
            <w:webHidden/>
          </w:rPr>
          <w:fldChar w:fldCharType="separate"/>
        </w:r>
        <w:r>
          <w:rPr>
            <w:noProof/>
            <w:webHidden/>
          </w:rPr>
          <w:t>40</w:t>
        </w:r>
        <w:r w:rsidRPr="007F5E52">
          <w:rPr>
            <w:noProof/>
            <w:webHidden/>
          </w:rPr>
          <w:fldChar w:fldCharType="end"/>
        </w:r>
      </w:hyperlink>
    </w:p>
    <w:p w14:paraId="21C6CAF8" w14:textId="32AFCD7E" w:rsidR="007F5E52" w:rsidRPr="007F5E52" w:rsidRDefault="007F5E52">
      <w:pPr>
        <w:pStyle w:val="41"/>
        <w:tabs>
          <w:tab w:val="right" w:leader="dot" w:pos="9346"/>
        </w:tabs>
        <w:rPr>
          <w:rFonts w:eastAsiaTheme="minorEastAsia"/>
          <w:noProof/>
          <w:lang w:eastAsia="ru-RU"/>
        </w:rPr>
      </w:pPr>
      <w:hyperlink w:anchor="_Toc139361972" w:history="1">
        <w:r w:rsidRPr="007F5E52">
          <w:rPr>
            <w:rStyle w:val="aa"/>
            <w:noProof/>
          </w:rPr>
          <w:t>3.3.5.4. Ювенильная токсичность</w:t>
        </w:r>
        <w:r w:rsidRPr="007F5E52">
          <w:rPr>
            <w:noProof/>
            <w:webHidden/>
          </w:rPr>
          <w:tab/>
        </w:r>
        <w:r w:rsidRPr="007F5E52">
          <w:rPr>
            <w:noProof/>
            <w:webHidden/>
          </w:rPr>
          <w:fldChar w:fldCharType="begin"/>
        </w:r>
        <w:r w:rsidRPr="007F5E52">
          <w:rPr>
            <w:noProof/>
            <w:webHidden/>
          </w:rPr>
          <w:instrText xml:space="preserve"> PAGEREF _Toc139361972 \h </w:instrText>
        </w:r>
        <w:r w:rsidRPr="007F5E52">
          <w:rPr>
            <w:noProof/>
            <w:webHidden/>
          </w:rPr>
        </w:r>
        <w:r w:rsidRPr="007F5E52">
          <w:rPr>
            <w:noProof/>
            <w:webHidden/>
          </w:rPr>
          <w:fldChar w:fldCharType="separate"/>
        </w:r>
        <w:r>
          <w:rPr>
            <w:noProof/>
            <w:webHidden/>
          </w:rPr>
          <w:t>40</w:t>
        </w:r>
        <w:r w:rsidRPr="007F5E52">
          <w:rPr>
            <w:noProof/>
            <w:webHidden/>
          </w:rPr>
          <w:fldChar w:fldCharType="end"/>
        </w:r>
      </w:hyperlink>
    </w:p>
    <w:p w14:paraId="62656315" w14:textId="33CB8859" w:rsidR="007F5E52" w:rsidRPr="007F5E52" w:rsidRDefault="007F5E52">
      <w:pPr>
        <w:pStyle w:val="31"/>
        <w:rPr>
          <w:rFonts w:eastAsiaTheme="minorEastAsia"/>
          <w:b w:val="0"/>
          <w:bCs w:val="0"/>
          <w:iCs w:val="0"/>
          <w:lang w:eastAsia="ru-RU"/>
        </w:rPr>
      </w:pPr>
      <w:hyperlink w:anchor="_Toc139361973" w:history="1">
        <w:r w:rsidRPr="007F5E52">
          <w:rPr>
            <w:rStyle w:val="aa"/>
            <w:b w:val="0"/>
          </w:rPr>
          <w:t>3.3.6. Местная переносимость</w:t>
        </w:r>
        <w:r w:rsidRPr="007F5E52">
          <w:rPr>
            <w:b w:val="0"/>
            <w:webHidden/>
          </w:rPr>
          <w:tab/>
        </w:r>
        <w:r w:rsidRPr="007F5E52">
          <w:rPr>
            <w:b w:val="0"/>
            <w:webHidden/>
          </w:rPr>
          <w:fldChar w:fldCharType="begin"/>
        </w:r>
        <w:r w:rsidRPr="007F5E52">
          <w:rPr>
            <w:b w:val="0"/>
            <w:webHidden/>
          </w:rPr>
          <w:instrText xml:space="preserve"> PAGEREF _Toc139361973 \h </w:instrText>
        </w:r>
        <w:r w:rsidRPr="007F5E52">
          <w:rPr>
            <w:b w:val="0"/>
            <w:webHidden/>
          </w:rPr>
        </w:r>
        <w:r w:rsidRPr="007F5E52">
          <w:rPr>
            <w:b w:val="0"/>
            <w:webHidden/>
          </w:rPr>
          <w:fldChar w:fldCharType="separate"/>
        </w:r>
        <w:r>
          <w:rPr>
            <w:b w:val="0"/>
            <w:webHidden/>
          </w:rPr>
          <w:t>40</w:t>
        </w:r>
        <w:r w:rsidRPr="007F5E52">
          <w:rPr>
            <w:b w:val="0"/>
            <w:webHidden/>
          </w:rPr>
          <w:fldChar w:fldCharType="end"/>
        </w:r>
      </w:hyperlink>
    </w:p>
    <w:p w14:paraId="66971869" w14:textId="3AF2B86B" w:rsidR="007F5E52" w:rsidRPr="007F5E52" w:rsidRDefault="007F5E52">
      <w:pPr>
        <w:pStyle w:val="31"/>
        <w:rPr>
          <w:rFonts w:eastAsiaTheme="minorEastAsia"/>
          <w:b w:val="0"/>
          <w:bCs w:val="0"/>
          <w:iCs w:val="0"/>
          <w:lang w:eastAsia="ru-RU"/>
        </w:rPr>
      </w:pPr>
      <w:hyperlink w:anchor="_Toc139361974" w:history="1">
        <w:r w:rsidRPr="007F5E52">
          <w:rPr>
            <w:rStyle w:val="aa"/>
            <w:b w:val="0"/>
          </w:rPr>
          <w:t>3.3.7. Токсикокинетика</w:t>
        </w:r>
        <w:r w:rsidRPr="007F5E52">
          <w:rPr>
            <w:b w:val="0"/>
            <w:webHidden/>
          </w:rPr>
          <w:tab/>
        </w:r>
        <w:r w:rsidRPr="007F5E52">
          <w:rPr>
            <w:b w:val="0"/>
            <w:webHidden/>
          </w:rPr>
          <w:fldChar w:fldCharType="begin"/>
        </w:r>
        <w:r w:rsidRPr="007F5E52">
          <w:rPr>
            <w:b w:val="0"/>
            <w:webHidden/>
          </w:rPr>
          <w:instrText xml:space="preserve"> PAGEREF _Toc139361974 \h </w:instrText>
        </w:r>
        <w:r w:rsidRPr="007F5E52">
          <w:rPr>
            <w:b w:val="0"/>
            <w:webHidden/>
          </w:rPr>
        </w:r>
        <w:r w:rsidRPr="007F5E52">
          <w:rPr>
            <w:b w:val="0"/>
            <w:webHidden/>
          </w:rPr>
          <w:fldChar w:fldCharType="separate"/>
        </w:r>
        <w:r>
          <w:rPr>
            <w:b w:val="0"/>
            <w:webHidden/>
          </w:rPr>
          <w:t>41</w:t>
        </w:r>
        <w:r w:rsidRPr="007F5E52">
          <w:rPr>
            <w:b w:val="0"/>
            <w:webHidden/>
          </w:rPr>
          <w:fldChar w:fldCharType="end"/>
        </w:r>
      </w:hyperlink>
    </w:p>
    <w:p w14:paraId="4D9050AE" w14:textId="000170C7" w:rsidR="007F5E52" w:rsidRPr="007F5E52" w:rsidRDefault="007F5E52">
      <w:pPr>
        <w:pStyle w:val="31"/>
        <w:rPr>
          <w:rFonts w:eastAsiaTheme="minorEastAsia"/>
          <w:b w:val="0"/>
          <w:bCs w:val="0"/>
          <w:iCs w:val="0"/>
          <w:lang w:eastAsia="ru-RU"/>
        </w:rPr>
      </w:pPr>
      <w:hyperlink w:anchor="_Toc139361975" w:history="1">
        <w:r w:rsidRPr="007F5E52">
          <w:rPr>
            <w:rStyle w:val="aa"/>
            <w:b w:val="0"/>
          </w:rPr>
          <w:t>3.3.8. Прочие исследования</w:t>
        </w:r>
        <w:r w:rsidRPr="007F5E52">
          <w:rPr>
            <w:b w:val="0"/>
            <w:webHidden/>
          </w:rPr>
          <w:tab/>
        </w:r>
        <w:r w:rsidRPr="007F5E52">
          <w:rPr>
            <w:b w:val="0"/>
            <w:webHidden/>
          </w:rPr>
          <w:fldChar w:fldCharType="begin"/>
        </w:r>
        <w:r w:rsidRPr="007F5E52">
          <w:rPr>
            <w:b w:val="0"/>
            <w:webHidden/>
          </w:rPr>
          <w:instrText xml:space="preserve"> PAGEREF _Toc139361975 \h </w:instrText>
        </w:r>
        <w:r w:rsidRPr="007F5E52">
          <w:rPr>
            <w:b w:val="0"/>
            <w:webHidden/>
          </w:rPr>
        </w:r>
        <w:r w:rsidRPr="007F5E52">
          <w:rPr>
            <w:b w:val="0"/>
            <w:webHidden/>
          </w:rPr>
          <w:fldChar w:fldCharType="separate"/>
        </w:r>
        <w:r>
          <w:rPr>
            <w:b w:val="0"/>
            <w:webHidden/>
          </w:rPr>
          <w:t>41</w:t>
        </w:r>
        <w:r w:rsidRPr="007F5E52">
          <w:rPr>
            <w:b w:val="0"/>
            <w:webHidden/>
          </w:rPr>
          <w:fldChar w:fldCharType="end"/>
        </w:r>
      </w:hyperlink>
    </w:p>
    <w:p w14:paraId="34740990" w14:textId="68F52634" w:rsidR="007F5E52" w:rsidRPr="007F5E52" w:rsidRDefault="007F5E52">
      <w:pPr>
        <w:pStyle w:val="41"/>
        <w:tabs>
          <w:tab w:val="right" w:leader="dot" w:pos="9346"/>
        </w:tabs>
        <w:rPr>
          <w:rFonts w:eastAsiaTheme="minorEastAsia"/>
          <w:noProof/>
          <w:lang w:eastAsia="ru-RU"/>
        </w:rPr>
      </w:pPr>
      <w:hyperlink w:anchor="_Toc139361976" w:history="1">
        <w:r w:rsidRPr="007F5E52">
          <w:rPr>
            <w:rStyle w:val="aa"/>
            <w:noProof/>
          </w:rPr>
          <w:t>3.3.8.1. Фототоксичность</w:t>
        </w:r>
        <w:r w:rsidRPr="007F5E52">
          <w:rPr>
            <w:noProof/>
            <w:webHidden/>
          </w:rPr>
          <w:tab/>
        </w:r>
        <w:r w:rsidRPr="007F5E52">
          <w:rPr>
            <w:noProof/>
            <w:webHidden/>
          </w:rPr>
          <w:fldChar w:fldCharType="begin"/>
        </w:r>
        <w:r w:rsidRPr="007F5E52">
          <w:rPr>
            <w:noProof/>
            <w:webHidden/>
          </w:rPr>
          <w:instrText xml:space="preserve"> PAGEREF _Toc139361976 \h </w:instrText>
        </w:r>
        <w:r w:rsidRPr="007F5E52">
          <w:rPr>
            <w:noProof/>
            <w:webHidden/>
          </w:rPr>
        </w:r>
        <w:r w:rsidRPr="007F5E52">
          <w:rPr>
            <w:noProof/>
            <w:webHidden/>
          </w:rPr>
          <w:fldChar w:fldCharType="separate"/>
        </w:r>
        <w:r>
          <w:rPr>
            <w:noProof/>
            <w:webHidden/>
          </w:rPr>
          <w:t>41</w:t>
        </w:r>
        <w:r w:rsidRPr="007F5E52">
          <w:rPr>
            <w:noProof/>
            <w:webHidden/>
          </w:rPr>
          <w:fldChar w:fldCharType="end"/>
        </w:r>
      </w:hyperlink>
    </w:p>
    <w:p w14:paraId="629FB7CC" w14:textId="470122A0" w:rsidR="007F5E52" w:rsidRPr="007F5E52" w:rsidRDefault="007F5E52">
      <w:pPr>
        <w:pStyle w:val="41"/>
        <w:tabs>
          <w:tab w:val="right" w:leader="dot" w:pos="9346"/>
        </w:tabs>
        <w:rPr>
          <w:rFonts w:eastAsiaTheme="minorEastAsia"/>
          <w:noProof/>
          <w:lang w:eastAsia="ru-RU"/>
        </w:rPr>
      </w:pPr>
      <w:hyperlink w:anchor="_Toc139361977" w:history="1">
        <w:r w:rsidRPr="007F5E52">
          <w:rPr>
            <w:rStyle w:val="aa"/>
            <w:noProof/>
          </w:rPr>
          <w:t>3.3.8.2. Иммунотоксичность</w:t>
        </w:r>
        <w:r w:rsidRPr="007F5E52">
          <w:rPr>
            <w:noProof/>
            <w:webHidden/>
          </w:rPr>
          <w:tab/>
        </w:r>
        <w:r w:rsidRPr="007F5E52">
          <w:rPr>
            <w:noProof/>
            <w:webHidden/>
          </w:rPr>
          <w:fldChar w:fldCharType="begin"/>
        </w:r>
        <w:r w:rsidRPr="007F5E52">
          <w:rPr>
            <w:noProof/>
            <w:webHidden/>
          </w:rPr>
          <w:instrText xml:space="preserve"> PAGEREF _Toc139361977 \h </w:instrText>
        </w:r>
        <w:r w:rsidRPr="007F5E52">
          <w:rPr>
            <w:noProof/>
            <w:webHidden/>
          </w:rPr>
        </w:r>
        <w:r w:rsidRPr="007F5E52">
          <w:rPr>
            <w:noProof/>
            <w:webHidden/>
          </w:rPr>
          <w:fldChar w:fldCharType="separate"/>
        </w:r>
        <w:r>
          <w:rPr>
            <w:noProof/>
            <w:webHidden/>
          </w:rPr>
          <w:t>41</w:t>
        </w:r>
        <w:r w:rsidRPr="007F5E52">
          <w:rPr>
            <w:noProof/>
            <w:webHidden/>
          </w:rPr>
          <w:fldChar w:fldCharType="end"/>
        </w:r>
      </w:hyperlink>
    </w:p>
    <w:p w14:paraId="245AE8D3" w14:textId="610223FF" w:rsidR="007F5E52" w:rsidRPr="007F5E52" w:rsidRDefault="007F5E52">
      <w:pPr>
        <w:pStyle w:val="41"/>
        <w:tabs>
          <w:tab w:val="right" w:leader="dot" w:pos="9346"/>
        </w:tabs>
        <w:rPr>
          <w:rFonts w:eastAsiaTheme="minorEastAsia"/>
          <w:noProof/>
          <w:lang w:eastAsia="ru-RU"/>
        </w:rPr>
      </w:pPr>
      <w:hyperlink w:anchor="_Toc139361978" w:history="1">
        <w:r w:rsidRPr="007F5E52">
          <w:rPr>
            <w:rStyle w:val="aa"/>
            <w:noProof/>
          </w:rPr>
          <w:t>3.3.8.3. Псевдоаллергические реакции</w:t>
        </w:r>
        <w:r w:rsidRPr="007F5E52">
          <w:rPr>
            <w:noProof/>
            <w:webHidden/>
          </w:rPr>
          <w:tab/>
        </w:r>
        <w:r w:rsidRPr="007F5E52">
          <w:rPr>
            <w:noProof/>
            <w:webHidden/>
          </w:rPr>
          <w:fldChar w:fldCharType="begin"/>
        </w:r>
        <w:r w:rsidRPr="007F5E52">
          <w:rPr>
            <w:noProof/>
            <w:webHidden/>
          </w:rPr>
          <w:instrText xml:space="preserve"> PAGEREF _Toc139361978 \h </w:instrText>
        </w:r>
        <w:r w:rsidRPr="007F5E52">
          <w:rPr>
            <w:noProof/>
            <w:webHidden/>
          </w:rPr>
        </w:r>
        <w:r w:rsidRPr="007F5E52">
          <w:rPr>
            <w:noProof/>
            <w:webHidden/>
          </w:rPr>
          <w:fldChar w:fldCharType="separate"/>
        </w:r>
        <w:r>
          <w:rPr>
            <w:noProof/>
            <w:webHidden/>
          </w:rPr>
          <w:t>41</w:t>
        </w:r>
        <w:r w:rsidRPr="007F5E52">
          <w:rPr>
            <w:noProof/>
            <w:webHidden/>
          </w:rPr>
          <w:fldChar w:fldCharType="end"/>
        </w:r>
      </w:hyperlink>
    </w:p>
    <w:p w14:paraId="4EA2A6B7" w14:textId="71E5C78F" w:rsidR="007F5E52" w:rsidRPr="007F5E52" w:rsidRDefault="007F5E52">
      <w:pPr>
        <w:pStyle w:val="41"/>
        <w:tabs>
          <w:tab w:val="right" w:leader="dot" w:pos="9346"/>
        </w:tabs>
        <w:rPr>
          <w:rFonts w:eastAsiaTheme="minorEastAsia"/>
          <w:noProof/>
          <w:lang w:eastAsia="ru-RU"/>
        </w:rPr>
      </w:pPr>
      <w:hyperlink w:anchor="_Toc139361979" w:history="1">
        <w:r w:rsidRPr="007F5E52">
          <w:rPr>
            <w:rStyle w:val="aa"/>
            <w:noProof/>
          </w:rPr>
          <w:t>3.3.8.4. Токсичность метаболитов</w:t>
        </w:r>
        <w:r w:rsidRPr="007F5E52">
          <w:rPr>
            <w:noProof/>
            <w:webHidden/>
          </w:rPr>
          <w:tab/>
        </w:r>
        <w:r w:rsidRPr="007F5E52">
          <w:rPr>
            <w:noProof/>
            <w:webHidden/>
          </w:rPr>
          <w:fldChar w:fldCharType="begin"/>
        </w:r>
        <w:r w:rsidRPr="007F5E52">
          <w:rPr>
            <w:noProof/>
            <w:webHidden/>
          </w:rPr>
          <w:instrText xml:space="preserve"> PAGEREF _Toc139361979 \h </w:instrText>
        </w:r>
        <w:r w:rsidRPr="007F5E52">
          <w:rPr>
            <w:noProof/>
            <w:webHidden/>
          </w:rPr>
        </w:r>
        <w:r w:rsidRPr="007F5E52">
          <w:rPr>
            <w:noProof/>
            <w:webHidden/>
          </w:rPr>
          <w:fldChar w:fldCharType="separate"/>
        </w:r>
        <w:r>
          <w:rPr>
            <w:noProof/>
            <w:webHidden/>
          </w:rPr>
          <w:t>42</w:t>
        </w:r>
        <w:r w:rsidRPr="007F5E52">
          <w:rPr>
            <w:noProof/>
            <w:webHidden/>
          </w:rPr>
          <w:fldChar w:fldCharType="end"/>
        </w:r>
      </w:hyperlink>
    </w:p>
    <w:p w14:paraId="50E29FEF" w14:textId="1D06414D" w:rsidR="007F5E52" w:rsidRPr="007F5E52" w:rsidRDefault="007F5E52">
      <w:pPr>
        <w:pStyle w:val="41"/>
        <w:tabs>
          <w:tab w:val="right" w:leader="dot" w:pos="9346"/>
        </w:tabs>
        <w:rPr>
          <w:rFonts w:eastAsiaTheme="minorEastAsia"/>
          <w:noProof/>
          <w:lang w:eastAsia="ru-RU"/>
        </w:rPr>
      </w:pPr>
      <w:hyperlink w:anchor="_Toc139361980" w:history="1">
        <w:r w:rsidRPr="007F5E52">
          <w:rPr>
            <w:rStyle w:val="aa"/>
            <w:noProof/>
          </w:rPr>
          <w:t>3.3.8.5. Токсичность примесей</w:t>
        </w:r>
        <w:r w:rsidRPr="007F5E52">
          <w:rPr>
            <w:noProof/>
            <w:webHidden/>
          </w:rPr>
          <w:tab/>
        </w:r>
        <w:r w:rsidRPr="007F5E52">
          <w:rPr>
            <w:noProof/>
            <w:webHidden/>
          </w:rPr>
          <w:fldChar w:fldCharType="begin"/>
        </w:r>
        <w:r w:rsidRPr="007F5E52">
          <w:rPr>
            <w:noProof/>
            <w:webHidden/>
          </w:rPr>
          <w:instrText xml:space="preserve"> PAGEREF _Toc139361980 \h </w:instrText>
        </w:r>
        <w:r w:rsidRPr="007F5E52">
          <w:rPr>
            <w:noProof/>
            <w:webHidden/>
          </w:rPr>
        </w:r>
        <w:r w:rsidRPr="007F5E52">
          <w:rPr>
            <w:noProof/>
            <w:webHidden/>
          </w:rPr>
          <w:fldChar w:fldCharType="separate"/>
        </w:r>
        <w:r>
          <w:rPr>
            <w:noProof/>
            <w:webHidden/>
          </w:rPr>
          <w:t>42</w:t>
        </w:r>
        <w:r w:rsidRPr="007F5E52">
          <w:rPr>
            <w:noProof/>
            <w:webHidden/>
          </w:rPr>
          <w:fldChar w:fldCharType="end"/>
        </w:r>
      </w:hyperlink>
    </w:p>
    <w:p w14:paraId="211E6B6B" w14:textId="730B5D82" w:rsidR="007F5E52" w:rsidRPr="007F5E52" w:rsidRDefault="007F5E52">
      <w:pPr>
        <w:pStyle w:val="21"/>
        <w:rPr>
          <w:rFonts w:eastAsiaTheme="minorEastAsia"/>
          <w:noProof/>
          <w:lang w:eastAsia="ru-RU"/>
        </w:rPr>
      </w:pPr>
      <w:hyperlink w:anchor="_Toc139361981" w:history="1">
        <w:r w:rsidRPr="007F5E52">
          <w:rPr>
            <w:rStyle w:val="aa"/>
            <w:noProof/>
          </w:rPr>
          <w:t>Список</w:t>
        </w:r>
        <w:r w:rsidRPr="007F5E52">
          <w:rPr>
            <w:rStyle w:val="aa"/>
            <w:noProof/>
            <w:lang w:val="en-US"/>
          </w:rPr>
          <w:t xml:space="preserve"> </w:t>
        </w:r>
        <w:r w:rsidRPr="007F5E52">
          <w:rPr>
            <w:rStyle w:val="aa"/>
            <w:noProof/>
          </w:rPr>
          <w:t>литературы</w:t>
        </w:r>
        <w:r w:rsidRPr="007F5E52">
          <w:rPr>
            <w:noProof/>
            <w:webHidden/>
          </w:rPr>
          <w:tab/>
        </w:r>
        <w:r w:rsidRPr="007F5E52">
          <w:rPr>
            <w:noProof/>
            <w:webHidden/>
          </w:rPr>
          <w:fldChar w:fldCharType="begin"/>
        </w:r>
        <w:r w:rsidRPr="007F5E52">
          <w:rPr>
            <w:noProof/>
            <w:webHidden/>
          </w:rPr>
          <w:instrText xml:space="preserve"> PAGEREF _Toc139361981 \h </w:instrText>
        </w:r>
        <w:r w:rsidRPr="007F5E52">
          <w:rPr>
            <w:noProof/>
            <w:webHidden/>
          </w:rPr>
        </w:r>
        <w:r w:rsidRPr="007F5E52">
          <w:rPr>
            <w:noProof/>
            <w:webHidden/>
          </w:rPr>
          <w:fldChar w:fldCharType="separate"/>
        </w:r>
        <w:r>
          <w:rPr>
            <w:noProof/>
            <w:webHidden/>
          </w:rPr>
          <w:t>42</w:t>
        </w:r>
        <w:r w:rsidRPr="007F5E52">
          <w:rPr>
            <w:noProof/>
            <w:webHidden/>
          </w:rPr>
          <w:fldChar w:fldCharType="end"/>
        </w:r>
      </w:hyperlink>
    </w:p>
    <w:p w14:paraId="270BA850" w14:textId="5F2C0AE3" w:rsidR="007F5E52" w:rsidRPr="007F5E52" w:rsidRDefault="007F5E52">
      <w:pPr>
        <w:pStyle w:val="14"/>
        <w:rPr>
          <w:rFonts w:eastAsiaTheme="minorEastAsia"/>
          <w:noProof/>
          <w:lang w:eastAsia="ru-RU"/>
        </w:rPr>
      </w:pPr>
      <w:hyperlink w:anchor="_Toc139361982" w:history="1">
        <w:r w:rsidRPr="007F5E52">
          <w:rPr>
            <w:rStyle w:val="aa"/>
            <w:noProof/>
          </w:rPr>
          <w:t>4. ДЕЙСТВИЕ У ЧЕЛОВЕКА</w:t>
        </w:r>
        <w:r w:rsidRPr="007F5E52">
          <w:rPr>
            <w:noProof/>
            <w:webHidden/>
          </w:rPr>
          <w:tab/>
        </w:r>
        <w:r w:rsidRPr="007F5E52">
          <w:rPr>
            <w:noProof/>
            <w:webHidden/>
          </w:rPr>
          <w:fldChar w:fldCharType="begin"/>
        </w:r>
        <w:r w:rsidRPr="007F5E52">
          <w:rPr>
            <w:noProof/>
            <w:webHidden/>
          </w:rPr>
          <w:instrText xml:space="preserve"> PAGEREF _Toc139361982 \h </w:instrText>
        </w:r>
        <w:r w:rsidRPr="007F5E52">
          <w:rPr>
            <w:noProof/>
            <w:webHidden/>
          </w:rPr>
        </w:r>
        <w:r w:rsidRPr="007F5E52">
          <w:rPr>
            <w:noProof/>
            <w:webHidden/>
          </w:rPr>
          <w:fldChar w:fldCharType="separate"/>
        </w:r>
        <w:r>
          <w:rPr>
            <w:noProof/>
            <w:webHidden/>
          </w:rPr>
          <w:t>43</w:t>
        </w:r>
        <w:r w:rsidRPr="007F5E52">
          <w:rPr>
            <w:noProof/>
            <w:webHidden/>
          </w:rPr>
          <w:fldChar w:fldCharType="end"/>
        </w:r>
      </w:hyperlink>
    </w:p>
    <w:p w14:paraId="0544C0A2" w14:textId="24819111" w:rsidR="007F5E52" w:rsidRPr="007F5E52" w:rsidRDefault="007F5E52">
      <w:pPr>
        <w:pStyle w:val="21"/>
        <w:rPr>
          <w:rFonts w:eastAsiaTheme="minorEastAsia"/>
          <w:noProof/>
          <w:lang w:eastAsia="ru-RU"/>
        </w:rPr>
      </w:pPr>
      <w:hyperlink w:anchor="_Toc139361983" w:history="1">
        <w:r w:rsidRPr="007F5E52">
          <w:rPr>
            <w:rStyle w:val="aa"/>
            <w:noProof/>
          </w:rPr>
          <w:t>Введение и резюме</w:t>
        </w:r>
        <w:r w:rsidRPr="007F5E52">
          <w:rPr>
            <w:noProof/>
            <w:webHidden/>
          </w:rPr>
          <w:tab/>
        </w:r>
        <w:r w:rsidRPr="007F5E52">
          <w:rPr>
            <w:noProof/>
            <w:webHidden/>
          </w:rPr>
          <w:fldChar w:fldCharType="begin"/>
        </w:r>
        <w:r w:rsidRPr="007F5E52">
          <w:rPr>
            <w:noProof/>
            <w:webHidden/>
          </w:rPr>
          <w:instrText xml:space="preserve"> PAGEREF _Toc139361983 \h </w:instrText>
        </w:r>
        <w:r w:rsidRPr="007F5E52">
          <w:rPr>
            <w:noProof/>
            <w:webHidden/>
          </w:rPr>
        </w:r>
        <w:r w:rsidRPr="007F5E52">
          <w:rPr>
            <w:noProof/>
            <w:webHidden/>
          </w:rPr>
          <w:fldChar w:fldCharType="separate"/>
        </w:r>
        <w:r>
          <w:rPr>
            <w:noProof/>
            <w:webHidden/>
          </w:rPr>
          <w:t>43</w:t>
        </w:r>
        <w:r w:rsidRPr="007F5E52">
          <w:rPr>
            <w:noProof/>
            <w:webHidden/>
          </w:rPr>
          <w:fldChar w:fldCharType="end"/>
        </w:r>
      </w:hyperlink>
    </w:p>
    <w:p w14:paraId="399EC9D7" w14:textId="3915B7B0" w:rsidR="007F5E52" w:rsidRPr="007F5E52" w:rsidRDefault="007F5E52">
      <w:pPr>
        <w:pStyle w:val="21"/>
        <w:rPr>
          <w:rFonts w:eastAsiaTheme="minorEastAsia"/>
          <w:noProof/>
          <w:lang w:eastAsia="ru-RU"/>
        </w:rPr>
      </w:pPr>
      <w:hyperlink w:anchor="_Toc139361984" w:history="1">
        <w:r w:rsidRPr="007F5E52">
          <w:rPr>
            <w:rStyle w:val="aa"/>
            <w:noProof/>
          </w:rPr>
          <w:t>4.1. Фармакокинетика у человека</w:t>
        </w:r>
        <w:r w:rsidRPr="007F5E52">
          <w:rPr>
            <w:noProof/>
            <w:webHidden/>
          </w:rPr>
          <w:tab/>
        </w:r>
        <w:r w:rsidRPr="007F5E52">
          <w:rPr>
            <w:noProof/>
            <w:webHidden/>
          </w:rPr>
          <w:fldChar w:fldCharType="begin"/>
        </w:r>
        <w:r w:rsidRPr="007F5E52">
          <w:rPr>
            <w:noProof/>
            <w:webHidden/>
          </w:rPr>
          <w:instrText xml:space="preserve"> PAGEREF _Toc139361984 \h </w:instrText>
        </w:r>
        <w:r w:rsidRPr="007F5E52">
          <w:rPr>
            <w:noProof/>
            <w:webHidden/>
          </w:rPr>
        </w:r>
        <w:r w:rsidRPr="007F5E52">
          <w:rPr>
            <w:noProof/>
            <w:webHidden/>
          </w:rPr>
          <w:fldChar w:fldCharType="separate"/>
        </w:r>
        <w:r>
          <w:rPr>
            <w:noProof/>
            <w:webHidden/>
          </w:rPr>
          <w:t>45</w:t>
        </w:r>
        <w:r w:rsidRPr="007F5E52">
          <w:rPr>
            <w:noProof/>
            <w:webHidden/>
          </w:rPr>
          <w:fldChar w:fldCharType="end"/>
        </w:r>
      </w:hyperlink>
    </w:p>
    <w:p w14:paraId="1BB1FF6B" w14:textId="2BC641F6" w:rsidR="007F5E52" w:rsidRPr="007F5E52" w:rsidRDefault="007F5E52">
      <w:pPr>
        <w:pStyle w:val="31"/>
        <w:rPr>
          <w:rFonts w:eastAsiaTheme="minorEastAsia"/>
          <w:b w:val="0"/>
          <w:bCs w:val="0"/>
          <w:iCs w:val="0"/>
          <w:lang w:eastAsia="ru-RU"/>
        </w:rPr>
      </w:pPr>
      <w:hyperlink w:anchor="_Toc139361985" w:history="1">
        <w:r w:rsidRPr="007F5E52">
          <w:rPr>
            <w:rStyle w:val="aa"/>
            <w:b w:val="0"/>
          </w:rPr>
          <w:t>4.1.1. Всасывание</w:t>
        </w:r>
        <w:r w:rsidRPr="007F5E52">
          <w:rPr>
            <w:b w:val="0"/>
            <w:webHidden/>
          </w:rPr>
          <w:tab/>
        </w:r>
        <w:r w:rsidRPr="007F5E52">
          <w:rPr>
            <w:b w:val="0"/>
            <w:webHidden/>
          </w:rPr>
          <w:fldChar w:fldCharType="begin"/>
        </w:r>
        <w:r w:rsidRPr="007F5E52">
          <w:rPr>
            <w:b w:val="0"/>
            <w:webHidden/>
          </w:rPr>
          <w:instrText xml:space="preserve"> PAGEREF _Toc139361985 \h </w:instrText>
        </w:r>
        <w:r w:rsidRPr="007F5E52">
          <w:rPr>
            <w:b w:val="0"/>
            <w:webHidden/>
          </w:rPr>
        </w:r>
        <w:r w:rsidRPr="007F5E52">
          <w:rPr>
            <w:b w:val="0"/>
            <w:webHidden/>
          </w:rPr>
          <w:fldChar w:fldCharType="separate"/>
        </w:r>
        <w:r>
          <w:rPr>
            <w:b w:val="0"/>
            <w:webHidden/>
          </w:rPr>
          <w:t>45</w:t>
        </w:r>
        <w:r w:rsidRPr="007F5E52">
          <w:rPr>
            <w:b w:val="0"/>
            <w:webHidden/>
          </w:rPr>
          <w:fldChar w:fldCharType="end"/>
        </w:r>
      </w:hyperlink>
    </w:p>
    <w:p w14:paraId="16A07C32" w14:textId="168A42BC" w:rsidR="007F5E52" w:rsidRPr="007F5E52" w:rsidRDefault="007F5E52">
      <w:pPr>
        <w:pStyle w:val="31"/>
        <w:rPr>
          <w:rFonts w:eastAsiaTheme="minorEastAsia"/>
          <w:b w:val="0"/>
          <w:bCs w:val="0"/>
          <w:iCs w:val="0"/>
          <w:lang w:eastAsia="ru-RU"/>
        </w:rPr>
      </w:pPr>
      <w:hyperlink w:anchor="_Toc139361986" w:history="1">
        <w:r w:rsidRPr="007F5E52">
          <w:rPr>
            <w:rStyle w:val="aa"/>
            <w:b w:val="0"/>
          </w:rPr>
          <w:t>4.1.2. Распределение</w:t>
        </w:r>
        <w:r w:rsidRPr="007F5E52">
          <w:rPr>
            <w:b w:val="0"/>
            <w:webHidden/>
          </w:rPr>
          <w:tab/>
        </w:r>
        <w:r w:rsidRPr="007F5E52">
          <w:rPr>
            <w:b w:val="0"/>
            <w:webHidden/>
          </w:rPr>
          <w:fldChar w:fldCharType="begin"/>
        </w:r>
        <w:r w:rsidRPr="007F5E52">
          <w:rPr>
            <w:b w:val="0"/>
            <w:webHidden/>
          </w:rPr>
          <w:instrText xml:space="preserve"> PAGEREF _Toc139361986 \h </w:instrText>
        </w:r>
        <w:r w:rsidRPr="007F5E52">
          <w:rPr>
            <w:b w:val="0"/>
            <w:webHidden/>
          </w:rPr>
        </w:r>
        <w:r w:rsidRPr="007F5E52">
          <w:rPr>
            <w:b w:val="0"/>
            <w:webHidden/>
          </w:rPr>
          <w:fldChar w:fldCharType="separate"/>
        </w:r>
        <w:r>
          <w:rPr>
            <w:b w:val="0"/>
            <w:webHidden/>
          </w:rPr>
          <w:t>46</w:t>
        </w:r>
        <w:r w:rsidRPr="007F5E52">
          <w:rPr>
            <w:b w:val="0"/>
            <w:webHidden/>
          </w:rPr>
          <w:fldChar w:fldCharType="end"/>
        </w:r>
      </w:hyperlink>
    </w:p>
    <w:p w14:paraId="25C95937" w14:textId="0DE3CCEA" w:rsidR="007F5E52" w:rsidRPr="007F5E52" w:rsidRDefault="007F5E52">
      <w:pPr>
        <w:pStyle w:val="31"/>
        <w:rPr>
          <w:rFonts w:eastAsiaTheme="minorEastAsia"/>
          <w:b w:val="0"/>
          <w:bCs w:val="0"/>
          <w:iCs w:val="0"/>
          <w:lang w:eastAsia="ru-RU"/>
        </w:rPr>
      </w:pPr>
      <w:hyperlink w:anchor="_Toc139361987" w:history="1">
        <w:r w:rsidRPr="007F5E52">
          <w:rPr>
            <w:rStyle w:val="aa"/>
            <w:b w:val="0"/>
          </w:rPr>
          <w:t>4.1.3. Метаболизм</w:t>
        </w:r>
        <w:r w:rsidRPr="007F5E52">
          <w:rPr>
            <w:b w:val="0"/>
            <w:webHidden/>
          </w:rPr>
          <w:tab/>
        </w:r>
        <w:r w:rsidRPr="007F5E52">
          <w:rPr>
            <w:b w:val="0"/>
            <w:webHidden/>
          </w:rPr>
          <w:fldChar w:fldCharType="begin"/>
        </w:r>
        <w:r w:rsidRPr="007F5E52">
          <w:rPr>
            <w:b w:val="0"/>
            <w:webHidden/>
          </w:rPr>
          <w:instrText xml:space="preserve"> PAGEREF _Toc139361987 \h </w:instrText>
        </w:r>
        <w:r w:rsidRPr="007F5E52">
          <w:rPr>
            <w:b w:val="0"/>
            <w:webHidden/>
          </w:rPr>
        </w:r>
        <w:r w:rsidRPr="007F5E52">
          <w:rPr>
            <w:b w:val="0"/>
            <w:webHidden/>
          </w:rPr>
          <w:fldChar w:fldCharType="separate"/>
        </w:r>
        <w:r>
          <w:rPr>
            <w:b w:val="0"/>
            <w:webHidden/>
          </w:rPr>
          <w:t>46</w:t>
        </w:r>
        <w:r w:rsidRPr="007F5E52">
          <w:rPr>
            <w:b w:val="0"/>
            <w:webHidden/>
          </w:rPr>
          <w:fldChar w:fldCharType="end"/>
        </w:r>
      </w:hyperlink>
    </w:p>
    <w:p w14:paraId="38705EA9" w14:textId="5D89F563" w:rsidR="007F5E52" w:rsidRPr="007F5E52" w:rsidRDefault="007F5E52">
      <w:pPr>
        <w:pStyle w:val="31"/>
        <w:rPr>
          <w:rFonts w:eastAsiaTheme="minorEastAsia"/>
          <w:b w:val="0"/>
          <w:bCs w:val="0"/>
          <w:iCs w:val="0"/>
          <w:lang w:eastAsia="ru-RU"/>
        </w:rPr>
      </w:pPr>
      <w:hyperlink w:anchor="_Toc139361988" w:history="1">
        <w:r w:rsidRPr="007F5E52">
          <w:rPr>
            <w:rStyle w:val="aa"/>
            <w:b w:val="0"/>
          </w:rPr>
          <w:t>4.1.4. Выведение</w:t>
        </w:r>
        <w:r w:rsidRPr="007F5E52">
          <w:rPr>
            <w:b w:val="0"/>
            <w:webHidden/>
          </w:rPr>
          <w:tab/>
        </w:r>
        <w:r w:rsidRPr="007F5E52">
          <w:rPr>
            <w:b w:val="0"/>
            <w:webHidden/>
          </w:rPr>
          <w:fldChar w:fldCharType="begin"/>
        </w:r>
        <w:r w:rsidRPr="007F5E52">
          <w:rPr>
            <w:b w:val="0"/>
            <w:webHidden/>
          </w:rPr>
          <w:instrText xml:space="preserve"> PAGEREF _Toc139361988 \h </w:instrText>
        </w:r>
        <w:r w:rsidRPr="007F5E52">
          <w:rPr>
            <w:b w:val="0"/>
            <w:webHidden/>
          </w:rPr>
        </w:r>
        <w:r w:rsidRPr="007F5E52">
          <w:rPr>
            <w:b w:val="0"/>
            <w:webHidden/>
          </w:rPr>
          <w:fldChar w:fldCharType="separate"/>
        </w:r>
        <w:r>
          <w:rPr>
            <w:b w:val="0"/>
            <w:webHidden/>
          </w:rPr>
          <w:t>46</w:t>
        </w:r>
        <w:r w:rsidRPr="007F5E52">
          <w:rPr>
            <w:b w:val="0"/>
            <w:webHidden/>
          </w:rPr>
          <w:fldChar w:fldCharType="end"/>
        </w:r>
      </w:hyperlink>
    </w:p>
    <w:p w14:paraId="49EC3E67" w14:textId="29D07932" w:rsidR="007F5E52" w:rsidRPr="007F5E52" w:rsidRDefault="007F5E52">
      <w:pPr>
        <w:pStyle w:val="31"/>
        <w:rPr>
          <w:rFonts w:eastAsiaTheme="minorEastAsia"/>
          <w:b w:val="0"/>
          <w:bCs w:val="0"/>
          <w:iCs w:val="0"/>
          <w:lang w:eastAsia="ru-RU"/>
        </w:rPr>
      </w:pPr>
      <w:hyperlink w:anchor="_Toc139361989" w:history="1">
        <w:r w:rsidRPr="007F5E52">
          <w:rPr>
            <w:rStyle w:val="aa"/>
            <w:b w:val="0"/>
          </w:rPr>
          <w:t>4.1.5. Линейность фармакокинетики</w:t>
        </w:r>
        <w:r w:rsidRPr="007F5E52">
          <w:rPr>
            <w:b w:val="0"/>
            <w:webHidden/>
          </w:rPr>
          <w:tab/>
        </w:r>
        <w:r w:rsidRPr="007F5E52">
          <w:rPr>
            <w:b w:val="0"/>
            <w:webHidden/>
          </w:rPr>
          <w:fldChar w:fldCharType="begin"/>
        </w:r>
        <w:r w:rsidRPr="007F5E52">
          <w:rPr>
            <w:b w:val="0"/>
            <w:webHidden/>
          </w:rPr>
          <w:instrText xml:space="preserve"> PAGEREF _Toc139361989 \h </w:instrText>
        </w:r>
        <w:r w:rsidRPr="007F5E52">
          <w:rPr>
            <w:b w:val="0"/>
            <w:webHidden/>
          </w:rPr>
        </w:r>
        <w:r w:rsidRPr="007F5E52">
          <w:rPr>
            <w:b w:val="0"/>
            <w:webHidden/>
          </w:rPr>
          <w:fldChar w:fldCharType="separate"/>
        </w:r>
        <w:r>
          <w:rPr>
            <w:b w:val="0"/>
            <w:webHidden/>
          </w:rPr>
          <w:t>46</w:t>
        </w:r>
        <w:r w:rsidRPr="007F5E52">
          <w:rPr>
            <w:b w:val="0"/>
            <w:webHidden/>
          </w:rPr>
          <w:fldChar w:fldCharType="end"/>
        </w:r>
      </w:hyperlink>
    </w:p>
    <w:p w14:paraId="0722DA6D" w14:textId="77ADDD43" w:rsidR="007F5E52" w:rsidRPr="007F5E52" w:rsidRDefault="007F5E52">
      <w:pPr>
        <w:pStyle w:val="31"/>
        <w:rPr>
          <w:rFonts w:eastAsiaTheme="minorEastAsia"/>
          <w:b w:val="0"/>
          <w:bCs w:val="0"/>
          <w:iCs w:val="0"/>
          <w:lang w:eastAsia="ru-RU"/>
        </w:rPr>
      </w:pPr>
      <w:hyperlink w:anchor="_Toc139361990" w:history="1">
        <w:r w:rsidRPr="007F5E52">
          <w:rPr>
            <w:rStyle w:val="aa"/>
            <w:b w:val="0"/>
          </w:rPr>
          <w:t>4.1.6. Фармакокинетика у особых групп пациентов</w:t>
        </w:r>
        <w:r w:rsidRPr="007F5E52">
          <w:rPr>
            <w:b w:val="0"/>
            <w:webHidden/>
          </w:rPr>
          <w:tab/>
        </w:r>
        <w:r w:rsidRPr="007F5E52">
          <w:rPr>
            <w:b w:val="0"/>
            <w:webHidden/>
          </w:rPr>
          <w:fldChar w:fldCharType="begin"/>
        </w:r>
        <w:r w:rsidRPr="007F5E52">
          <w:rPr>
            <w:b w:val="0"/>
            <w:webHidden/>
          </w:rPr>
          <w:instrText xml:space="preserve"> PAGEREF _Toc139361990 \h </w:instrText>
        </w:r>
        <w:r w:rsidRPr="007F5E52">
          <w:rPr>
            <w:b w:val="0"/>
            <w:webHidden/>
          </w:rPr>
        </w:r>
        <w:r w:rsidRPr="007F5E52">
          <w:rPr>
            <w:b w:val="0"/>
            <w:webHidden/>
          </w:rPr>
          <w:fldChar w:fldCharType="separate"/>
        </w:r>
        <w:r>
          <w:rPr>
            <w:b w:val="0"/>
            <w:webHidden/>
          </w:rPr>
          <w:t>47</w:t>
        </w:r>
        <w:r w:rsidRPr="007F5E52">
          <w:rPr>
            <w:b w:val="0"/>
            <w:webHidden/>
          </w:rPr>
          <w:fldChar w:fldCharType="end"/>
        </w:r>
      </w:hyperlink>
    </w:p>
    <w:p w14:paraId="5F223561" w14:textId="13155F5A" w:rsidR="007F5E52" w:rsidRPr="007F5E52" w:rsidRDefault="007F5E52">
      <w:pPr>
        <w:pStyle w:val="41"/>
        <w:tabs>
          <w:tab w:val="right" w:leader="dot" w:pos="9346"/>
        </w:tabs>
        <w:rPr>
          <w:rFonts w:eastAsiaTheme="minorEastAsia"/>
          <w:noProof/>
          <w:lang w:eastAsia="ru-RU"/>
        </w:rPr>
      </w:pPr>
      <w:hyperlink w:anchor="_Toc139361991" w:history="1">
        <w:r w:rsidRPr="007F5E52">
          <w:rPr>
            <w:rStyle w:val="aa"/>
            <w:noProof/>
          </w:rPr>
          <w:t>4.1.6.1. Влияние возраста, массы тела, пола и расы</w:t>
        </w:r>
        <w:r w:rsidRPr="007F5E52">
          <w:rPr>
            <w:noProof/>
            <w:webHidden/>
          </w:rPr>
          <w:tab/>
        </w:r>
        <w:r w:rsidRPr="007F5E52">
          <w:rPr>
            <w:noProof/>
            <w:webHidden/>
          </w:rPr>
          <w:fldChar w:fldCharType="begin"/>
        </w:r>
        <w:r w:rsidRPr="007F5E52">
          <w:rPr>
            <w:noProof/>
            <w:webHidden/>
          </w:rPr>
          <w:instrText xml:space="preserve"> PAGEREF _Toc139361991 \h </w:instrText>
        </w:r>
        <w:r w:rsidRPr="007F5E52">
          <w:rPr>
            <w:noProof/>
            <w:webHidden/>
          </w:rPr>
        </w:r>
        <w:r w:rsidRPr="007F5E52">
          <w:rPr>
            <w:noProof/>
            <w:webHidden/>
          </w:rPr>
          <w:fldChar w:fldCharType="separate"/>
        </w:r>
        <w:r>
          <w:rPr>
            <w:noProof/>
            <w:webHidden/>
          </w:rPr>
          <w:t>47</w:t>
        </w:r>
        <w:r w:rsidRPr="007F5E52">
          <w:rPr>
            <w:noProof/>
            <w:webHidden/>
          </w:rPr>
          <w:fldChar w:fldCharType="end"/>
        </w:r>
      </w:hyperlink>
    </w:p>
    <w:p w14:paraId="3E66A367" w14:textId="7BD502D1" w:rsidR="007F5E52" w:rsidRPr="007F5E52" w:rsidRDefault="007F5E52">
      <w:pPr>
        <w:pStyle w:val="41"/>
        <w:tabs>
          <w:tab w:val="right" w:leader="dot" w:pos="9346"/>
        </w:tabs>
        <w:rPr>
          <w:rFonts w:eastAsiaTheme="minorEastAsia"/>
          <w:noProof/>
          <w:lang w:eastAsia="ru-RU"/>
        </w:rPr>
      </w:pPr>
      <w:hyperlink w:anchor="_Toc139361992" w:history="1">
        <w:r w:rsidRPr="007F5E52">
          <w:rPr>
            <w:rStyle w:val="aa"/>
            <w:noProof/>
          </w:rPr>
          <w:t>4.1.6.2. Почечная недостаточность</w:t>
        </w:r>
        <w:r w:rsidRPr="007F5E52">
          <w:rPr>
            <w:noProof/>
            <w:webHidden/>
          </w:rPr>
          <w:tab/>
        </w:r>
        <w:r w:rsidRPr="007F5E52">
          <w:rPr>
            <w:noProof/>
            <w:webHidden/>
          </w:rPr>
          <w:fldChar w:fldCharType="begin"/>
        </w:r>
        <w:r w:rsidRPr="007F5E52">
          <w:rPr>
            <w:noProof/>
            <w:webHidden/>
          </w:rPr>
          <w:instrText xml:space="preserve"> PAGEREF _Toc139361992 \h </w:instrText>
        </w:r>
        <w:r w:rsidRPr="007F5E52">
          <w:rPr>
            <w:noProof/>
            <w:webHidden/>
          </w:rPr>
        </w:r>
        <w:r w:rsidRPr="007F5E52">
          <w:rPr>
            <w:noProof/>
            <w:webHidden/>
          </w:rPr>
          <w:fldChar w:fldCharType="separate"/>
        </w:r>
        <w:r>
          <w:rPr>
            <w:noProof/>
            <w:webHidden/>
          </w:rPr>
          <w:t>47</w:t>
        </w:r>
        <w:r w:rsidRPr="007F5E52">
          <w:rPr>
            <w:noProof/>
            <w:webHidden/>
          </w:rPr>
          <w:fldChar w:fldCharType="end"/>
        </w:r>
      </w:hyperlink>
    </w:p>
    <w:p w14:paraId="0297861B" w14:textId="0627A129" w:rsidR="007F5E52" w:rsidRPr="007F5E52" w:rsidRDefault="007F5E52">
      <w:pPr>
        <w:pStyle w:val="41"/>
        <w:tabs>
          <w:tab w:val="right" w:leader="dot" w:pos="9346"/>
        </w:tabs>
        <w:rPr>
          <w:rFonts w:eastAsiaTheme="minorEastAsia"/>
          <w:noProof/>
          <w:lang w:eastAsia="ru-RU"/>
        </w:rPr>
      </w:pPr>
      <w:hyperlink w:anchor="_Toc139361993" w:history="1">
        <w:r w:rsidRPr="007F5E52">
          <w:rPr>
            <w:rStyle w:val="aa"/>
            <w:noProof/>
          </w:rPr>
          <w:t>4.1.6.3. Печеночная недостаточность</w:t>
        </w:r>
        <w:r w:rsidRPr="007F5E52">
          <w:rPr>
            <w:noProof/>
            <w:webHidden/>
          </w:rPr>
          <w:tab/>
        </w:r>
        <w:r w:rsidRPr="007F5E52">
          <w:rPr>
            <w:noProof/>
            <w:webHidden/>
          </w:rPr>
          <w:fldChar w:fldCharType="begin"/>
        </w:r>
        <w:r w:rsidRPr="007F5E52">
          <w:rPr>
            <w:noProof/>
            <w:webHidden/>
          </w:rPr>
          <w:instrText xml:space="preserve"> PAGEREF _Toc139361993 \h </w:instrText>
        </w:r>
        <w:r w:rsidRPr="007F5E52">
          <w:rPr>
            <w:noProof/>
            <w:webHidden/>
          </w:rPr>
        </w:r>
        <w:r w:rsidRPr="007F5E52">
          <w:rPr>
            <w:noProof/>
            <w:webHidden/>
          </w:rPr>
          <w:fldChar w:fldCharType="separate"/>
        </w:r>
        <w:r>
          <w:rPr>
            <w:noProof/>
            <w:webHidden/>
          </w:rPr>
          <w:t>47</w:t>
        </w:r>
        <w:r w:rsidRPr="007F5E52">
          <w:rPr>
            <w:noProof/>
            <w:webHidden/>
          </w:rPr>
          <w:fldChar w:fldCharType="end"/>
        </w:r>
      </w:hyperlink>
    </w:p>
    <w:p w14:paraId="0A006B91" w14:textId="71E71BBA" w:rsidR="007F5E52" w:rsidRPr="007F5E52" w:rsidRDefault="007F5E52">
      <w:pPr>
        <w:pStyle w:val="41"/>
        <w:tabs>
          <w:tab w:val="right" w:leader="dot" w:pos="9346"/>
        </w:tabs>
        <w:rPr>
          <w:rFonts w:eastAsiaTheme="minorEastAsia"/>
          <w:noProof/>
          <w:lang w:eastAsia="ru-RU"/>
        </w:rPr>
      </w:pPr>
      <w:hyperlink w:anchor="_Toc139361994" w:history="1">
        <w:r w:rsidRPr="007F5E52">
          <w:rPr>
            <w:rStyle w:val="aa"/>
            <w:noProof/>
          </w:rPr>
          <w:t>4.1.6.4. Сахарный диабет 2 типа</w:t>
        </w:r>
        <w:r w:rsidRPr="007F5E52">
          <w:rPr>
            <w:noProof/>
            <w:webHidden/>
          </w:rPr>
          <w:tab/>
        </w:r>
        <w:r w:rsidRPr="007F5E52">
          <w:rPr>
            <w:noProof/>
            <w:webHidden/>
          </w:rPr>
          <w:fldChar w:fldCharType="begin"/>
        </w:r>
        <w:r w:rsidRPr="007F5E52">
          <w:rPr>
            <w:noProof/>
            <w:webHidden/>
          </w:rPr>
          <w:instrText xml:space="preserve"> PAGEREF _Toc139361994 \h </w:instrText>
        </w:r>
        <w:r w:rsidRPr="007F5E52">
          <w:rPr>
            <w:noProof/>
            <w:webHidden/>
          </w:rPr>
        </w:r>
        <w:r w:rsidRPr="007F5E52">
          <w:rPr>
            <w:noProof/>
            <w:webHidden/>
          </w:rPr>
          <w:fldChar w:fldCharType="separate"/>
        </w:r>
        <w:r>
          <w:rPr>
            <w:noProof/>
            <w:webHidden/>
          </w:rPr>
          <w:t>48</w:t>
        </w:r>
        <w:r w:rsidRPr="007F5E52">
          <w:rPr>
            <w:noProof/>
            <w:webHidden/>
          </w:rPr>
          <w:fldChar w:fldCharType="end"/>
        </w:r>
      </w:hyperlink>
    </w:p>
    <w:p w14:paraId="4D2B3E2B" w14:textId="3919BACA" w:rsidR="007F5E52" w:rsidRPr="007F5E52" w:rsidRDefault="007F5E52">
      <w:pPr>
        <w:pStyle w:val="41"/>
        <w:tabs>
          <w:tab w:val="right" w:leader="dot" w:pos="9346"/>
        </w:tabs>
        <w:rPr>
          <w:rFonts w:eastAsiaTheme="minorEastAsia"/>
          <w:noProof/>
          <w:lang w:eastAsia="ru-RU"/>
        </w:rPr>
      </w:pPr>
      <w:hyperlink w:anchor="_Toc139361995" w:history="1">
        <w:r w:rsidRPr="007F5E52">
          <w:rPr>
            <w:rStyle w:val="aa"/>
            <w:noProof/>
          </w:rPr>
          <w:t>4.1.6.5. Влияние возраста</w:t>
        </w:r>
        <w:r w:rsidRPr="007F5E52">
          <w:rPr>
            <w:noProof/>
            <w:webHidden/>
          </w:rPr>
          <w:tab/>
        </w:r>
        <w:r w:rsidRPr="007F5E52">
          <w:rPr>
            <w:noProof/>
            <w:webHidden/>
          </w:rPr>
          <w:fldChar w:fldCharType="begin"/>
        </w:r>
        <w:r w:rsidRPr="007F5E52">
          <w:rPr>
            <w:noProof/>
            <w:webHidden/>
          </w:rPr>
          <w:instrText xml:space="preserve"> PAGEREF _Toc139361995 \h </w:instrText>
        </w:r>
        <w:r w:rsidRPr="007F5E52">
          <w:rPr>
            <w:noProof/>
            <w:webHidden/>
          </w:rPr>
        </w:r>
        <w:r w:rsidRPr="007F5E52">
          <w:rPr>
            <w:noProof/>
            <w:webHidden/>
          </w:rPr>
          <w:fldChar w:fldCharType="separate"/>
        </w:r>
        <w:r>
          <w:rPr>
            <w:noProof/>
            <w:webHidden/>
          </w:rPr>
          <w:t>48</w:t>
        </w:r>
        <w:r w:rsidRPr="007F5E52">
          <w:rPr>
            <w:noProof/>
            <w:webHidden/>
          </w:rPr>
          <w:fldChar w:fldCharType="end"/>
        </w:r>
      </w:hyperlink>
    </w:p>
    <w:p w14:paraId="0EFCD3B4" w14:textId="77356807" w:rsidR="007F5E52" w:rsidRPr="007F5E52" w:rsidRDefault="007F5E52">
      <w:pPr>
        <w:pStyle w:val="21"/>
        <w:rPr>
          <w:rFonts w:eastAsiaTheme="minorEastAsia"/>
          <w:noProof/>
          <w:lang w:eastAsia="ru-RU"/>
        </w:rPr>
      </w:pPr>
      <w:hyperlink w:anchor="_Toc139361996" w:history="1">
        <w:r w:rsidRPr="007F5E52">
          <w:rPr>
            <w:rStyle w:val="aa"/>
            <w:noProof/>
          </w:rPr>
          <w:t>4.2. Фармакодинамика у человека</w:t>
        </w:r>
        <w:r w:rsidRPr="007F5E52">
          <w:rPr>
            <w:noProof/>
            <w:webHidden/>
          </w:rPr>
          <w:tab/>
        </w:r>
        <w:r w:rsidRPr="007F5E52">
          <w:rPr>
            <w:noProof/>
            <w:webHidden/>
          </w:rPr>
          <w:fldChar w:fldCharType="begin"/>
        </w:r>
        <w:r w:rsidRPr="007F5E52">
          <w:rPr>
            <w:noProof/>
            <w:webHidden/>
          </w:rPr>
          <w:instrText xml:space="preserve"> PAGEREF _Toc139361996 \h </w:instrText>
        </w:r>
        <w:r w:rsidRPr="007F5E52">
          <w:rPr>
            <w:noProof/>
            <w:webHidden/>
          </w:rPr>
        </w:r>
        <w:r w:rsidRPr="007F5E52">
          <w:rPr>
            <w:noProof/>
            <w:webHidden/>
          </w:rPr>
          <w:fldChar w:fldCharType="separate"/>
        </w:r>
        <w:r>
          <w:rPr>
            <w:noProof/>
            <w:webHidden/>
          </w:rPr>
          <w:t>49</w:t>
        </w:r>
        <w:r w:rsidRPr="007F5E52">
          <w:rPr>
            <w:noProof/>
            <w:webHidden/>
          </w:rPr>
          <w:fldChar w:fldCharType="end"/>
        </w:r>
      </w:hyperlink>
    </w:p>
    <w:p w14:paraId="14524DA6" w14:textId="2094F9A9" w:rsidR="007F5E52" w:rsidRPr="007F5E52" w:rsidRDefault="007F5E52">
      <w:pPr>
        <w:pStyle w:val="31"/>
        <w:rPr>
          <w:rFonts w:eastAsiaTheme="minorEastAsia"/>
          <w:b w:val="0"/>
          <w:bCs w:val="0"/>
          <w:iCs w:val="0"/>
          <w:lang w:eastAsia="ru-RU"/>
        </w:rPr>
      </w:pPr>
      <w:hyperlink w:anchor="_Toc139361997" w:history="1">
        <w:r w:rsidRPr="007F5E52">
          <w:rPr>
            <w:rStyle w:val="aa"/>
            <w:b w:val="0"/>
          </w:rPr>
          <w:t>4.2.1. Фармакодинамика и механизм действия</w:t>
        </w:r>
        <w:r w:rsidRPr="007F5E52">
          <w:rPr>
            <w:b w:val="0"/>
            <w:webHidden/>
          </w:rPr>
          <w:tab/>
        </w:r>
        <w:r w:rsidRPr="007F5E52">
          <w:rPr>
            <w:b w:val="0"/>
            <w:webHidden/>
          </w:rPr>
          <w:fldChar w:fldCharType="begin"/>
        </w:r>
        <w:r w:rsidRPr="007F5E52">
          <w:rPr>
            <w:b w:val="0"/>
            <w:webHidden/>
          </w:rPr>
          <w:instrText xml:space="preserve"> PAGEREF _Toc139361997 \h </w:instrText>
        </w:r>
        <w:r w:rsidRPr="007F5E52">
          <w:rPr>
            <w:b w:val="0"/>
            <w:webHidden/>
          </w:rPr>
        </w:r>
        <w:r w:rsidRPr="007F5E52">
          <w:rPr>
            <w:b w:val="0"/>
            <w:webHidden/>
          </w:rPr>
          <w:fldChar w:fldCharType="separate"/>
        </w:r>
        <w:r>
          <w:rPr>
            <w:b w:val="0"/>
            <w:webHidden/>
          </w:rPr>
          <w:t>49</w:t>
        </w:r>
        <w:r w:rsidRPr="007F5E52">
          <w:rPr>
            <w:b w:val="0"/>
            <w:webHidden/>
          </w:rPr>
          <w:fldChar w:fldCharType="end"/>
        </w:r>
      </w:hyperlink>
    </w:p>
    <w:p w14:paraId="3479A80E" w14:textId="76EAF1F2" w:rsidR="007F5E52" w:rsidRPr="007F5E52" w:rsidRDefault="007F5E52">
      <w:pPr>
        <w:pStyle w:val="31"/>
        <w:rPr>
          <w:rFonts w:eastAsiaTheme="minorEastAsia"/>
          <w:b w:val="0"/>
          <w:bCs w:val="0"/>
          <w:iCs w:val="0"/>
          <w:lang w:eastAsia="ru-RU"/>
        </w:rPr>
      </w:pPr>
      <w:hyperlink w:anchor="_Toc139361998" w:history="1">
        <w:r w:rsidRPr="007F5E52">
          <w:rPr>
            <w:rStyle w:val="aa"/>
            <w:b w:val="0"/>
          </w:rPr>
          <w:t>4.2.3. Фармакодинамические лекарственные взаимодействия</w:t>
        </w:r>
        <w:r w:rsidRPr="007F5E52">
          <w:rPr>
            <w:b w:val="0"/>
            <w:webHidden/>
          </w:rPr>
          <w:tab/>
        </w:r>
        <w:r w:rsidRPr="007F5E52">
          <w:rPr>
            <w:b w:val="0"/>
            <w:webHidden/>
          </w:rPr>
          <w:fldChar w:fldCharType="begin"/>
        </w:r>
        <w:r w:rsidRPr="007F5E52">
          <w:rPr>
            <w:b w:val="0"/>
            <w:webHidden/>
          </w:rPr>
          <w:instrText xml:space="preserve"> PAGEREF _Toc139361998 \h </w:instrText>
        </w:r>
        <w:r w:rsidRPr="007F5E52">
          <w:rPr>
            <w:b w:val="0"/>
            <w:webHidden/>
          </w:rPr>
        </w:r>
        <w:r w:rsidRPr="007F5E52">
          <w:rPr>
            <w:b w:val="0"/>
            <w:webHidden/>
          </w:rPr>
          <w:fldChar w:fldCharType="separate"/>
        </w:r>
        <w:r>
          <w:rPr>
            <w:b w:val="0"/>
            <w:webHidden/>
          </w:rPr>
          <w:t>50</w:t>
        </w:r>
        <w:r w:rsidRPr="007F5E52">
          <w:rPr>
            <w:b w:val="0"/>
            <w:webHidden/>
          </w:rPr>
          <w:fldChar w:fldCharType="end"/>
        </w:r>
      </w:hyperlink>
    </w:p>
    <w:p w14:paraId="3A30F741" w14:textId="6B37374E" w:rsidR="007F5E52" w:rsidRPr="007F5E52" w:rsidRDefault="007F5E52">
      <w:pPr>
        <w:pStyle w:val="21"/>
        <w:rPr>
          <w:rFonts w:eastAsiaTheme="minorEastAsia"/>
          <w:noProof/>
          <w:lang w:eastAsia="ru-RU"/>
        </w:rPr>
      </w:pPr>
      <w:hyperlink w:anchor="_Toc139361999" w:history="1">
        <w:r w:rsidRPr="007F5E52">
          <w:rPr>
            <w:rStyle w:val="aa"/>
            <w:noProof/>
          </w:rPr>
          <w:t>4.3. Безопасность и эффективность</w:t>
        </w:r>
        <w:r w:rsidRPr="007F5E52">
          <w:rPr>
            <w:noProof/>
            <w:webHidden/>
          </w:rPr>
          <w:tab/>
        </w:r>
        <w:r w:rsidRPr="007F5E52">
          <w:rPr>
            <w:noProof/>
            <w:webHidden/>
          </w:rPr>
          <w:fldChar w:fldCharType="begin"/>
        </w:r>
        <w:r w:rsidRPr="007F5E52">
          <w:rPr>
            <w:noProof/>
            <w:webHidden/>
          </w:rPr>
          <w:instrText xml:space="preserve"> PAGEREF _Toc139361999 \h </w:instrText>
        </w:r>
        <w:r w:rsidRPr="007F5E52">
          <w:rPr>
            <w:noProof/>
            <w:webHidden/>
          </w:rPr>
        </w:r>
        <w:r w:rsidRPr="007F5E52">
          <w:rPr>
            <w:noProof/>
            <w:webHidden/>
          </w:rPr>
          <w:fldChar w:fldCharType="separate"/>
        </w:r>
        <w:r>
          <w:rPr>
            <w:noProof/>
            <w:webHidden/>
          </w:rPr>
          <w:t>50</w:t>
        </w:r>
        <w:r w:rsidRPr="007F5E52">
          <w:rPr>
            <w:noProof/>
            <w:webHidden/>
          </w:rPr>
          <w:fldChar w:fldCharType="end"/>
        </w:r>
      </w:hyperlink>
    </w:p>
    <w:p w14:paraId="038A4E1C" w14:textId="148868FD" w:rsidR="007F5E52" w:rsidRPr="007F5E52" w:rsidRDefault="007F5E52">
      <w:pPr>
        <w:pStyle w:val="31"/>
        <w:rPr>
          <w:rFonts w:eastAsiaTheme="minorEastAsia"/>
          <w:b w:val="0"/>
          <w:bCs w:val="0"/>
          <w:iCs w:val="0"/>
          <w:lang w:eastAsia="ru-RU"/>
        </w:rPr>
      </w:pPr>
      <w:hyperlink w:anchor="_Toc139362000" w:history="1">
        <w:r w:rsidRPr="007F5E52">
          <w:rPr>
            <w:rStyle w:val="aa"/>
            <w:b w:val="0"/>
          </w:rPr>
          <w:t>4.3.1. Клиническая эффективность</w:t>
        </w:r>
        <w:r w:rsidRPr="007F5E52">
          <w:rPr>
            <w:b w:val="0"/>
            <w:webHidden/>
          </w:rPr>
          <w:tab/>
        </w:r>
        <w:r w:rsidRPr="007F5E52">
          <w:rPr>
            <w:b w:val="0"/>
            <w:webHidden/>
          </w:rPr>
          <w:fldChar w:fldCharType="begin"/>
        </w:r>
        <w:r w:rsidRPr="007F5E52">
          <w:rPr>
            <w:b w:val="0"/>
            <w:webHidden/>
          </w:rPr>
          <w:instrText xml:space="preserve"> PAGEREF _Toc139362000 \h </w:instrText>
        </w:r>
        <w:r w:rsidRPr="007F5E52">
          <w:rPr>
            <w:b w:val="0"/>
            <w:webHidden/>
          </w:rPr>
        </w:r>
        <w:r w:rsidRPr="007F5E52">
          <w:rPr>
            <w:b w:val="0"/>
            <w:webHidden/>
          </w:rPr>
          <w:fldChar w:fldCharType="separate"/>
        </w:r>
        <w:r>
          <w:rPr>
            <w:b w:val="0"/>
            <w:webHidden/>
          </w:rPr>
          <w:t>50</w:t>
        </w:r>
        <w:r w:rsidRPr="007F5E52">
          <w:rPr>
            <w:b w:val="0"/>
            <w:webHidden/>
          </w:rPr>
          <w:fldChar w:fldCharType="end"/>
        </w:r>
      </w:hyperlink>
    </w:p>
    <w:p w14:paraId="6BE34550" w14:textId="6D32672D" w:rsidR="007F5E52" w:rsidRPr="007F5E52" w:rsidRDefault="007F5E52">
      <w:pPr>
        <w:pStyle w:val="41"/>
        <w:tabs>
          <w:tab w:val="right" w:leader="dot" w:pos="9346"/>
        </w:tabs>
        <w:rPr>
          <w:rFonts w:eastAsiaTheme="minorEastAsia"/>
          <w:noProof/>
          <w:lang w:eastAsia="ru-RU"/>
        </w:rPr>
      </w:pPr>
      <w:hyperlink w:anchor="_Toc139362001" w:history="1">
        <w:r w:rsidRPr="007F5E52">
          <w:rPr>
            <w:rStyle w:val="aa"/>
            <w:noProof/>
          </w:rPr>
          <w:t>4.3.1.1. Линаглиптин в качестве монотерапии у пациентов, которым противопоказан метформин</w:t>
        </w:r>
        <w:r w:rsidRPr="007F5E52">
          <w:rPr>
            <w:noProof/>
            <w:webHidden/>
          </w:rPr>
          <w:tab/>
        </w:r>
        <w:r w:rsidRPr="007F5E52">
          <w:rPr>
            <w:noProof/>
            <w:webHidden/>
          </w:rPr>
          <w:fldChar w:fldCharType="begin"/>
        </w:r>
        <w:r w:rsidRPr="007F5E52">
          <w:rPr>
            <w:noProof/>
            <w:webHidden/>
          </w:rPr>
          <w:instrText xml:space="preserve"> PAGEREF _Toc139362001 \h </w:instrText>
        </w:r>
        <w:r w:rsidRPr="007F5E52">
          <w:rPr>
            <w:noProof/>
            <w:webHidden/>
          </w:rPr>
        </w:r>
        <w:r w:rsidRPr="007F5E52">
          <w:rPr>
            <w:noProof/>
            <w:webHidden/>
          </w:rPr>
          <w:fldChar w:fldCharType="separate"/>
        </w:r>
        <w:r>
          <w:rPr>
            <w:noProof/>
            <w:webHidden/>
          </w:rPr>
          <w:t>51</w:t>
        </w:r>
        <w:r w:rsidRPr="007F5E52">
          <w:rPr>
            <w:noProof/>
            <w:webHidden/>
          </w:rPr>
          <w:fldChar w:fldCharType="end"/>
        </w:r>
      </w:hyperlink>
    </w:p>
    <w:p w14:paraId="08E6F04C" w14:textId="282BD9E9" w:rsidR="007F5E52" w:rsidRPr="007F5E52" w:rsidRDefault="007F5E52">
      <w:pPr>
        <w:pStyle w:val="41"/>
        <w:tabs>
          <w:tab w:val="right" w:leader="dot" w:pos="9346"/>
        </w:tabs>
        <w:rPr>
          <w:rFonts w:eastAsiaTheme="minorEastAsia"/>
          <w:noProof/>
          <w:lang w:eastAsia="ru-RU"/>
        </w:rPr>
      </w:pPr>
      <w:hyperlink w:anchor="_Toc139362002" w:history="1">
        <w:r w:rsidRPr="007F5E52">
          <w:rPr>
            <w:rStyle w:val="aa"/>
            <w:noProof/>
          </w:rPr>
          <w:t>4.3.1.2. Комбинированной терапии с другими гипогликемическими лекарственными препаратами, включая инсулин, в том случае, если при терапии этими препаратами не достигается адекватный гликемический контроль</w:t>
        </w:r>
        <w:r w:rsidRPr="007F5E52">
          <w:rPr>
            <w:noProof/>
            <w:webHidden/>
          </w:rPr>
          <w:tab/>
        </w:r>
        <w:r w:rsidRPr="007F5E52">
          <w:rPr>
            <w:noProof/>
            <w:webHidden/>
          </w:rPr>
          <w:fldChar w:fldCharType="begin"/>
        </w:r>
        <w:r w:rsidRPr="007F5E52">
          <w:rPr>
            <w:noProof/>
            <w:webHidden/>
          </w:rPr>
          <w:instrText xml:space="preserve"> PAGEREF _Toc139362002 \h </w:instrText>
        </w:r>
        <w:r w:rsidRPr="007F5E52">
          <w:rPr>
            <w:noProof/>
            <w:webHidden/>
          </w:rPr>
        </w:r>
        <w:r w:rsidRPr="007F5E52">
          <w:rPr>
            <w:noProof/>
            <w:webHidden/>
          </w:rPr>
          <w:fldChar w:fldCharType="separate"/>
        </w:r>
        <w:r>
          <w:rPr>
            <w:noProof/>
            <w:webHidden/>
          </w:rPr>
          <w:t>53</w:t>
        </w:r>
        <w:r w:rsidRPr="007F5E52">
          <w:rPr>
            <w:noProof/>
            <w:webHidden/>
          </w:rPr>
          <w:fldChar w:fldCharType="end"/>
        </w:r>
      </w:hyperlink>
    </w:p>
    <w:p w14:paraId="1E9D4C2F" w14:textId="5ED5CE06" w:rsidR="007F5E52" w:rsidRPr="007F5E52" w:rsidRDefault="007F5E52">
      <w:pPr>
        <w:pStyle w:val="41"/>
        <w:tabs>
          <w:tab w:val="right" w:leader="dot" w:pos="9346"/>
        </w:tabs>
        <w:rPr>
          <w:rFonts w:eastAsiaTheme="minorEastAsia"/>
          <w:noProof/>
          <w:lang w:eastAsia="ru-RU"/>
        </w:rPr>
      </w:pPr>
      <w:hyperlink w:anchor="_Toc139362003" w:history="1">
        <w:r w:rsidRPr="007F5E52">
          <w:rPr>
            <w:rStyle w:val="aa"/>
            <w:noProof/>
          </w:rPr>
          <w:t xml:space="preserve">4.3.1.2.1. </w:t>
        </w:r>
        <w:r w:rsidRPr="007F5E52">
          <w:rPr>
            <w:rStyle w:val="aa"/>
            <w:iCs/>
            <w:noProof/>
          </w:rPr>
          <w:t xml:space="preserve">Комбинация с </w:t>
        </w:r>
        <w:r w:rsidRPr="007F5E52">
          <w:rPr>
            <w:rStyle w:val="aa"/>
            <w:bCs/>
            <w:iCs/>
            <w:noProof/>
          </w:rPr>
          <w:t>пиоглитазон</w:t>
        </w:r>
        <w:r w:rsidRPr="007F5E52">
          <w:rPr>
            <w:rStyle w:val="aa"/>
            <w:iCs/>
            <w:noProof/>
          </w:rPr>
          <w:t>ом</w:t>
        </w:r>
        <w:r w:rsidRPr="007F5E52">
          <w:rPr>
            <w:noProof/>
            <w:webHidden/>
          </w:rPr>
          <w:tab/>
        </w:r>
        <w:r w:rsidRPr="007F5E52">
          <w:rPr>
            <w:noProof/>
            <w:webHidden/>
          </w:rPr>
          <w:fldChar w:fldCharType="begin"/>
        </w:r>
        <w:r w:rsidRPr="007F5E52">
          <w:rPr>
            <w:noProof/>
            <w:webHidden/>
          </w:rPr>
          <w:instrText xml:space="preserve"> PAGEREF _Toc139362003 \h </w:instrText>
        </w:r>
        <w:r w:rsidRPr="007F5E52">
          <w:rPr>
            <w:noProof/>
            <w:webHidden/>
          </w:rPr>
        </w:r>
        <w:r w:rsidRPr="007F5E52">
          <w:rPr>
            <w:noProof/>
            <w:webHidden/>
          </w:rPr>
          <w:fldChar w:fldCharType="separate"/>
        </w:r>
        <w:r>
          <w:rPr>
            <w:noProof/>
            <w:webHidden/>
          </w:rPr>
          <w:t>53</w:t>
        </w:r>
        <w:r w:rsidRPr="007F5E52">
          <w:rPr>
            <w:noProof/>
            <w:webHidden/>
          </w:rPr>
          <w:fldChar w:fldCharType="end"/>
        </w:r>
      </w:hyperlink>
    </w:p>
    <w:p w14:paraId="13805FDF" w14:textId="7EF63C24" w:rsidR="007F5E52" w:rsidRPr="007F5E52" w:rsidRDefault="007F5E52">
      <w:pPr>
        <w:pStyle w:val="41"/>
        <w:tabs>
          <w:tab w:val="right" w:leader="dot" w:pos="9346"/>
        </w:tabs>
        <w:rPr>
          <w:rFonts w:eastAsiaTheme="minorEastAsia"/>
          <w:noProof/>
          <w:lang w:eastAsia="ru-RU"/>
        </w:rPr>
      </w:pPr>
      <w:hyperlink w:anchor="_Toc139362004" w:history="1">
        <w:r w:rsidRPr="007F5E52">
          <w:rPr>
            <w:rStyle w:val="aa"/>
            <w:noProof/>
          </w:rPr>
          <w:t xml:space="preserve">4.3.1.2.2. </w:t>
        </w:r>
        <w:r w:rsidRPr="007F5E52">
          <w:rPr>
            <w:rStyle w:val="aa"/>
            <w:iCs/>
            <w:noProof/>
          </w:rPr>
          <w:t>Комбинация с метформином</w:t>
        </w:r>
        <w:r w:rsidRPr="007F5E52">
          <w:rPr>
            <w:noProof/>
            <w:webHidden/>
          </w:rPr>
          <w:tab/>
        </w:r>
        <w:r w:rsidRPr="007F5E52">
          <w:rPr>
            <w:noProof/>
            <w:webHidden/>
          </w:rPr>
          <w:fldChar w:fldCharType="begin"/>
        </w:r>
        <w:r w:rsidRPr="007F5E52">
          <w:rPr>
            <w:noProof/>
            <w:webHidden/>
          </w:rPr>
          <w:instrText xml:space="preserve"> PAGEREF _Toc139362004 \h </w:instrText>
        </w:r>
        <w:r w:rsidRPr="007F5E52">
          <w:rPr>
            <w:noProof/>
            <w:webHidden/>
          </w:rPr>
        </w:r>
        <w:r w:rsidRPr="007F5E52">
          <w:rPr>
            <w:noProof/>
            <w:webHidden/>
          </w:rPr>
          <w:fldChar w:fldCharType="separate"/>
        </w:r>
        <w:r>
          <w:rPr>
            <w:noProof/>
            <w:webHidden/>
          </w:rPr>
          <w:t>54</w:t>
        </w:r>
        <w:r w:rsidRPr="007F5E52">
          <w:rPr>
            <w:noProof/>
            <w:webHidden/>
          </w:rPr>
          <w:fldChar w:fldCharType="end"/>
        </w:r>
      </w:hyperlink>
    </w:p>
    <w:p w14:paraId="3EEABBB6" w14:textId="6B5C7258" w:rsidR="007F5E52" w:rsidRPr="007F5E52" w:rsidRDefault="007F5E52">
      <w:pPr>
        <w:pStyle w:val="41"/>
        <w:tabs>
          <w:tab w:val="right" w:leader="dot" w:pos="9346"/>
        </w:tabs>
        <w:rPr>
          <w:rFonts w:eastAsiaTheme="minorEastAsia"/>
          <w:noProof/>
          <w:lang w:eastAsia="ru-RU"/>
        </w:rPr>
      </w:pPr>
      <w:hyperlink w:anchor="_Toc139362005" w:history="1">
        <w:r w:rsidRPr="007F5E52">
          <w:rPr>
            <w:rStyle w:val="aa"/>
            <w:iCs/>
            <w:noProof/>
          </w:rPr>
          <w:t>4.3.1.2.3. Комбинация с метформином и сульфонилмочевиной</w:t>
        </w:r>
        <w:r w:rsidRPr="007F5E52">
          <w:rPr>
            <w:noProof/>
            <w:webHidden/>
          </w:rPr>
          <w:tab/>
        </w:r>
        <w:r w:rsidRPr="007F5E52">
          <w:rPr>
            <w:noProof/>
            <w:webHidden/>
          </w:rPr>
          <w:fldChar w:fldCharType="begin"/>
        </w:r>
        <w:r w:rsidRPr="007F5E52">
          <w:rPr>
            <w:noProof/>
            <w:webHidden/>
          </w:rPr>
          <w:instrText xml:space="preserve"> PAGEREF _Toc139362005 \h </w:instrText>
        </w:r>
        <w:r w:rsidRPr="007F5E52">
          <w:rPr>
            <w:noProof/>
            <w:webHidden/>
          </w:rPr>
        </w:r>
        <w:r w:rsidRPr="007F5E52">
          <w:rPr>
            <w:noProof/>
            <w:webHidden/>
          </w:rPr>
          <w:fldChar w:fldCharType="separate"/>
        </w:r>
        <w:r>
          <w:rPr>
            <w:noProof/>
            <w:webHidden/>
          </w:rPr>
          <w:t>54</w:t>
        </w:r>
        <w:r w:rsidRPr="007F5E52">
          <w:rPr>
            <w:noProof/>
            <w:webHidden/>
          </w:rPr>
          <w:fldChar w:fldCharType="end"/>
        </w:r>
      </w:hyperlink>
    </w:p>
    <w:p w14:paraId="4E301CD1" w14:textId="6DE4196B" w:rsidR="007F5E52" w:rsidRPr="007F5E52" w:rsidRDefault="007F5E52">
      <w:pPr>
        <w:pStyle w:val="41"/>
        <w:tabs>
          <w:tab w:val="right" w:leader="dot" w:pos="9346"/>
        </w:tabs>
        <w:rPr>
          <w:rFonts w:eastAsiaTheme="minorEastAsia"/>
          <w:noProof/>
          <w:lang w:eastAsia="ru-RU"/>
        </w:rPr>
      </w:pPr>
      <w:hyperlink w:anchor="_Toc139362006" w:history="1">
        <w:r w:rsidRPr="007F5E52">
          <w:rPr>
            <w:rStyle w:val="aa"/>
            <w:iCs/>
            <w:noProof/>
          </w:rPr>
          <w:t>4.3.1.2.4. Ком</w:t>
        </w:r>
        <w:bookmarkStart w:id="2" w:name="_GoBack"/>
        <w:bookmarkEnd w:id="2"/>
        <w:r w:rsidRPr="007F5E52">
          <w:rPr>
            <w:rStyle w:val="aa"/>
            <w:iCs/>
            <w:noProof/>
          </w:rPr>
          <w:t>бинация с метформином и эмпаглифлозином</w:t>
        </w:r>
        <w:r w:rsidRPr="007F5E52">
          <w:rPr>
            <w:noProof/>
            <w:webHidden/>
          </w:rPr>
          <w:tab/>
        </w:r>
        <w:r w:rsidRPr="007F5E52">
          <w:rPr>
            <w:noProof/>
            <w:webHidden/>
          </w:rPr>
          <w:fldChar w:fldCharType="begin"/>
        </w:r>
        <w:r w:rsidRPr="007F5E52">
          <w:rPr>
            <w:noProof/>
            <w:webHidden/>
          </w:rPr>
          <w:instrText xml:space="preserve"> PAGEREF _Toc139362006 \h </w:instrText>
        </w:r>
        <w:r w:rsidRPr="007F5E52">
          <w:rPr>
            <w:noProof/>
            <w:webHidden/>
          </w:rPr>
        </w:r>
        <w:r w:rsidRPr="007F5E52">
          <w:rPr>
            <w:noProof/>
            <w:webHidden/>
          </w:rPr>
          <w:fldChar w:fldCharType="separate"/>
        </w:r>
        <w:r>
          <w:rPr>
            <w:noProof/>
            <w:webHidden/>
          </w:rPr>
          <w:t>55</w:t>
        </w:r>
        <w:r w:rsidRPr="007F5E52">
          <w:rPr>
            <w:noProof/>
            <w:webHidden/>
          </w:rPr>
          <w:fldChar w:fldCharType="end"/>
        </w:r>
      </w:hyperlink>
    </w:p>
    <w:p w14:paraId="26CE66C1" w14:textId="1936B3F6" w:rsidR="007F5E52" w:rsidRPr="007F5E52" w:rsidRDefault="007F5E52">
      <w:pPr>
        <w:pStyle w:val="41"/>
        <w:tabs>
          <w:tab w:val="right" w:leader="dot" w:pos="9346"/>
        </w:tabs>
        <w:rPr>
          <w:rFonts w:eastAsiaTheme="minorEastAsia"/>
          <w:noProof/>
          <w:lang w:eastAsia="ru-RU"/>
        </w:rPr>
      </w:pPr>
      <w:hyperlink w:anchor="_Toc139362007" w:history="1">
        <w:r w:rsidRPr="007F5E52">
          <w:rPr>
            <w:rStyle w:val="aa"/>
            <w:iCs/>
            <w:noProof/>
          </w:rPr>
          <w:t>4.3.1.2.5. Комбинация с базальным инсулином, метформином и/или пиоглитазоном</w:t>
        </w:r>
        <w:r w:rsidRPr="007F5E52">
          <w:rPr>
            <w:noProof/>
            <w:webHidden/>
          </w:rPr>
          <w:tab/>
        </w:r>
        <w:r w:rsidRPr="007F5E52">
          <w:rPr>
            <w:noProof/>
            <w:webHidden/>
          </w:rPr>
          <w:fldChar w:fldCharType="begin"/>
        </w:r>
        <w:r w:rsidRPr="007F5E52">
          <w:rPr>
            <w:noProof/>
            <w:webHidden/>
          </w:rPr>
          <w:instrText xml:space="preserve"> PAGEREF _Toc139362007 \h </w:instrText>
        </w:r>
        <w:r w:rsidRPr="007F5E52">
          <w:rPr>
            <w:noProof/>
            <w:webHidden/>
          </w:rPr>
        </w:r>
        <w:r w:rsidRPr="007F5E52">
          <w:rPr>
            <w:noProof/>
            <w:webHidden/>
          </w:rPr>
          <w:fldChar w:fldCharType="separate"/>
        </w:r>
        <w:r>
          <w:rPr>
            <w:noProof/>
            <w:webHidden/>
          </w:rPr>
          <w:t>56</w:t>
        </w:r>
        <w:r w:rsidRPr="007F5E52">
          <w:rPr>
            <w:noProof/>
            <w:webHidden/>
          </w:rPr>
          <w:fldChar w:fldCharType="end"/>
        </w:r>
      </w:hyperlink>
    </w:p>
    <w:p w14:paraId="5748B202" w14:textId="12DEA8B0" w:rsidR="007F5E52" w:rsidRPr="007F5E52" w:rsidRDefault="007F5E52">
      <w:pPr>
        <w:pStyle w:val="41"/>
        <w:tabs>
          <w:tab w:val="right" w:leader="dot" w:pos="9346"/>
        </w:tabs>
        <w:rPr>
          <w:rFonts w:eastAsiaTheme="minorEastAsia"/>
          <w:noProof/>
          <w:lang w:eastAsia="ru-RU"/>
        </w:rPr>
      </w:pPr>
      <w:hyperlink w:anchor="_Toc139362008" w:history="1">
        <w:r w:rsidRPr="007F5E52">
          <w:rPr>
            <w:rStyle w:val="aa"/>
            <w:iCs/>
            <w:noProof/>
          </w:rPr>
          <w:t>4.3.1.2.6. Комбинация с метформином и/или глимепиридом</w:t>
        </w:r>
        <w:r w:rsidRPr="007F5E52">
          <w:rPr>
            <w:noProof/>
            <w:webHidden/>
          </w:rPr>
          <w:tab/>
        </w:r>
        <w:r w:rsidRPr="007F5E52">
          <w:rPr>
            <w:noProof/>
            <w:webHidden/>
          </w:rPr>
          <w:fldChar w:fldCharType="begin"/>
        </w:r>
        <w:r w:rsidRPr="007F5E52">
          <w:rPr>
            <w:noProof/>
            <w:webHidden/>
          </w:rPr>
          <w:instrText xml:space="preserve"> PAGEREF _Toc139362008 \h </w:instrText>
        </w:r>
        <w:r w:rsidRPr="007F5E52">
          <w:rPr>
            <w:noProof/>
            <w:webHidden/>
          </w:rPr>
        </w:r>
        <w:r w:rsidRPr="007F5E52">
          <w:rPr>
            <w:noProof/>
            <w:webHidden/>
          </w:rPr>
          <w:fldChar w:fldCharType="separate"/>
        </w:r>
        <w:r>
          <w:rPr>
            <w:noProof/>
            <w:webHidden/>
          </w:rPr>
          <w:t>56</w:t>
        </w:r>
        <w:r w:rsidRPr="007F5E52">
          <w:rPr>
            <w:noProof/>
            <w:webHidden/>
          </w:rPr>
          <w:fldChar w:fldCharType="end"/>
        </w:r>
      </w:hyperlink>
    </w:p>
    <w:p w14:paraId="1AE1E3E6" w14:textId="4FACE6AC" w:rsidR="007F5E52" w:rsidRPr="007F5E52" w:rsidRDefault="007F5E52">
      <w:pPr>
        <w:pStyle w:val="31"/>
        <w:rPr>
          <w:rFonts w:eastAsiaTheme="minorEastAsia"/>
          <w:b w:val="0"/>
          <w:bCs w:val="0"/>
          <w:iCs w:val="0"/>
          <w:lang w:eastAsia="ru-RU"/>
        </w:rPr>
      </w:pPr>
      <w:hyperlink w:anchor="_Toc139362009" w:history="1">
        <w:r w:rsidRPr="007F5E52">
          <w:rPr>
            <w:rStyle w:val="aa"/>
            <w:b w:val="0"/>
          </w:rPr>
          <w:t>4.3.2. Клиническая безопасность</w:t>
        </w:r>
        <w:r w:rsidRPr="007F5E52">
          <w:rPr>
            <w:b w:val="0"/>
            <w:webHidden/>
          </w:rPr>
          <w:tab/>
        </w:r>
        <w:r w:rsidRPr="007F5E52">
          <w:rPr>
            <w:b w:val="0"/>
            <w:webHidden/>
          </w:rPr>
          <w:fldChar w:fldCharType="begin"/>
        </w:r>
        <w:r w:rsidRPr="007F5E52">
          <w:rPr>
            <w:b w:val="0"/>
            <w:webHidden/>
          </w:rPr>
          <w:instrText xml:space="preserve"> PAGEREF _Toc139362009 \h </w:instrText>
        </w:r>
        <w:r w:rsidRPr="007F5E52">
          <w:rPr>
            <w:b w:val="0"/>
            <w:webHidden/>
          </w:rPr>
        </w:r>
        <w:r w:rsidRPr="007F5E52">
          <w:rPr>
            <w:b w:val="0"/>
            <w:webHidden/>
          </w:rPr>
          <w:fldChar w:fldCharType="separate"/>
        </w:r>
        <w:r>
          <w:rPr>
            <w:b w:val="0"/>
            <w:webHidden/>
          </w:rPr>
          <w:t>57</w:t>
        </w:r>
        <w:r w:rsidRPr="007F5E52">
          <w:rPr>
            <w:b w:val="0"/>
            <w:webHidden/>
          </w:rPr>
          <w:fldChar w:fldCharType="end"/>
        </w:r>
      </w:hyperlink>
    </w:p>
    <w:p w14:paraId="66F0BAFB" w14:textId="01CC3634" w:rsidR="007F5E52" w:rsidRPr="007F5E52" w:rsidRDefault="007F5E52">
      <w:pPr>
        <w:pStyle w:val="31"/>
        <w:rPr>
          <w:rFonts w:eastAsiaTheme="minorEastAsia"/>
          <w:b w:val="0"/>
          <w:bCs w:val="0"/>
          <w:iCs w:val="0"/>
          <w:lang w:eastAsia="ru-RU"/>
        </w:rPr>
      </w:pPr>
      <w:hyperlink w:anchor="_Toc139362010" w:history="1">
        <w:r w:rsidRPr="007F5E52">
          <w:rPr>
            <w:rStyle w:val="aa"/>
            <w:b w:val="0"/>
          </w:rPr>
          <w:t>4.3.2.1. Группоспецифические эффекты</w:t>
        </w:r>
        <w:r w:rsidRPr="007F5E52">
          <w:rPr>
            <w:b w:val="0"/>
            <w:webHidden/>
          </w:rPr>
          <w:tab/>
        </w:r>
        <w:r w:rsidRPr="007F5E52">
          <w:rPr>
            <w:b w:val="0"/>
            <w:webHidden/>
          </w:rPr>
          <w:fldChar w:fldCharType="begin"/>
        </w:r>
        <w:r w:rsidRPr="007F5E52">
          <w:rPr>
            <w:b w:val="0"/>
            <w:webHidden/>
          </w:rPr>
          <w:instrText xml:space="preserve"> PAGEREF _Toc139362010 \h </w:instrText>
        </w:r>
        <w:r w:rsidRPr="007F5E52">
          <w:rPr>
            <w:b w:val="0"/>
            <w:webHidden/>
          </w:rPr>
        </w:r>
        <w:r w:rsidRPr="007F5E52">
          <w:rPr>
            <w:b w:val="0"/>
            <w:webHidden/>
          </w:rPr>
          <w:fldChar w:fldCharType="separate"/>
        </w:r>
        <w:r>
          <w:rPr>
            <w:b w:val="0"/>
            <w:webHidden/>
          </w:rPr>
          <w:t>57</w:t>
        </w:r>
        <w:r w:rsidRPr="007F5E52">
          <w:rPr>
            <w:b w:val="0"/>
            <w:webHidden/>
          </w:rPr>
          <w:fldChar w:fldCharType="end"/>
        </w:r>
      </w:hyperlink>
    </w:p>
    <w:p w14:paraId="3C421383" w14:textId="72BD1C19" w:rsidR="007F5E52" w:rsidRPr="007F5E52" w:rsidRDefault="007F5E52">
      <w:pPr>
        <w:pStyle w:val="41"/>
        <w:tabs>
          <w:tab w:val="right" w:leader="dot" w:pos="9346"/>
        </w:tabs>
        <w:rPr>
          <w:rFonts w:eastAsiaTheme="minorEastAsia"/>
          <w:noProof/>
          <w:lang w:eastAsia="ru-RU"/>
        </w:rPr>
      </w:pPr>
      <w:hyperlink w:anchor="_Toc139362011" w:history="1">
        <w:r w:rsidRPr="007F5E52">
          <w:rPr>
            <w:rStyle w:val="aa"/>
            <w:iCs/>
            <w:noProof/>
          </w:rPr>
          <w:t>4.3.2.2.1. Оценка долгосрочной безопасности линаглиптина у пациентов с СД 2 типа и тяжелой почечной недостаточностью</w:t>
        </w:r>
        <w:r w:rsidRPr="007F5E52">
          <w:rPr>
            <w:noProof/>
            <w:webHidden/>
          </w:rPr>
          <w:tab/>
        </w:r>
        <w:r w:rsidRPr="007F5E52">
          <w:rPr>
            <w:noProof/>
            <w:webHidden/>
          </w:rPr>
          <w:fldChar w:fldCharType="begin"/>
        </w:r>
        <w:r w:rsidRPr="007F5E52">
          <w:rPr>
            <w:noProof/>
            <w:webHidden/>
          </w:rPr>
          <w:instrText xml:space="preserve"> PAGEREF _Toc139362011 \h </w:instrText>
        </w:r>
        <w:r w:rsidRPr="007F5E52">
          <w:rPr>
            <w:noProof/>
            <w:webHidden/>
          </w:rPr>
        </w:r>
        <w:r w:rsidRPr="007F5E52">
          <w:rPr>
            <w:noProof/>
            <w:webHidden/>
          </w:rPr>
          <w:fldChar w:fldCharType="separate"/>
        </w:r>
        <w:r>
          <w:rPr>
            <w:noProof/>
            <w:webHidden/>
          </w:rPr>
          <w:t>58</w:t>
        </w:r>
        <w:r w:rsidRPr="007F5E52">
          <w:rPr>
            <w:noProof/>
            <w:webHidden/>
          </w:rPr>
          <w:fldChar w:fldCharType="end"/>
        </w:r>
      </w:hyperlink>
    </w:p>
    <w:p w14:paraId="4DF36ABF" w14:textId="0197A4C3" w:rsidR="007F5E52" w:rsidRPr="007F5E52" w:rsidRDefault="007F5E52">
      <w:pPr>
        <w:pStyle w:val="41"/>
        <w:tabs>
          <w:tab w:val="right" w:leader="dot" w:pos="9346"/>
        </w:tabs>
        <w:rPr>
          <w:rFonts w:eastAsiaTheme="minorEastAsia"/>
          <w:noProof/>
          <w:lang w:eastAsia="ru-RU"/>
        </w:rPr>
      </w:pPr>
      <w:hyperlink w:anchor="_Toc139362012" w:history="1">
        <w:r w:rsidRPr="007F5E52">
          <w:rPr>
            <w:rStyle w:val="aa"/>
            <w:iCs/>
            <w:noProof/>
          </w:rPr>
          <w:t>4.3.2.2.2. Оценка безопасности линаглиптина у</w:t>
        </w:r>
        <w:r w:rsidRPr="007F5E52">
          <w:rPr>
            <w:rStyle w:val="aa"/>
            <w:noProof/>
          </w:rPr>
          <w:t xml:space="preserve"> </w:t>
        </w:r>
        <w:r w:rsidRPr="007F5E52">
          <w:rPr>
            <w:rStyle w:val="aa"/>
            <w:iCs/>
            <w:noProof/>
          </w:rPr>
          <w:t>пожилых пациентов с СД 2</w:t>
        </w:r>
        <w:r w:rsidRPr="007F5E52">
          <w:rPr>
            <w:noProof/>
            <w:webHidden/>
          </w:rPr>
          <w:tab/>
        </w:r>
        <w:r w:rsidRPr="007F5E52">
          <w:rPr>
            <w:noProof/>
            <w:webHidden/>
          </w:rPr>
          <w:fldChar w:fldCharType="begin"/>
        </w:r>
        <w:r w:rsidRPr="007F5E52">
          <w:rPr>
            <w:noProof/>
            <w:webHidden/>
          </w:rPr>
          <w:instrText xml:space="preserve"> PAGEREF _Toc139362012 \h </w:instrText>
        </w:r>
        <w:r w:rsidRPr="007F5E52">
          <w:rPr>
            <w:noProof/>
            <w:webHidden/>
          </w:rPr>
        </w:r>
        <w:r w:rsidRPr="007F5E52">
          <w:rPr>
            <w:noProof/>
            <w:webHidden/>
          </w:rPr>
          <w:fldChar w:fldCharType="separate"/>
        </w:r>
        <w:r>
          <w:rPr>
            <w:noProof/>
            <w:webHidden/>
          </w:rPr>
          <w:t>58</w:t>
        </w:r>
        <w:r w:rsidRPr="007F5E52">
          <w:rPr>
            <w:noProof/>
            <w:webHidden/>
          </w:rPr>
          <w:fldChar w:fldCharType="end"/>
        </w:r>
      </w:hyperlink>
    </w:p>
    <w:p w14:paraId="0E52F948" w14:textId="3FCAB444" w:rsidR="007F5E52" w:rsidRPr="007F5E52" w:rsidRDefault="007F5E52">
      <w:pPr>
        <w:pStyle w:val="41"/>
        <w:tabs>
          <w:tab w:val="right" w:leader="dot" w:pos="9346"/>
        </w:tabs>
        <w:rPr>
          <w:rFonts w:eastAsiaTheme="minorEastAsia"/>
          <w:noProof/>
          <w:lang w:eastAsia="ru-RU"/>
        </w:rPr>
      </w:pPr>
      <w:hyperlink w:anchor="_Toc139362013" w:history="1">
        <w:r w:rsidRPr="007F5E52">
          <w:rPr>
            <w:rStyle w:val="aa"/>
            <w:iCs/>
            <w:noProof/>
          </w:rPr>
          <w:t>4.3.2.2.3. Оценка долгосрочной безопасности линаглиптина у пожилых пациентов с СД 2 с сердечно-сосудистым заболеванием и/или заболеванием почек</w:t>
        </w:r>
        <w:r w:rsidRPr="007F5E52">
          <w:rPr>
            <w:noProof/>
            <w:webHidden/>
          </w:rPr>
          <w:tab/>
        </w:r>
        <w:r w:rsidRPr="007F5E52">
          <w:rPr>
            <w:noProof/>
            <w:webHidden/>
          </w:rPr>
          <w:fldChar w:fldCharType="begin"/>
        </w:r>
        <w:r w:rsidRPr="007F5E52">
          <w:rPr>
            <w:noProof/>
            <w:webHidden/>
          </w:rPr>
          <w:instrText xml:space="preserve"> PAGEREF _Toc139362013 \h </w:instrText>
        </w:r>
        <w:r w:rsidRPr="007F5E52">
          <w:rPr>
            <w:noProof/>
            <w:webHidden/>
          </w:rPr>
        </w:r>
        <w:r w:rsidRPr="007F5E52">
          <w:rPr>
            <w:noProof/>
            <w:webHidden/>
          </w:rPr>
          <w:fldChar w:fldCharType="separate"/>
        </w:r>
        <w:r>
          <w:rPr>
            <w:noProof/>
            <w:webHidden/>
          </w:rPr>
          <w:t>59</w:t>
        </w:r>
        <w:r w:rsidRPr="007F5E52">
          <w:rPr>
            <w:noProof/>
            <w:webHidden/>
          </w:rPr>
          <w:fldChar w:fldCharType="end"/>
        </w:r>
      </w:hyperlink>
    </w:p>
    <w:p w14:paraId="2031F51B" w14:textId="680BC06D" w:rsidR="007F5E52" w:rsidRPr="007F5E52" w:rsidRDefault="007F5E52">
      <w:pPr>
        <w:pStyle w:val="41"/>
        <w:tabs>
          <w:tab w:val="right" w:leader="dot" w:pos="9346"/>
        </w:tabs>
        <w:rPr>
          <w:rFonts w:eastAsiaTheme="minorEastAsia"/>
          <w:noProof/>
          <w:lang w:eastAsia="ru-RU"/>
        </w:rPr>
      </w:pPr>
      <w:hyperlink w:anchor="_Toc139362014" w:history="1">
        <w:r w:rsidRPr="007F5E52">
          <w:rPr>
            <w:rStyle w:val="aa"/>
            <w:iCs/>
            <w:noProof/>
          </w:rPr>
          <w:t>4.3.2.2.4. Оценка сердечно-сосудистой безопасности линаглиптина</w:t>
        </w:r>
        <w:r w:rsidRPr="007F5E52">
          <w:rPr>
            <w:noProof/>
            <w:webHidden/>
          </w:rPr>
          <w:tab/>
        </w:r>
        <w:r w:rsidRPr="007F5E52">
          <w:rPr>
            <w:noProof/>
            <w:webHidden/>
          </w:rPr>
          <w:fldChar w:fldCharType="begin"/>
        </w:r>
        <w:r w:rsidRPr="007F5E52">
          <w:rPr>
            <w:noProof/>
            <w:webHidden/>
          </w:rPr>
          <w:instrText xml:space="preserve"> PAGEREF _Toc139362014 \h </w:instrText>
        </w:r>
        <w:r w:rsidRPr="007F5E52">
          <w:rPr>
            <w:noProof/>
            <w:webHidden/>
          </w:rPr>
        </w:r>
        <w:r w:rsidRPr="007F5E52">
          <w:rPr>
            <w:noProof/>
            <w:webHidden/>
          </w:rPr>
          <w:fldChar w:fldCharType="separate"/>
        </w:r>
        <w:r>
          <w:rPr>
            <w:noProof/>
            <w:webHidden/>
          </w:rPr>
          <w:t>60</w:t>
        </w:r>
        <w:r w:rsidRPr="007F5E52">
          <w:rPr>
            <w:noProof/>
            <w:webHidden/>
          </w:rPr>
          <w:fldChar w:fldCharType="end"/>
        </w:r>
      </w:hyperlink>
    </w:p>
    <w:p w14:paraId="3794DE42" w14:textId="68AE21B8" w:rsidR="007F5E52" w:rsidRPr="007F5E52" w:rsidRDefault="007F5E52">
      <w:pPr>
        <w:pStyle w:val="41"/>
        <w:tabs>
          <w:tab w:val="right" w:leader="dot" w:pos="9346"/>
        </w:tabs>
        <w:rPr>
          <w:rFonts w:eastAsiaTheme="minorEastAsia"/>
          <w:noProof/>
          <w:lang w:eastAsia="ru-RU"/>
        </w:rPr>
      </w:pPr>
      <w:hyperlink w:anchor="_Toc139362015" w:history="1">
        <w:r w:rsidRPr="007F5E52">
          <w:rPr>
            <w:rStyle w:val="aa"/>
            <w:iCs/>
            <w:noProof/>
          </w:rPr>
          <w:t>4.3.2.2.5. Педиатрическая популяция</w:t>
        </w:r>
        <w:r w:rsidRPr="007F5E52">
          <w:rPr>
            <w:noProof/>
            <w:webHidden/>
          </w:rPr>
          <w:tab/>
        </w:r>
        <w:r w:rsidRPr="007F5E52">
          <w:rPr>
            <w:noProof/>
            <w:webHidden/>
          </w:rPr>
          <w:fldChar w:fldCharType="begin"/>
        </w:r>
        <w:r w:rsidRPr="007F5E52">
          <w:rPr>
            <w:noProof/>
            <w:webHidden/>
          </w:rPr>
          <w:instrText xml:space="preserve"> PAGEREF _Toc139362015 \h </w:instrText>
        </w:r>
        <w:r w:rsidRPr="007F5E52">
          <w:rPr>
            <w:noProof/>
            <w:webHidden/>
          </w:rPr>
        </w:r>
        <w:r w:rsidRPr="007F5E52">
          <w:rPr>
            <w:noProof/>
            <w:webHidden/>
          </w:rPr>
          <w:fldChar w:fldCharType="separate"/>
        </w:r>
        <w:r>
          <w:rPr>
            <w:noProof/>
            <w:webHidden/>
          </w:rPr>
          <w:t>62</w:t>
        </w:r>
        <w:r w:rsidRPr="007F5E52">
          <w:rPr>
            <w:noProof/>
            <w:webHidden/>
          </w:rPr>
          <w:fldChar w:fldCharType="end"/>
        </w:r>
      </w:hyperlink>
    </w:p>
    <w:p w14:paraId="651F4E76" w14:textId="58CA9B09" w:rsidR="007F5E52" w:rsidRPr="007F5E52" w:rsidRDefault="007F5E52">
      <w:pPr>
        <w:pStyle w:val="21"/>
        <w:rPr>
          <w:rFonts w:eastAsiaTheme="minorEastAsia"/>
          <w:noProof/>
          <w:lang w:eastAsia="ru-RU"/>
        </w:rPr>
      </w:pPr>
      <w:hyperlink w:anchor="_Toc139362016" w:history="1">
        <w:r w:rsidRPr="007F5E52">
          <w:rPr>
            <w:rStyle w:val="aa"/>
            <w:noProof/>
          </w:rPr>
          <w:t>Список</w:t>
        </w:r>
        <w:r w:rsidRPr="007F5E52">
          <w:rPr>
            <w:rStyle w:val="aa"/>
            <w:noProof/>
            <w:lang w:val="en-US"/>
          </w:rPr>
          <w:t xml:space="preserve"> </w:t>
        </w:r>
        <w:r w:rsidRPr="007F5E52">
          <w:rPr>
            <w:rStyle w:val="aa"/>
            <w:noProof/>
          </w:rPr>
          <w:t>литературы</w:t>
        </w:r>
        <w:r w:rsidRPr="007F5E52">
          <w:rPr>
            <w:noProof/>
            <w:webHidden/>
          </w:rPr>
          <w:tab/>
        </w:r>
        <w:r w:rsidRPr="007F5E52">
          <w:rPr>
            <w:noProof/>
            <w:webHidden/>
          </w:rPr>
          <w:fldChar w:fldCharType="begin"/>
        </w:r>
        <w:r w:rsidRPr="007F5E52">
          <w:rPr>
            <w:noProof/>
            <w:webHidden/>
          </w:rPr>
          <w:instrText xml:space="preserve"> PAGEREF _Toc139362016 \h </w:instrText>
        </w:r>
        <w:r w:rsidRPr="007F5E52">
          <w:rPr>
            <w:noProof/>
            <w:webHidden/>
          </w:rPr>
        </w:r>
        <w:r w:rsidRPr="007F5E52">
          <w:rPr>
            <w:noProof/>
            <w:webHidden/>
          </w:rPr>
          <w:fldChar w:fldCharType="separate"/>
        </w:r>
        <w:r>
          <w:rPr>
            <w:noProof/>
            <w:webHidden/>
          </w:rPr>
          <w:t>65</w:t>
        </w:r>
        <w:r w:rsidRPr="007F5E52">
          <w:rPr>
            <w:noProof/>
            <w:webHidden/>
          </w:rPr>
          <w:fldChar w:fldCharType="end"/>
        </w:r>
      </w:hyperlink>
    </w:p>
    <w:p w14:paraId="7D11DF74" w14:textId="7D762502" w:rsidR="007F5E52" w:rsidRPr="007F5E52" w:rsidRDefault="007F5E52">
      <w:pPr>
        <w:pStyle w:val="14"/>
        <w:rPr>
          <w:rFonts w:eastAsiaTheme="minorEastAsia"/>
          <w:noProof/>
          <w:lang w:eastAsia="ru-RU"/>
        </w:rPr>
      </w:pPr>
      <w:hyperlink w:anchor="_Toc139362017" w:history="1">
        <w:r w:rsidRPr="007F5E52">
          <w:rPr>
            <w:rStyle w:val="aa"/>
            <w:noProof/>
          </w:rPr>
          <w:t>5. ОБСУЖДЕНИЕ ДАННЫХ И ИНСТРУКЦИИ ДЛЯ ИССЛЕДОВАТЕЛЯ</w:t>
        </w:r>
        <w:r w:rsidRPr="007F5E52">
          <w:rPr>
            <w:noProof/>
            <w:webHidden/>
          </w:rPr>
          <w:tab/>
        </w:r>
        <w:r w:rsidRPr="007F5E52">
          <w:rPr>
            <w:noProof/>
            <w:webHidden/>
          </w:rPr>
          <w:fldChar w:fldCharType="begin"/>
        </w:r>
        <w:r w:rsidRPr="007F5E52">
          <w:rPr>
            <w:noProof/>
            <w:webHidden/>
          </w:rPr>
          <w:instrText xml:space="preserve"> PAGEREF _Toc139362017 \h </w:instrText>
        </w:r>
        <w:r w:rsidRPr="007F5E52">
          <w:rPr>
            <w:noProof/>
            <w:webHidden/>
          </w:rPr>
        </w:r>
        <w:r w:rsidRPr="007F5E52">
          <w:rPr>
            <w:noProof/>
            <w:webHidden/>
          </w:rPr>
          <w:fldChar w:fldCharType="separate"/>
        </w:r>
        <w:r>
          <w:rPr>
            <w:noProof/>
            <w:webHidden/>
          </w:rPr>
          <w:t>67</w:t>
        </w:r>
        <w:r w:rsidRPr="007F5E52">
          <w:rPr>
            <w:noProof/>
            <w:webHidden/>
          </w:rPr>
          <w:fldChar w:fldCharType="end"/>
        </w:r>
      </w:hyperlink>
    </w:p>
    <w:p w14:paraId="31B65622" w14:textId="407D8CE5" w:rsidR="007F5E52" w:rsidRPr="007F5E52" w:rsidRDefault="007F5E52">
      <w:pPr>
        <w:pStyle w:val="21"/>
        <w:rPr>
          <w:rFonts w:eastAsiaTheme="minorEastAsia"/>
          <w:noProof/>
          <w:lang w:eastAsia="ru-RU"/>
        </w:rPr>
      </w:pPr>
      <w:hyperlink w:anchor="_Toc139362018" w:history="1">
        <w:r w:rsidRPr="007F5E52">
          <w:rPr>
            <w:rStyle w:val="aa"/>
            <w:noProof/>
          </w:rPr>
          <w:t>5.1. Обсуждение данных доклинических исследований</w:t>
        </w:r>
        <w:r w:rsidRPr="007F5E52">
          <w:rPr>
            <w:noProof/>
            <w:webHidden/>
          </w:rPr>
          <w:tab/>
        </w:r>
        <w:r w:rsidRPr="007F5E52">
          <w:rPr>
            <w:noProof/>
            <w:webHidden/>
          </w:rPr>
          <w:fldChar w:fldCharType="begin"/>
        </w:r>
        <w:r w:rsidRPr="007F5E52">
          <w:rPr>
            <w:noProof/>
            <w:webHidden/>
          </w:rPr>
          <w:instrText xml:space="preserve"> PAGEREF _Toc139362018 \h </w:instrText>
        </w:r>
        <w:r w:rsidRPr="007F5E52">
          <w:rPr>
            <w:noProof/>
            <w:webHidden/>
          </w:rPr>
        </w:r>
        <w:r w:rsidRPr="007F5E52">
          <w:rPr>
            <w:noProof/>
            <w:webHidden/>
          </w:rPr>
          <w:fldChar w:fldCharType="separate"/>
        </w:r>
        <w:r>
          <w:rPr>
            <w:noProof/>
            <w:webHidden/>
          </w:rPr>
          <w:t>67</w:t>
        </w:r>
        <w:r w:rsidRPr="007F5E52">
          <w:rPr>
            <w:noProof/>
            <w:webHidden/>
          </w:rPr>
          <w:fldChar w:fldCharType="end"/>
        </w:r>
      </w:hyperlink>
    </w:p>
    <w:p w14:paraId="3B132CE5" w14:textId="425C3142" w:rsidR="007F5E52" w:rsidRPr="007F5E52" w:rsidRDefault="007F5E52">
      <w:pPr>
        <w:pStyle w:val="21"/>
        <w:rPr>
          <w:rFonts w:eastAsiaTheme="minorEastAsia"/>
          <w:noProof/>
          <w:lang w:eastAsia="ru-RU"/>
        </w:rPr>
      </w:pPr>
      <w:hyperlink w:anchor="_Toc139362019" w:history="1">
        <w:r w:rsidRPr="007F5E52">
          <w:rPr>
            <w:rStyle w:val="aa"/>
            <w:noProof/>
          </w:rPr>
          <w:t>5.2. Обсуждение данных клинических исследований</w:t>
        </w:r>
        <w:r w:rsidRPr="007F5E52">
          <w:rPr>
            <w:noProof/>
            <w:webHidden/>
          </w:rPr>
          <w:tab/>
        </w:r>
        <w:r w:rsidRPr="007F5E52">
          <w:rPr>
            <w:noProof/>
            <w:webHidden/>
          </w:rPr>
          <w:fldChar w:fldCharType="begin"/>
        </w:r>
        <w:r w:rsidRPr="007F5E52">
          <w:rPr>
            <w:noProof/>
            <w:webHidden/>
          </w:rPr>
          <w:instrText xml:space="preserve"> PAGEREF _Toc139362019 \h </w:instrText>
        </w:r>
        <w:r w:rsidRPr="007F5E52">
          <w:rPr>
            <w:noProof/>
            <w:webHidden/>
          </w:rPr>
        </w:r>
        <w:r w:rsidRPr="007F5E52">
          <w:rPr>
            <w:noProof/>
            <w:webHidden/>
          </w:rPr>
          <w:fldChar w:fldCharType="separate"/>
        </w:r>
        <w:r>
          <w:rPr>
            <w:noProof/>
            <w:webHidden/>
          </w:rPr>
          <w:t>69</w:t>
        </w:r>
        <w:r w:rsidRPr="007F5E52">
          <w:rPr>
            <w:noProof/>
            <w:webHidden/>
          </w:rPr>
          <w:fldChar w:fldCharType="end"/>
        </w:r>
      </w:hyperlink>
    </w:p>
    <w:p w14:paraId="69AE1F29" w14:textId="0E428C20" w:rsidR="007F5E52" w:rsidRPr="007F5E52" w:rsidRDefault="007F5E52">
      <w:pPr>
        <w:pStyle w:val="21"/>
        <w:rPr>
          <w:rFonts w:eastAsiaTheme="minorEastAsia"/>
          <w:noProof/>
          <w:lang w:eastAsia="ru-RU"/>
        </w:rPr>
      </w:pPr>
      <w:hyperlink w:anchor="_Toc139362020" w:history="1">
        <w:r w:rsidRPr="007F5E52">
          <w:rPr>
            <w:rStyle w:val="aa"/>
            <w:noProof/>
          </w:rPr>
          <w:t>5.3. Инструкции для исследователя</w:t>
        </w:r>
        <w:r w:rsidRPr="007F5E52">
          <w:rPr>
            <w:noProof/>
            <w:webHidden/>
          </w:rPr>
          <w:tab/>
        </w:r>
        <w:r w:rsidRPr="007F5E52">
          <w:rPr>
            <w:noProof/>
            <w:webHidden/>
          </w:rPr>
          <w:fldChar w:fldCharType="begin"/>
        </w:r>
        <w:r w:rsidRPr="007F5E52">
          <w:rPr>
            <w:noProof/>
            <w:webHidden/>
          </w:rPr>
          <w:instrText xml:space="preserve"> PAGEREF _Toc139362020 \h </w:instrText>
        </w:r>
        <w:r w:rsidRPr="007F5E52">
          <w:rPr>
            <w:noProof/>
            <w:webHidden/>
          </w:rPr>
        </w:r>
        <w:r w:rsidRPr="007F5E52">
          <w:rPr>
            <w:noProof/>
            <w:webHidden/>
          </w:rPr>
          <w:fldChar w:fldCharType="separate"/>
        </w:r>
        <w:r>
          <w:rPr>
            <w:noProof/>
            <w:webHidden/>
          </w:rPr>
          <w:t>74</w:t>
        </w:r>
        <w:r w:rsidRPr="007F5E52">
          <w:rPr>
            <w:noProof/>
            <w:webHidden/>
          </w:rPr>
          <w:fldChar w:fldCharType="end"/>
        </w:r>
      </w:hyperlink>
    </w:p>
    <w:p w14:paraId="57EE5D28" w14:textId="4FE1F1A0" w:rsidR="007F5E52" w:rsidRPr="007F5E52" w:rsidRDefault="007F5E52">
      <w:pPr>
        <w:pStyle w:val="31"/>
        <w:rPr>
          <w:rFonts w:eastAsiaTheme="minorEastAsia"/>
          <w:b w:val="0"/>
          <w:bCs w:val="0"/>
          <w:iCs w:val="0"/>
          <w:lang w:eastAsia="ru-RU"/>
        </w:rPr>
      </w:pPr>
      <w:hyperlink w:anchor="_Toc139362021" w:history="1">
        <w:r w:rsidRPr="007F5E52">
          <w:rPr>
            <w:rStyle w:val="aa"/>
            <w:b w:val="0"/>
          </w:rPr>
          <w:t>5.3.1. Показания к применению</w:t>
        </w:r>
        <w:r w:rsidRPr="007F5E52">
          <w:rPr>
            <w:b w:val="0"/>
            <w:webHidden/>
          </w:rPr>
          <w:tab/>
        </w:r>
        <w:r w:rsidRPr="007F5E52">
          <w:rPr>
            <w:b w:val="0"/>
            <w:webHidden/>
          </w:rPr>
          <w:fldChar w:fldCharType="begin"/>
        </w:r>
        <w:r w:rsidRPr="007F5E52">
          <w:rPr>
            <w:b w:val="0"/>
            <w:webHidden/>
          </w:rPr>
          <w:instrText xml:space="preserve"> PAGEREF _Toc139362021 \h </w:instrText>
        </w:r>
        <w:r w:rsidRPr="007F5E52">
          <w:rPr>
            <w:b w:val="0"/>
            <w:webHidden/>
          </w:rPr>
        </w:r>
        <w:r w:rsidRPr="007F5E52">
          <w:rPr>
            <w:b w:val="0"/>
            <w:webHidden/>
          </w:rPr>
          <w:fldChar w:fldCharType="separate"/>
        </w:r>
        <w:r>
          <w:rPr>
            <w:b w:val="0"/>
            <w:webHidden/>
          </w:rPr>
          <w:t>74</w:t>
        </w:r>
        <w:r w:rsidRPr="007F5E52">
          <w:rPr>
            <w:b w:val="0"/>
            <w:webHidden/>
          </w:rPr>
          <w:fldChar w:fldCharType="end"/>
        </w:r>
      </w:hyperlink>
    </w:p>
    <w:p w14:paraId="6E78ABA2" w14:textId="485F7110" w:rsidR="007F5E52" w:rsidRPr="007F5E52" w:rsidRDefault="007F5E52">
      <w:pPr>
        <w:pStyle w:val="31"/>
        <w:rPr>
          <w:rFonts w:eastAsiaTheme="minorEastAsia"/>
          <w:b w:val="0"/>
          <w:bCs w:val="0"/>
          <w:iCs w:val="0"/>
          <w:lang w:eastAsia="ru-RU"/>
        </w:rPr>
      </w:pPr>
      <w:hyperlink w:anchor="_Toc139362022" w:history="1">
        <w:r w:rsidRPr="007F5E52">
          <w:rPr>
            <w:rStyle w:val="aa"/>
            <w:b w:val="0"/>
          </w:rPr>
          <w:t>5.3.2. Противопоказания</w:t>
        </w:r>
        <w:r w:rsidRPr="007F5E52">
          <w:rPr>
            <w:b w:val="0"/>
            <w:webHidden/>
          </w:rPr>
          <w:tab/>
        </w:r>
        <w:r w:rsidRPr="007F5E52">
          <w:rPr>
            <w:b w:val="0"/>
            <w:webHidden/>
          </w:rPr>
          <w:fldChar w:fldCharType="begin"/>
        </w:r>
        <w:r w:rsidRPr="007F5E52">
          <w:rPr>
            <w:b w:val="0"/>
            <w:webHidden/>
          </w:rPr>
          <w:instrText xml:space="preserve"> PAGEREF _Toc139362022 \h </w:instrText>
        </w:r>
        <w:r w:rsidRPr="007F5E52">
          <w:rPr>
            <w:b w:val="0"/>
            <w:webHidden/>
          </w:rPr>
        </w:r>
        <w:r w:rsidRPr="007F5E52">
          <w:rPr>
            <w:b w:val="0"/>
            <w:webHidden/>
          </w:rPr>
          <w:fldChar w:fldCharType="separate"/>
        </w:r>
        <w:r>
          <w:rPr>
            <w:b w:val="0"/>
            <w:webHidden/>
          </w:rPr>
          <w:t>75</w:t>
        </w:r>
        <w:r w:rsidRPr="007F5E52">
          <w:rPr>
            <w:b w:val="0"/>
            <w:webHidden/>
          </w:rPr>
          <w:fldChar w:fldCharType="end"/>
        </w:r>
      </w:hyperlink>
    </w:p>
    <w:p w14:paraId="265D5978" w14:textId="4A442167" w:rsidR="007F5E52" w:rsidRPr="007F5E52" w:rsidRDefault="007F5E52">
      <w:pPr>
        <w:pStyle w:val="31"/>
        <w:rPr>
          <w:rFonts w:eastAsiaTheme="minorEastAsia"/>
          <w:b w:val="0"/>
          <w:bCs w:val="0"/>
          <w:iCs w:val="0"/>
          <w:lang w:eastAsia="ru-RU"/>
        </w:rPr>
      </w:pPr>
      <w:hyperlink w:anchor="_Toc139362023" w:history="1">
        <w:r w:rsidRPr="007F5E52">
          <w:rPr>
            <w:rStyle w:val="aa"/>
            <w:b w:val="0"/>
          </w:rPr>
          <w:t>5.3.3. Применение при беременности и в период грудного вскармливания</w:t>
        </w:r>
        <w:r w:rsidRPr="007F5E52">
          <w:rPr>
            <w:b w:val="0"/>
            <w:webHidden/>
          </w:rPr>
          <w:tab/>
        </w:r>
        <w:r w:rsidRPr="007F5E52">
          <w:rPr>
            <w:b w:val="0"/>
            <w:webHidden/>
          </w:rPr>
          <w:fldChar w:fldCharType="begin"/>
        </w:r>
        <w:r w:rsidRPr="007F5E52">
          <w:rPr>
            <w:b w:val="0"/>
            <w:webHidden/>
          </w:rPr>
          <w:instrText xml:space="preserve"> PAGEREF _Toc139362023 \h </w:instrText>
        </w:r>
        <w:r w:rsidRPr="007F5E52">
          <w:rPr>
            <w:b w:val="0"/>
            <w:webHidden/>
          </w:rPr>
        </w:r>
        <w:r w:rsidRPr="007F5E52">
          <w:rPr>
            <w:b w:val="0"/>
            <w:webHidden/>
          </w:rPr>
          <w:fldChar w:fldCharType="separate"/>
        </w:r>
        <w:r>
          <w:rPr>
            <w:b w:val="0"/>
            <w:webHidden/>
          </w:rPr>
          <w:t>75</w:t>
        </w:r>
        <w:r w:rsidRPr="007F5E52">
          <w:rPr>
            <w:b w:val="0"/>
            <w:webHidden/>
          </w:rPr>
          <w:fldChar w:fldCharType="end"/>
        </w:r>
      </w:hyperlink>
    </w:p>
    <w:p w14:paraId="663E0E8F" w14:textId="611F8E61" w:rsidR="007F5E52" w:rsidRPr="007F5E52" w:rsidRDefault="007F5E52">
      <w:pPr>
        <w:pStyle w:val="31"/>
        <w:rPr>
          <w:rFonts w:eastAsiaTheme="minorEastAsia"/>
          <w:b w:val="0"/>
          <w:bCs w:val="0"/>
          <w:iCs w:val="0"/>
          <w:lang w:eastAsia="ru-RU"/>
        </w:rPr>
      </w:pPr>
      <w:hyperlink w:anchor="_Toc139362024" w:history="1">
        <w:r w:rsidRPr="007F5E52">
          <w:rPr>
            <w:rStyle w:val="aa"/>
            <w:b w:val="0"/>
          </w:rPr>
          <w:t>5.3.4. Способ применения и дозы</w:t>
        </w:r>
        <w:r w:rsidRPr="007F5E52">
          <w:rPr>
            <w:b w:val="0"/>
            <w:webHidden/>
          </w:rPr>
          <w:tab/>
        </w:r>
        <w:r w:rsidRPr="007F5E52">
          <w:rPr>
            <w:b w:val="0"/>
            <w:webHidden/>
          </w:rPr>
          <w:fldChar w:fldCharType="begin"/>
        </w:r>
        <w:r w:rsidRPr="007F5E52">
          <w:rPr>
            <w:b w:val="0"/>
            <w:webHidden/>
          </w:rPr>
          <w:instrText xml:space="preserve"> PAGEREF _Toc139362024 \h </w:instrText>
        </w:r>
        <w:r w:rsidRPr="007F5E52">
          <w:rPr>
            <w:b w:val="0"/>
            <w:webHidden/>
          </w:rPr>
        </w:r>
        <w:r w:rsidRPr="007F5E52">
          <w:rPr>
            <w:b w:val="0"/>
            <w:webHidden/>
          </w:rPr>
          <w:fldChar w:fldCharType="separate"/>
        </w:r>
        <w:r>
          <w:rPr>
            <w:b w:val="0"/>
            <w:webHidden/>
          </w:rPr>
          <w:t>75</w:t>
        </w:r>
        <w:r w:rsidRPr="007F5E52">
          <w:rPr>
            <w:b w:val="0"/>
            <w:webHidden/>
          </w:rPr>
          <w:fldChar w:fldCharType="end"/>
        </w:r>
      </w:hyperlink>
    </w:p>
    <w:p w14:paraId="75C1661A" w14:textId="09842A10" w:rsidR="007F5E52" w:rsidRPr="007F5E52" w:rsidRDefault="007F5E52">
      <w:pPr>
        <w:pStyle w:val="31"/>
        <w:rPr>
          <w:rFonts w:eastAsiaTheme="minorEastAsia"/>
          <w:b w:val="0"/>
          <w:bCs w:val="0"/>
          <w:iCs w:val="0"/>
          <w:lang w:eastAsia="ru-RU"/>
        </w:rPr>
      </w:pPr>
      <w:hyperlink w:anchor="_Toc139362025" w:history="1">
        <w:r w:rsidRPr="007F5E52">
          <w:rPr>
            <w:rStyle w:val="aa"/>
            <w:b w:val="0"/>
          </w:rPr>
          <w:t>5.3.5. Побочное действие</w:t>
        </w:r>
        <w:r w:rsidRPr="007F5E52">
          <w:rPr>
            <w:b w:val="0"/>
            <w:webHidden/>
          </w:rPr>
          <w:tab/>
        </w:r>
        <w:r w:rsidRPr="007F5E52">
          <w:rPr>
            <w:b w:val="0"/>
            <w:webHidden/>
          </w:rPr>
          <w:fldChar w:fldCharType="begin"/>
        </w:r>
        <w:r w:rsidRPr="007F5E52">
          <w:rPr>
            <w:b w:val="0"/>
            <w:webHidden/>
          </w:rPr>
          <w:instrText xml:space="preserve"> PAGEREF _Toc139362025 \h </w:instrText>
        </w:r>
        <w:r w:rsidRPr="007F5E52">
          <w:rPr>
            <w:b w:val="0"/>
            <w:webHidden/>
          </w:rPr>
        </w:r>
        <w:r w:rsidRPr="007F5E52">
          <w:rPr>
            <w:b w:val="0"/>
            <w:webHidden/>
          </w:rPr>
          <w:fldChar w:fldCharType="separate"/>
        </w:r>
        <w:r>
          <w:rPr>
            <w:b w:val="0"/>
            <w:webHidden/>
          </w:rPr>
          <w:t>76</w:t>
        </w:r>
        <w:r w:rsidRPr="007F5E52">
          <w:rPr>
            <w:b w:val="0"/>
            <w:webHidden/>
          </w:rPr>
          <w:fldChar w:fldCharType="end"/>
        </w:r>
      </w:hyperlink>
    </w:p>
    <w:p w14:paraId="1776F1B4" w14:textId="1083C6E0" w:rsidR="007F5E52" w:rsidRPr="007F5E52" w:rsidRDefault="007F5E52">
      <w:pPr>
        <w:pStyle w:val="31"/>
        <w:rPr>
          <w:rFonts w:eastAsiaTheme="minorEastAsia"/>
          <w:b w:val="0"/>
          <w:bCs w:val="0"/>
          <w:iCs w:val="0"/>
          <w:lang w:eastAsia="ru-RU"/>
        </w:rPr>
      </w:pPr>
      <w:hyperlink w:anchor="_Toc139362026" w:history="1">
        <w:r w:rsidRPr="007F5E52">
          <w:rPr>
            <w:rStyle w:val="aa"/>
            <w:b w:val="0"/>
          </w:rPr>
          <w:t>5.3.6. Передозировка</w:t>
        </w:r>
        <w:r w:rsidRPr="007F5E52">
          <w:rPr>
            <w:b w:val="0"/>
            <w:webHidden/>
          </w:rPr>
          <w:tab/>
        </w:r>
        <w:r w:rsidRPr="007F5E52">
          <w:rPr>
            <w:b w:val="0"/>
            <w:webHidden/>
          </w:rPr>
          <w:fldChar w:fldCharType="begin"/>
        </w:r>
        <w:r w:rsidRPr="007F5E52">
          <w:rPr>
            <w:b w:val="0"/>
            <w:webHidden/>
          </w:rPr>
          <w:instrText xml:space="preserve"> PAGEREF _Toc139362026 \h </w:instrText>
        </w:r>
        <w:r w:rsidRPr="007F5E52">
          <w:rPr>
            <w:b w:val="0"/>
            <w:webHidden/>
          </w:rPr>
        </w:r>
        <w:r w:rsidRPr="007F5E52">
          <w:rPr>
            <w:b w:val="0"/>
            <w:webHidden/>
          </w:rPr>
          <w:fldChar w:fldCharType="separate"/>
        </w:r>
        <w:r>
          <w:rPr>
            <w:b w:val="0"/>
            <w:webHidden/>
          </w:rPr>
          <w:t>77</w:t>
        </w:r>
        <w:r w:rsidRPr="007F5E52">
          <w:rPr>
            <w:b w:val="0"/>
            <w:webHidden/>
          </w:rPr>
          <w:fldChar w:fldCharType="end"/>
        </w:r>
      </w:hyperlink>
    </w:p>
    <w:p w14:paraId="49233C6A" w14:textId="54793E34" w:rsidR="007F5E52" w:rsidRPr="007F5E52" w:rsidRDefault="007F5E52">
      <w:pPr>
        <w:pStyle w:val="31"/>
        <w:rPr>
          <w:rFonts w:eastAsiaTheme="minorEastAsia"/>
          <w:b w:val="0"/>
          <w:bCs w:val="0"/>
          <w:iCs w:val="0"/>
          <w:lang w:eastAsia="ru-RU"/>
        </w:rPr>
      </w:pPr>
      <w:hyperlink w:anchor="_Toc139362027" w:history="1">
        <w:r w:rsidRPr="007F5E52">
          <w:rPr>
            <w:rStyle w:val="aa"/>
            <w:b w:val="0"/>
          </w:rPr>
          <w:t xml:space="preserve">5.3.7. </w:t>
        </w:r>
        <w:r w:rsidRPr="007F5E52">
          <w:rPr>
            <w:rStyle w:val="aa"/>
            <w:rFonts w:eastAsia="Courier New"/>
            <w:b w:val="0"/>
            <w:lang w:eastAsia="ru-RU" w:bidi="ru-RU"/>
          </w:rPr>
          <w:t>Взаимодействие с другими лекарственными средствами</w:t>
        </w:r>
        <w:r w:rsidRPr="007F5E52">
          <w:rPr>
            <w:b w:val="0"/>
            <w:webHidden/>
          </w:rPr>
          <w:tab/>
        </w:r>
        <w:r w:rsidRPr="007F5E52">
          <w:rPr>
            <w:b w:val="0"/>
            <w:webHidden/>
          </w:rPr>
          <w:fldChar w:fldCharType="begin"/>
        </w:r>
        <w:r w:rsidRPr="007F5E52">
          <w:rPr>
            <w:b w:val="0"/>
            <w:webHidden/>
          </w:rPr>
          <w:instrText xml:space="preserve"> PAGEREF _Toc139362027 \h </w:instrText>
        </w:r>
        <w:r w:rsidRPr="007F5E52">
          <w:rPr>
            <w:b w:val="0"/>
            <w:webHidden/>
          </w:rPr>
        </w:r>
        <w:r w:rsidRPr="007F5E52">
          <w:rPr>
            <w:b w:val="0"/>
            <w:webHidden/>
          </w:rPr>
          <w:fldChar w:fldCharType="separate"/>
        </w:r>
        <w:r>
          <w:rPr>
            <w:b w:val="0"/>
            <w:webHidden/>
          </w:rPr>
          <w:t>78</w:t>
        </w:r>
        <w:r w:rsidRPr="007F5E52">
          <w:rPr>
            <w:b w:val="0"/>
            <w:webHidden/>
          </w:rPr>
          <w:fldChar w:fldCharType="end"/>
        </w:r>
      </w:hyperlink>
    </w:p>
    <w:p w14:paraId="67D186EC" w14:textId="18C48772" w:rsidR="007F5E52" w:rsidRPr="007F5E52" w:rsidRDefault="007F5E52">
      <w:pPr>
        <w:pStyle w:val="31"/>
        <w:rPr>
          <w:rFonts w:eastAsiaTheme="minorEastAsia"/>
          <w:b w:val="0"/>
          <w:bCs w:val="0"/>
          <w:iCs w:val="0"/>
          <w:lang w:eastAsia="ru-RU"/>
        </w:rPr>
      </w:pPr>
      <w:hyperlink w:anchor="_Toc139362028" w:history="1">
        <w:r w:rsidRPr="007F5E52">
          <w:rPr>
            <w:rStyle w:val="aa"/>
            <w:b w:val="0"/>
          </w:rPr>
          <w:t xml:space="preserve">5.3.8. </w:t>
        </w:r>
        <w:r w:rsidRPr="007F5E52">
          <w:rPr>
            <w:rStyle w:val="aa"/>
            <w:rFonts w:eastAsia="Courier New"/>
            <w:b w:val="0"/>
            <w:lang w:eastAsia="ru-RU" w:bidi="ru-RU"/>
          </w:rPr>
          <w:t>Особые указания</w:t>
        </w:r>
        <w:r w:rsidRPr="007F5E52">
          <w:rPr>
            <w:b w:val="0"/>
            <w:webHidden/>
          </w:rPr>
          <w:tab/>
        </w:r>
        <w:r w:rsidRPr="007F5E52">
          <w:rPr>
            <w:b w:val="0"/>
            <w:webHidden/>
          </w:rPr>
          <w:fldChar w:fldCharType="begin"/>
        </w:r>
        <w:r w:rsidRPr="007F5E52">
          <w:rPr>
            <w:b w:val="0"/>
            <w:webHidden/>
          </w:rPr>
          <w:instrText xml:space="preserve"> PAGEREF _Toc139362028 \h </w:instrText>
        </w:r>
        <w:r w:rsidRPr="007F5E52">
          <w:rPr>
            <w:b w:val="0"/>
            <w:webHidden/>
          </w:rPr>
        </w:r>
        <w:r w:rsidRPr="007F5E52">
          <w:rPr>
            <w:b w:val="0"/>
            <w:webHidden/>
          </w:rPr>
          <w:fldChar w:fldCharType="separate"/>
        </w:r>
        <w:r>
          <w:rPr>
            <w:b w:val="0"/>
            <w:webHidden/>
          </w:rPr>
          <w:t>79</w:t>
        </w:r>
        <w:r w:rsidRPr="007F5E52">
          <w:rPr>
            <w:b w:val="0"/>
            <w:webHidden/>
          </w:rPr>
          <w:fldChar w:fldCharType="end"/>
        </w:r>
      </w:hyperlink>
    </w:p>
    <w:p w14:paraId="6C31F275" w14:textId="266FA38F" w:rsidR="007F5E52" w:rsidRPr="007F5E52" w:rsidRDefault="007F5E52">
      <w:pPr>
        <w:pStyle w:val="31"/>
        <w:rPr>
          <w:rFonts w:eastAsiaTheme="minorEastAsia"/>
          <w:b w:val="0"/>
          <w:bCs w:val="0"/>
          <w:iCs w:val="0"/>
          <w:lang w:eastAsia="ru-RU"/>
        </w:rPr>
      </w:pPr>
      <w:hyperlink w:anchor="_Toc139362029" w:history="1">
        <w:r w:rsidRPr="007F5E52">
          <w:rPr>
            <w:rStyle w:val="aa"/>
            <w:b w:val="0"/>
          </w:rPr>
          <w:t>5.3.9 Влияние на способность управлять транспортными средствами и механизмами</w:t>
        </w:r>
        <w:r w:rsidRPr="007F5E52">
          <w:rPr>
            <w:b w:val="0"/>
            <w:webHidden/>
          </w:rPr>
          <w:tab/>
        </w:r>
        <w:r w:rsidRPr="007F5E52">
          <w:rPr>
            <w:b w:val="0"/>
            <w:webHidden/>
          </w:rPr>
          <w:fldChar w:fldCharType="begin"/>
        </w:r>
        <w:r w:rsidRPr="007F5E52">
          <w:rPr>
            <w:b w:val="0"/>
            <w:webHidden/>
          </w:rPr>
          <w:instrText xml:space="preserve"> PAGEREF _Toc139362029 \h </w:instrText>
        </w:r>
        <w:r w:rsidRPr="007F5E52">
          <w:rPr>
            <w:b w:val="0"/>
            <w:webHidden/>
          </w:rPr>
        </w:r>
        <w:r w:rsidRPr="007F5E52">
          <w:rPr>
            <w:b w:val="0"/>
            <w:webHidden/>
          </w:rPr>
          <w:fldChar w:fldCharType="separate"/>
        </w:r>
        <w:r>
          <w:rPr>
            <w:b w:val="0"/>
            <w:webHidden/>
          </w:rPr>
          <w:t>80</w:t>
        </w:r>
        <w:r w:rsidRPr="007F5E52">
          <w:rPr>
            <w:b w:val="0"/>
            <w:webHidden/>
          </w:rPr>
          <w:fldChar w:fldCharType="end"/>
        </w:r>
      </w:hyperlink>
    </w:p>
    <w:p w14:paraId="532F73D4" w14:textId="4004E123" w:rsidR="007F5E52" w:rsidRPr="007F5E52" w:rsidRDefault="007F5E52">
      <w:pPr>
        <w:pStyle w:val="14"/>
        <w:rPr>
          <w:rFonts w:eastAsiaTheme="minorEastAsia"/>
          <w:noProof/>
          <w:lang w:eastAsia="ru-RU"/>
        </w:rPr>
      </w:pPr>
      <w:hyperlink w:anchor="_Toc139362030" w:history="1">
        <w:r w:rsidRPr="007F5E52">
          <w:rPr>
            <w:rStyle w:val="aa"/>
            <w:noProof/>
          </w:rPr>
          <w:t>6. ЗАКЛЮЧЕНИЕ</w:t>
        </w:r>
        <w:r w:rsidRPr="007F5E52">
          <w:rPr>
            <w:noProof/>
            <w:webHidden/>
          </w:rPr>
          <w:tab/>
        </w:r>
        <w:r w:rsidRPr="007F5E52">
          <w:rPr>
            <w:noProof/>
            <w:webHidden/>
          </w:rPr>
          <w:fldChar w:fldCharType="begin"/>
        </w:r>
        <w:r w:rsidRPr="007F5E52">
          <w:rPr>
            <w:noProof/>
            <w:webHidden/>
          </w:rPr>
          <w:instrText xml:space="preserve"> PAGEREF _Toc139362030 \h </w:instrText>
        </w:r>
        <w:r w:rsidRPr="007F5E52">
          <w:rPr>
            <w:noProof/>
            <w:webHidden/>
          </w:rPr>
        </w:r>
        <w:r w:rsidRPr="007F5E52">
          <w:rPr>
            <w:noProof/>
            <w:webHidden/>
          </w:rPr>
          <w:fldChar w:fldCharType="separate"/>
        </w:r>
        <w:r>
          <w:rPr>
            <w:noProof/>
            <w:webHidden/>
          </w:rPr>
          <w:t>81</w:t>
        </w:r>
        <w:r w:rsidRPr="007F5E52">
          <w:rPr>
            <w:noProof/>
            <w:webHidden/>
          </w:rPr>
          <w:fldChar w:fldCharType="end"/>
        </w:r>
      </w:hyperlink>
    </w:p>
    <w:p w14:paraId="0C1EBE2C" w14:textId="06B5FD91" w:rsidR="00856CA4" w:rsidRDefault="005C3F89" w:rsidP="002C6710">
      <w:pPr>
        <w:ind w:firstLine="709"/>
        <w:rPr>
          <w:bCs/>
          <w:color w:val="000000" w:themeColor="text1"/>
        </w:rPr>
      </w:pPr>
      <w:r w:rsidRPr="007F5E52">
        <w:rPr>
          <w:color w:val="000000" w:themeColor="text1"/>
        </w:rPr>
        <w:fldChar w:fldCharType="end"/>
      </w:r>
    </w:p>
    <w:p w14:paraId="4FA4DE7E" w14:textId="02F85D32" w:rsidR="0014689C" w:rsidRDefault="0014689C">
      <w:pPr>
        <w:ind w:firstLine="709"/>
        <w:rPr>
          <w:bCs/>
          <w:color w:val="000000" w:themeColor="text1"/>
        </w:rPr>
      </w:pPr>
    </w:p>
    <w:p w14:paraId="0D1BFD57" w14:textId="32E2A46B" w:rsidR="0014689C" w:rsidRDefault="0014689C">
      <w:pPr>
        <w:ind w:firstLine="709"/>
        <w:rPr>
          <w:bCs/>
          <w:color w:val="000000" w:themeColor="text1"/>
        </w:rPr>
      </w:pPr>
    </w:p>
    <w:p w14:paraId="3BCA6314" w14:textId="2DC7A808" w:rsidR="0014689C" w:rsidRDefault="0014689C">
      <w:pPr>
        <w:ind w:firstLine="709"/>
        <w:rPr>
          <w:bCs/>
          <w:color w:val="000000" w:themeColor="text1"/>
        </w:rPr>
      </w:pPr>
    </w:p>
    <w:p w14:paraId="5F86089B" w14:textId="6B231A7B" w:rsidR="0014689C" w:rsidRDefault="0014689C">
      <w:pPr>
        <w:ind w:firstLine="709"/>
        <w:rPr>
          <w:bCs/>
          <w:color w:val="000000" w:themeColor="text1"/>
        </w:rPr>
      </w:pPr>
    </w:p>
    <w:p w14:paraId="3CBBCDDB" w14:textId="7531CE6B" w:rsidR="0014689C" w:rsidRDefault="0014689C">
      <w:pPr>
        <w:ind w:firstLine="709"/>
        <w:rPr>
          <w:bCs/>
          <w:color w:val="000000" w:themeColor="text1"/>
        </w:rPr>
      </w:pPr>
    </w:p>
    <w:p w14:paraId="12C8DD81" w14:textId="7A53AE7E" w:rsidR="0014689C" w:rsidRDefault="0014689C">
      <w:pPr>
        <w:ind w:firstLine="709"/>
        <w:rPr>
          <w:bCs/>
          <w:color w:val="000000" w:themeColor="text1"/>
        </w:rPr>
      </w:pPr>
    </w:p>
    <w:p w14:paraId="775A07DD" w14:textId="43A487C2" w:rsidR="0014689C" w:rsidRDefault="0014689C">
      <w:pPr>
        <w:ind w:firstLine="709"/>
        <w:rPr>
          <w:bCs/>
          <w:color w:val="000000" w:themeColor="text1"/>
        </w:rPr>
      </w:pPr>
    </w:p>
    <w:p w14:paraId="19F9015C" w14:textId="36F6535B" w:rsidR="0014689C" w:rsidRDefault="0014689C">
      <w:pPr>
        <w:ind w:firstLine="709"/>
        <w:rPr>
          <w:bCs/>
          <w:color w:val="000000" w:themeColor="text1"/>
        </w:rPr>
      </w:pPr>
    </w:p>
    <w:p w14:paraId="22E895BD" w14:textId="33FEE8C5" w:rsidR="0014689C" w:rsidRDefault="0014689C">
      <w:pPr>
        <w:ind w:firstLine="709"/>
        <w:rPr>
          <w:bCs/>
          <w:color w:val="000000" w:themeColor="text1"/>
        </w:rPr>
      </w:pPr>
    </w:p>
    <w:p w14:paraId="5534A6BB" w14:textId="6006EECE" w:rsidR="0014689C" w:rsidRDefault="0014689C">
      <w:pPr>
        <w:ind w:firstLine="709"/>
        <w:rPr>
          <w:bCs/>
          <w:color w:val="000000" w:themeColor="text1"/>
        </w:rPr>
      </w:pPr>
    </w:p>
    <w:p w14:paraId="05044049" w14:textId="4F5DECA1" w:rsidR="0014689C" w:rsidRDefault="0014689C">
      <w:pPr>
        <w:ind w:firstLine="709"/>
        <w:rPr>
          <w:bCs/>
          <w:color w:val="000000" w:themeColor="text1"/>
        </w:rPr>
      </w:pPr>
    </w:p>
    <w:p w14:paraId="614BB8A6" w14:textId="00932188" w:rsidR="0014689C" w:rsidRDefault="0014689C">
      <w:pPr>
        <w:ind w:firstLine="709"/>
        <w:rPr>
          <w:bCs/>
          <w:color w:val="000000" w:themeColor="text1"/>
        </w:rPr>
      </w:pPr>
    </w:p>
    <w:p w14:paraId="277A09B7" w14:textId="69093B0F" w:rsidR="0014689C" w:rsidRDefault="0014689C">
      <w:pPr>
        <w:ind w:firstLine="709"/>
        <w:rPr>
          <w:bCs/>
          <w:color w:val="000000" w:themeColor="text1"/>
        </w:rPr>
      </w:pPr>
    </w:p>
    <w:p w14:paraId="222BA13E" w14:textId="1AC308B8" w:rsidR="0014689C" w:rsidRDefault="0014689C">
      <w:pPr>
        <w:ind w:firstLine="709"/>
        <w:rPr>
          <w:bCs/>
          <w:color w:val="000000" w:themeColor="text1"/>
        </w:rPr>
      </w:pPr>
    </w:p>
    <w:p w14:paraId="47323EBB" w14:textId="4636CF9C" w:rsidR="0014689C" w:rsidRDefault="0014689C">
      <w:pPr>
        <w:ind w:firstLine="709"/>
        <w:rPr>
          <w:bCs/>
          <w:color w:val="000000" w:themeColor="text1"/>
        </w:rPr>
      </w:pPr>
    </w:p>
    <w:p w14:paraId="3FC75B74" w14:textId="2EC2364B" w:rsidR="0014689C" w:rsidRDefault="0014689C">
      <w:pPr>
        <w:ind w:firstLine="709"/>
        <w:rPr>
          <w:bCs/>
          <w:color w:val="000000" w:themeColor="text1"/>
        </w:rPr>
      </w:pPr>
    </w:p>
    <w:p w14:paraId="6BA9ABB7" w14:textId="32D8AB8E" w:rsidR="0014689C" w:rsidRDefault="0014689C">
      <w:pPr>
        <w:ind w:firstLine="709"/>
        <w:rPr>
          <w:bCs/>
          <w:color w:val="000000" w:themeColor="text1"/>
        </w:rPr>
      </w:pPr>
    </w:p>
    <w:p w14:paraId="3D3A406D" w14:textId="407CA5CE" w:rsidR="0014689C" w:rsidRDefault="0014689C">
      <w:pPr>
        <w:ind w:firstLine="709"/>
        <w:rPr>
          <w:bCs/>
          <w:color w:val="000000" w:themeColor="text1"/>
        </w:rPr>
      </w:pPr>
    </w:p>
    <w:p w14:paraId="08F1A28F" w14:textId="0BB9F0B8" w:rsidR="0014689C" w:rsidRDefault="0014689C">
      <w:pPr>
        <w:ind w:firstLine="709"/>
        <w:rPr>
          <w:bCs/>
          <w:color w:val="000000" w:themeColor="text1"/>
        </w:rPr>
      </w:pPr>
    </w:p>
    <w:p w14:paraId="100E8E3D" w14:textId="77777777" w:rsidR="0014689C" w:rsidRPr="007A68B5" w:rsidRDefault="0014689C" w:rsidP="0014689C">
      <w:pPr>
        <w:spacing w:after="240"/>
        <w:outlineLvl w:val="0"/>
        <w:rPr>
          <w:b/>
        </w:rPr>
      </w:pPr>
      <w:bookmarkStart w:id="3" w:name="_Toc139361915"/>
      <w:r>
        <w:rPr>
          <w:b/>
        </w:rPr>
        <w:t>ЛИСТ СОГЛАСОВАНИЯ</w:t>
      </w:r>
      <w:bookmarkEnd w:id="3"/>
    </w:p>
    <w:p w14:paraId="0F0DBCE8" w14:textId="5E17E9FB" w:rsidR="00257A45" w:rsidRPr="00571F9D" w:rsidRDefault="0014689C" w:rsidP="00257A45">
      <w:bookmarkStart w:id="4" w:name="_Hlk119923719"/>
      <w:r w:rsidRPr="00571F9D">
        <w:t xml:space="preserve">к версии № 1.0 </w:t>
      </w:r>
      <w:r w:rsidRPr="00595638">
        <w:t xml:space="preserve">от </w:t>
      </w:r>
      <w:r w:rsidR="00BE477C">
        <w:t>23</w:t>
      </w:r>
      <w:r w:rsidR="00255CCA" w:rsidRPr="00595638">
        <w:t xml:space="preserve"> </w:t>
      </w:r>
      <w:r w:rsidR="00595638" w:rsidRPr="00595638">
        <w:t>июня</w:t>
      </w:r>
      <w:r w:rsidR="00571F9D" w:rsidRPr="00595638">
        <w:t xml:space="preserve"> 2023</w:t>
      </w:r>
      <w:r w:rsidRPr="00595638">
        <w:t xml:space="preserve"> г. </w:t>
      </w:r>
      <w:r w:rsidR="00571F9D" w:rsidRPr="00595638">
        <w:t>Брошюры</w:t>
      </w:r>
      <w:r w:rsidR="00571F9D">
        <w:t xml:space="preserve"> исследователя </w:t>
      </w:r>
      <w:r w:rsidR="00257A45" w:rsidRPr="00571F9D">
        <w:t xml:space="preserve">по препарату </w:t>
      </w:r>
      <w:r w:rsidR="00571F9D">
        <w:rPr>
          <w:lang w:val="en-US"/>
        </w:rPr>
        <w:t>DT</w:t>
      </w:r>
      <w:r w:rsidR="00571F9D" w:rsidRPr="00571F9D">
        <w:t>-</w:t>
      </w:r>
      <w:r w:rsidR="00571F9D">
        <w:rPr>
          <w:lang w:val="en-US"/>
        </w:rPr>
        <w:t>LNG</w:t>
      </w:r>
      <w:r w:rsidR="00257A45" w:rsidRPr="00571F9D">
        <w:t xml:space="preserve"> (МНН: </w:t>
      </w:r>
      <w:r w:rsidR="0034540F" w:rsidRPr="00571F9D">
        <w:rPr>
          <w:bCs/>
        </w:rPr>
        <w:t>линаглиптин</w:t>
      </w:r>
      <w:r w:rsidR="00257A45" w:rsidRPr="00571F9D">
        <w:rPr>
          <w:bCs/>
        </w:rPr>
        <w:t>)</w:t>
      </w:r>
      <w:r w:rsidR="00257A45" w:rsidRPr="00571F9D">
        <w:t xml:space="preserve">, </w:t>
      </w:r>
      <w:bookmarkStart w:id="5" w:name="_Hlk119923694"/>
      <w:r w:rsidR="0034540F" w:rsidRPr="00571F9D">
        <w:t>таблетки, покрытые пленочной оболочкой 5</w:t>
      </w:r>
      <w:r w:rsidR="00257A45" w:rsidRPr="00571F9D">
        <w:t xml:space="preserve"> мг</w:t>
      </w:r>
      <w:bookmarkEnd w:id="5"/>
      <w:r w:rsidR="00571F9D">
        <w:t xml:space="preserve"> (</w:t>
      </w:r>
      <w:r w:rsidR="00105893">
        <w:t xml:space="preserve">получать РУ: АО «Р-Фарм», Россия; </w:t>
      </w:r>
      <w:r w:rsidR="00257A45" w:rsidRPr="00571F9D">
        <w:t xml:space="preserve">производитель: </w:t>
      </w:r>
      <w:r w:rsidR="0026255D">
        <w:t>ООО</w:t>
      </w:r>
      <w:r w:rsidR="00257A45" w:rsidRPr="00571F9D">
        <w:t xml:space="preserve"> «Р-Фарм</w:t>
      </w:r>
      <w:r w:rsidR="0026255D">
        <w:t xml:space="preserve"> Новоселки</w:t>
      </w:r>
      <w:r w:rsidR="00257A45" w:rsidRPr="00571F9D">
        <w:t xml:space="preserve">», Россия), являющегося воспроизведенным препаратом по отношению к оригинальному препарату </w:t>
      </w:r>
      <w:r w:rsidR="0034540F" w:rsidRPr="00571F9D">
        <w:t>Тражента</w:t>
      </w:r>
      <w:r w:rsidR="00257A45" w:rsidRPr="00B30CAE">
        <w:rPr>
          <w:vertAlign w:val="superscript"/>
        </w:rPr>
        <w:t>®</w:t>
      </w:r>
      <w:r w:rsidR="00257A45" w:rsidRPr="00571F9D">
        <w:t xml:space="preserve"> (МНН: </w:t>
      </w:r>
      <w:r w:rsidR="0034540F" w:rsidRPr="00571F9D">
        <w:t>линаглиптин</w:t>
      </w:r>
      <w:r w:rsidR="00257A45" w:rsidRPr="00571F9D">
        <w:t xml:space="preserve">), </w:t>
      </w:r>
      <w:r w:rsidR="00FA2B64" w:rsidRPr="00571F9D">
        <w:t xml:space="preserve">таблетки, покрытые пленочной оболочкой 5 мг, </w:t>
      </w:r>
      <w:r w:rsidR="00257A45" w:rsidRPr="00571F9D">
        <w:t>(</w:t>
      </w:r>
      <w:r w:rsidR="00571F9D">
        <w:t xml:space="preserve">производитель: </w:t>
      </w:r>
      <w:r w:rsidR="0026255D" w:rsidRPr="0026255D">
        <w:t>Вест-Ворд Колумбус Инк., США</w:t>
      </w:r>
      <w:r w:rsidR="00571F9D">
        <w:t xml:space="preserve">; </w:t>
      </w:r>
      <w:r w:rsidR="00257A45" w:rsidRPr="0026255D">
        <w:t>владелец</w:t>
      </w:r>
      <w:r w:rsidR="00257A45" w:rsidRPr="00571F9D">
        <w:rPr>
          <w:rFonts w:eastAsia="Calibri"/>
          <w:bCs/>
        </w:rPr>
        <w:t xml:space="preserve"> РУ: </w:t>
      </w:r>
      <w:r w:rsidR="0034540F" w:rsidRPr="00571F9D">
        <w:rPr>
          <w:rFonts w:eastAsia="Calibri"/>
          <w:bCs/>
        </w:rPr>
        <w:t>Берингер Ингельхайм Интернешнл ГмбХ, Германия</w:t>
      </w:r>
      <w:r w:rsidR="00257A45" w:rsidRPr="00571F9D">
        <w:t>).</w:t>
      </w:r>
    </w:p>
    <w:bookmarkEnd w:id="4"/>
    <w:p w14:paraId="1D14BC31" w14:textId="77777777" w:rsidR="00257A45" w:rsidRPr="004B41F8" w:rsidRDefault="00257A45" w:rsidP="00257A45">
      <w:pPr>
        <w:rPr>
          <w:b/>
          <w:color w:val="FF0000"/>
        </w:rPr>
      </w:pPr>
    </w:p>
    <w:p w14:paraId="60D854AD" w14:textId="4590EB61" w:rsidR="002214F7" w:rsidRPr="002214F7" w:rsidRDefault="0014689C" w:rsidP="009F0A03">
      <w:pPr>
        <w:pStyle w:val="OT"/>
        <w:spacing w:after="0"/>
        <w:rPr>
          <w:sz w:val="24"/>
          <w:szCs w:val="24"/>
        </w:rPr>
      </w:pPr>
      <w:r w:rsidRPr="004B41F8">
        <w:rPr>
          <w:b/>
          <w:sz w:val="24"/>
          <w:szCs w:val="24"/>
        </w:rPr>
        <w:t>Заявляемые показания:</w:t>
      </w:r>
      <w:r w:rsidRPr="004B41F8">
        <w:rPr>
          <w:sz w:val="24"/>
          <w:szCs w:val="24"/>
        </w:rPr>
        <w:t xml:space="preserve"> </w:t>
      </w:r>
      <w:r w:rsidR="002214F7">
        <w:rPr>
          <w:sz w:val="24"/>
          <w:szCs w:val="24"/>
        </w:rPr>
        <w:t>д</w:t>
      </w:r>
      <w:r w:rsidR="002214F7" w:rsidRPr="002214F7">
        <w:rPr>
          <w:sz w:val="24"/>
          <w:szCs w:val="24"/>
        </w:rPr>
        <w:t>ля терапии сахарного диабета 2 типа у взрослых пациентов в дополнение к диетотерапии и физическим упражнениям для улучшения контроля гликемии в качестве:</w:t>
      </w:r>
    </w:p>
    <w:p w14:paraId="66354B22" w14:textId="78B9AB61" w:rsidR="002214F7" w:rsidRPr="002214F7" w:rsidRDefault="002214F7" w:rsidP="009F0A03">
      <w:pPr>
        <w:pStyle w:val="OT"/>
        <w:numPr>
          <w:ilvl w:val="0"/>
          <w:numId w:val="37"/>
        </w:numPr>
        <w:spacing w:after="0"/>
        <w:rPr>
          <w:sz w:val="24"/>
          <w:szCs w:val="24"/>
        </w:rPr>
      </w:pPr>
      <w:r w:rsidRPr="002214F7">
        <w:rPr>
          <w:sz w:val="24"/>
          <w:szCs w:val="24"/>
        </w:rPr>
        <w:t xml:space="preserve">монотерапии, при непереносимости метформина или противопоказании к его применению вследствие почечной недостаточности; </w:t>
      </w:r>
    </w:p>
    <w:p w14:paraId="639B5634" w14:textId="5CBEF7F1" w:rsidR="004B41F8" w:rsidRPr="004B41F8" w:rsidRDefault="002214F7" w:rsidP="009F0A03">
      <w:pPr>
        <w:pStyle w:val="OT"/>
        <w:numPr>
          <w:ilvl w:val="0"/>
          <w:numId w:val="37"/>
        </w:numPr>
        <w:spacing w:after="0"/>
        <w:rPr>
          <w:sz w:val="24"/>
          <w:szCs w:val="24"/>
        </w:rPr>
      </w:pPr>
      <w:r w:rsidRPr="002214F7">
        <w:rPr>
          <w:sz w:val="24"/>
          <w:szCs w:val="24"/>
        </w:rPr>
        <w:t>комбинированной терапии с другими гипогликемическими лекарственными препаратами, включая инсулин, в том случае, если при терапии этими препаратами не достигается адекватный гликемический контроль.</w:t>
      </w:r>
    </w:p>
    <w:p w14:paraId="57CBF962" w14:textId="77777777" w:rsidR="009F0A03" w:rsidRDefault="009F0A03" w:rsidP="0014689C">
      <w:pPr>
        <w:pStyle w:val="OT"/>
        <w:rPr>
          <w:sz w:val="24"/>
          <w:szCs w:val="24"/>
        </w:rPr>
      </w:pPr>
    </w:p>
    <w:p w14:paraId="4B1CF4AC" w14:textId="0B65B48B" w:rsidR="0014689C" w:rsidRPr="004B41F8" w:rsidRDefault="0014689C" w:rsidP="009F0A03">
      <w:pPr>
        <w:pStyle w:val="OT"/>
        <w:spacing w:after="0"/>
        <w:ind w:firstLine="709"/>
        <w:rPr>
          <w:sz w:val="24"/>
          <w:szCs w:val="24"/>
        </w:rPr>
      </w:pPr>
      <w:r w:rsidRPr="004B41F8">
        <w:rPr>
          <w:sz w:val="24"/>
          <w:szCs w:val="24"/>
        </w:rPr>
        <w:t xml:space="preserve">Я, нижеподписавшийся, одобряю Брошюру исследователя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30E33976" w14:textId="77777777" w:rsidR="0014689C" w:rsidRPr="004B41F8" w:rsidRDefault="0014689C" w:rsidP="009F0A03">
      <w:pPr>
        <w:pStyle w:val="OT"/>
        <w:spacing w:after="0"/>
        <w:ind w:firstLine="709"/>
        <w:rPr>
          <w:sz w:val="24"/>
          <w:szCs w:val="24"/>
        </w:rPr>
      </w:pPr>
      <w:r w:rsidRPr="004B41F8">
        <w:rPr>
          <w:sz w:val="24"/>
          <w:szCs w:val="24"/>
        </w:rPr>
        <w:t>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сотрудниками компании-Спонсора.</w:t>
      </w:r>
    </w:p>
    <w:p w14:paraId="18202894" w14:textId="77777777" w:rsidR="0014689C" w:rsidRPr="00347876" w:rsidRDefault="0014689C" w:rsidP="0014689C">
      <w:pPr>
        <w:ind w:firstLine="709"/>
        <w:rPr>
          <w:szCs w:val="20"/>
          <w:lang w:eastAsia="ru-RU"/>
        </w:rPr>
      </w:pPr>
      <w:r w:rsidRPr="00347876">
        <w:rPr>
          <w:szCs w:val="20"/>
          <w:lang w:eastAsia="ru-RU"/>
        </w:rPr>
        <w:t xml:space="preserve"> </w:t>
      </w:r>
    </w:p>
    <w:tbl>
      <w:tblPr>
        <w:tblW w:w="9381" w:type="dxa"/>
        <w:tblLook w:val="04A0" w:firstRow="1" w:lastRow="0" w:firstColumn="1" w:lastColumn="0" w:noHBand="0" w:noVBand="1"/>
      </w:tblPr>
      <w:tblGrid>
        <w:gridCol w:w="4962"/>
        <w:gridCol w:w="4419"/>
      </w:tblGrid>
      <w:tr w:rsidR="0040536E" w:rsidRPr="0023010D" w14:paraId="0C477D5B" w14:textId="77777777" w:rsidTr="00C97EF5">
        <w:tc>
          <w:tcPr>
            <w:tcW w:w="4962" w:type="dxa"/>
          </w:tcPr>
          <w:p w14:paraId="0A511FD0" w14:textId="77777777" w:rsidR="0040536E" w:rsidRPr="00AD3C2C" w:rsidRDefault="0040536E" w:rsidP="00C97EF5">
            <w:pPr>
              <w:ind w:left="-108"/>
              <w:rPr>
                <w:b/>
                <w:lang w:eastAsia="ru-RU"/>
              </w:rPr>
            </w:pPr>
          </w:p>
          <w:p w14:paraId="653E2C60" w14:textId="77777777" w:rsidR="0040536E" w:rsidRPr="00AD3C2C" w:rsidRDefault="0040536E" w:rsidP="00C97EF5">
            <w:pPr>
              <w:ind w:left="-108"/>
              <w:rPr>
                <w:b/>
                <w:lang w:eastAsia="ru-RU"/>
              </w:rPr>
            </w:pPr>
            <w:r w:rsidRPr="00AD3C2C">
              <w:rPr>
                <w:b/>
                <w:lang w:eastAsia="ru-RU"/>
              </w:rPr>
              <w:t>Представитель Спонсора:</w:t>
            </w:r>
          </w:p>
          <w:p w14:paraId="1D395976" w14:textId="77777777" w:rsidR="0040536E" w:rsidRPr="00AD3C2C" w:rsidRDefault="0040536E" w:rsidP="00C97EF5">
            <w:pPr>
              <w:ind w:left="-108"/>
              <w:rPr>
                <w:lang w:eastAsia="ru-RU"/>
              </w:rPr>
            </w:pPr>
            <w:r w:rsidRPr="00AD3C2C">
              <w:rPr>
                <w:b/>
                <w:lang w:eastAsia="ru-RU"/>
              </w:rPr>
              <w:t>Филон Ольга Владимировна</w:t>
            </w:r>
          </w:p>
          <w:p w14:paraId="3C29BDA3" w14:textId="77777777" w:rsidR="0040536E" w:rsidRPr="00AD3C2C" w:rsidRDefault="0040536E" w:rsidP="00C97EF5">
            <w:pPr>
              <w:ind w:left="-108"/>
            </w:pPr>
            <w:r w:rsidRPr="00AD3C2C">
              <w:t>Директор Департамента доклинической и клинической разработки</w:t>
            </w:r>
          </w:p>
          <w:p w14:paraId="285CF1C7" w14:textId="77777777" w:rsidR="0040536E" w:rsidRPr="00AD3C2C" w:rsidRDefault="0040536E" w:rsidP="00C97EF5">
            <w:pPr>
              <w:ind w:left="-108"/>
            </w:pPr>
            <w:r w:rsidRPr="00AD3C2C">
              <w:t>Медицинской дирекции</w:t>
            </w:r>
          </w:p>
          <w:p w14:paraId="10B437C9" w14:textId="77777777" w:rsidR="0040536E" w:rsidRPr="00AD3C2C" w:rsidRDefault="0040536E" w:rsidP="00C97EF5">
            <w:pPr>
              <w:ind w:left="-108"/>
            </w:pPr>
            <w:r w:rsidRPr="00AD3C2C">
              <w:t>АО «Р-Фарм»</w:t>
            </w:r>
          </w:p>
          <w:p w14:paraId="6CCCE159" w14:textId="77777777" w:rsidR="0040536E" w:rsidRPr="0023010D" w:rsidRDefault="0040536E" w:rsidP="00C97EF5">
            <w:pPr>
              <w:ind w:left="-108"/>
              <w:contextualSpacing/>
              <w:rPr>
                <w:b/>
                <w:vertAlign w:val="superscript"/>
                <w:lang w:eastAsia="ru-RU"/>
              </w:rPr>
            </w:pPr>
          </w:p>
        </w:tc>
        <w:tc>
          <w:tcPr>
            <w:tcW w:w="4419" w:type="dxa"/>
          </w:tcPr>
          <w:p w14:paraId="0AEE108A" w14:textId="77777777" w:rsidR="0040536E" w:rsidRPr="00AD3C2C" w:rsidRDefault="0040536E" w:rsidP="00C97EF5">
            <w:pPr>
              <w:rPr>
                <w:lang w:eastAsia="ru-RU"/>
              </w:rPr>
            </w:pPr>
          </w:p>
          <w:p w14:paraId="69FD45B0" w14:textId="77777777" w:rsidR="0040536E" w:rsidRPr="00AD3C2C" w:rsidRDefault="0040536E" w:rsidP="00C97EF5">
            <w:pPr>
              <w:rPr>
                <w:lang w:eastAsia="ru-RU"/>
              </w:rPr>
            </w:pPr>
          </w:p>
          <w:p w14:paraId="34675CAF" w14:textId="77777777" w:rsidR="0040536E" w:rsidRPr="00AD3C2C" w:rsidRDefault="0040536E" w:rsidP="00C97EF5">
            <w:pPr>
              <w:rPr>
                <w:lang w:eastAsia="ru-RU"/>
              </w:rPr>
            </w:pPr>
            <w:r w:rsidRPr="00AD3C2C">
              <w:rPr>
                <w:lang w:eastAsia="ru-RU"/>
              </w:rPr>
              <w:t>______________________________</w:t>
            </w:r>
          </w:p>
          <w:p w14:paraId="7C5B870D" w14:textId="77777777" w:rsidR="0040536E" w:rsidRPr="00AD3C2C" w:rsidRDefault="0040536E" w:rsidP="00C97EF5">
            <w:pPr>
              <w:jc w:val="center"/>
              <w:rPr>
                <w:vertAlign w:val="superscript"/>
                <w:lang w:eastAsia="ru-RU"/>
              </w:rPr>
            </w:pPr>
            <w:r w:rsidRPr="00AD3C2C">
              <w:rPr>
                <w:vertAlign w:val="superscript"/>
                <w:lang w:eastAsia="ru-RU"/>
              </w:rPr>
              <w:t>Подпись</w:t>
            </w:r>
          </w:p>
          <w:p w14:paraId="5E5909FD" w14:textId="77777777" w:rsidR="0040536E" w:rsidRPr="00AD3C2C" w:rsidRDefault="0040536E" w:rsidP="00C97EF5">
            <w:pPr>
              <w:rPr>
                <w:lang w:eastAsia="ru-RU"/>
              </w:rPr>
            </w:pPr>
            <w:r w:rsidRPr="00AD3C2C">
              <w:rPr>
                <w:lang w:eastAsia="ru-RU"/>
              </w:rPr>
              <w:t>______________________________</w:t>
            </w:r>
          </w:p>
          <w:p w14:paraId="18E109F3" w14:textId="77777777" w:rsidR="0040536E" w:rsidRPr="0023010D" w:rsidRDefault="0040536E" w:rsidP="00C97EF5">
            <w:pPr>
              <w:contextualSpacing/>
              <w:jc w:val="center"/>
              <w:rPr>
                <w:sz w:val="20"/>
                <w:szCs w:val="20"/>
                <w:lang w:eastAsia="ru-RU"/>
              </w:rPr>
            </w:pPr>
            <w:r w:rsidRPr="00AD3C2C">
              <w:rPr>
                <w:vertAlign w:val="superscript"/>
                <w:lang w:eastAsia="ru-RU"/>
              </w:rPr>
              <w:t>Дата</w:t>
            </w:r>
          </w:p>
        </w:tc>
      </w:tr>
    </w:tbl>
    <w:p w14:paraId="577F1C7C" w14:textId="523990E7" w:rsidR="00E34F04" w:rsidRDefault="0014689C" w:rsidP="000139E5">
      <w:pPr>
        <w:jc w:val="left"/>
        <w:rPr>
          <w:rFonts w:eastAsiaTheme="minorEastAsia"/>
          <w:b/>
          <w:bCs/>
        </w:rPr>
      </w:pPr>
      <w:r>
        <w:rPr>
          <w:color w:val="000000" w:themeColor="text1"/>
        </w:rPr>
        <w:br w:type="page"/>
      </w:r>
    </w:p>
    <w:p w14:paraId="5B331A24" w14:textId="04DE1959" w:rsidR="00E34F04" w:rsidRPr="00DB25F1" w:rsidRDefault="00E34F04" w:rsidP="00E34F04">
      <w:pPr>
        <w:ind w:firstLine="709"/>
        <w:rPr>
          <w:color w:val="000000" w:themeColor="text1"/>
        </w:rPr>
        <w:sectPr w:rsidR="00E34F04" w:rsidRPr="00DB25F1" w:rsidSect="00AB01E2">
          <w:headerReference w:type="default" r:id="rId9"/>
          <w:footerReference w:type="default" r:id="rId10"/>
          <w:headerReference w:type="first" r:id="rId11"/>
          <w:pgSz w:w="11906" w:h="16838"/>
          <w:pgMar w:top="1134" w:right="849" w:bottom="1134" w:left="1701" w:header="708" w:footer="709" w:gutter="0"/>
          <w:cols w:space="708"/>
          <w:docGrid w:linePitch="360"/>
        </w:sectPr>
      </w:pPr>
    </w:p>
    <w:p w14:paraId="1A059A2C" w14:textId="758DEBA1" w:rsidR="000139E5" w:rsidRDefault="000139E5" w:rsidP="000139E5">
      <w:pPr>
        <w:pStyle w:val="12"/>
        <w:spacing w:line="240" w:lineRule="auto"/>
        <w:rPr>
          <w:rFonts w:cs="Times New Roman"/>
          <w:color w:val="000000" w:themeColor="text1"/>
        </w:rPr>
      </w:pPr>
      <w:bookmarkStart w:id="6" w:name="_Toc99740759"/>
      <w:bookmarkStart w:id="7" w:name="_Toc395011854"/>
      <w:bookmarkStart w:id="8" w:name="_Toc139361916"/>
      <w:r w:rsidRPr="005E6358">
        <w:rPr>
          <w:rFonts w:cs="Times New Roman"/>
          <w:color w:val="000000" w:themeColor="text1"/>
        </w:rPr>
        <w:lastRenderedPageBreak/>
        <w:t>СПИСОК СОКРАЩЕНИЙ</w:t>
      </w:r>
      <w:bookmarkEnd w:id="6"/>
      <w:bookmarkEnd w:id="8"/>
    </w:p>
    <w:tbl>
      <w:tblPr>
        <w:tblStyle w:val="210"/>
        <w:tblW w:w="5000" w:type="pct"/>
        <w:tblLook w:val="04A0" w:firstRow="1" w:lastRow="0" w:firstColumn="1" w:lastColumn="0" w:noHBand="0" w:noVBand="1"/>
      </w:tblPr>
      <w:tblGrid>
        <w:gridCol w:w="1804"/>
        <w:gridCol w:w="7541"/>
      </w:tblGrid>
      <w:tr w:rsidR="000B34F7" w:rsidRPr="000B34F7" w14:paraId="44C38B4C" w14:textId="77777777" w:rsidTr="00BE4B51">
        <w:tc>
          <w:tcPr>
            <w:tcW w:w="1585" w:type="dxa"/>
          </w:tcPr>
          <w:p w14:paraId="3378E860" w14:textId="77777777" w:rsidR="000B34F7" w:rsidRPr="000B34F7" w:rsidRDefault="000B34F7" w:rsidP="00BE4B51">
            <w:r w:rsidRPr="000B34F7">
              <w:t>СНО</w:t>
            </w:r>
          </w:p>
        </w:tc>
        <w:tc>
          <w:tcPr>
            <w:tcW w:w="7760" w:type="dxa"/>
          </w:tcPr>
          <w:p w14:paraId="407788AF" w14:textId="77777777" w:rsidR="000B34F7" w:rsidRPr="000B34F7" w:rsidRDefault="000B34F7" w:rsidP="00BE4B51">
            <w:pPr>
              <w:rPr>
                <w:rFonts w:eastAsia="Times New Roman"/>
                <w:iCs/>
                <w:lang w:eastAsia="ru-RU"/>
              </w:rPr>
            </w:pPr>
            <w:r w:rsidRPr="000B34F7">
              <w:t xml:space="preserve">Клетки </w:t>
            </w:r>
            <w:bookmarkStart w:id="9" w:name="_Hlk121497900"/>
            <w:r w:rsidRPr="000B34F7">
              <w:t>яичников китайского хомячка</w:t>
            </w:r>
            <w:bookmarkEnd w:id="9"/>
          </w:p>
        </w:tc>
      </w:tr>
      <w:tr w:rsidR="000B34F7" w:rsidRPr="000B34F7" w14:paraId="3A71567E" w14:textId="77777777" w:rsidTr="00BE4B51">
        <w:tc>
          <w:tcPr>
            <w:tcW w:w="1585" w:type="dxa"/>
            <w:vAlign w:val="center"/>
          </w:tcPr>
          <w:p w14:paraId="7A061076" w14:textId="77777777" w:rsidR="000B34F7" w:rsidRPr="000B34F7" w:rsidRDefault="000B34F7" w:rsidP="00BE4B51">
            <w:r w:rsidRPr="000B34F7">
              <w:rPr>
                <w:rFonts w:eastAsiaTheme="minorEastAsia"/>
                <w:color w:val="000000" w:themeColor="text1"/>
                <w:lang w:val="en-US"/>
              </w:rPr>
              <w:t>CYP450</w:t>
            </w:r>
          </w:p>
        </w:tc>
        <w:tc>
          <w:tcPr>
            <w:tcW w:w="7760" w:type="dxa"/>
            <w:vAlign w:val="center"/>
          </w:tcPr>
          <w:p w14:paraId="55B2764D" w14:textId="77777777" w:rsidR="000B34F7" w:rsidRPr="000B34F7" w:rsidRDefault="000B34F7" w:rsidP="00BE4B51">
            <w:pPr>
              <w:rPr>
                <w:rFonts w:eastAsia="Times New Roman"/>
                <w:iCs/>
                <w:lang w:eastAsia="ru-RU"/>
              </w:rPr>
            </w:pPr>
            <w:r w:rsidRPr="000B34F7">
              <w:rPr>
                <w:rFonts w:eastAsiaTheme="minorEastAsia"/>
                <w:color w:val="000000" w:themeColor="text1"/>
              </w:rPr>
              <w:t>Цитохром P450</w:t>
            </w:r>
          </w:p>
        </w:tc>
      </w:tr>
      <w:tr w:rsidR="000B34F7" w:rsidRPr="000B34F7" w14:paraId="02847CA1" w14:textId="77777777" w:rsidTr="00BE4B51">
        <w:tc>
          <w:tcPr>
            <w:tcW w:w="1585" w:type="dxa"/>
            <w:vAlign w:val="center"/>
          </w:tcPr>
          <w:p w14:paraId="290FF68B" w14:textId="77777777" w:rsidR="000B34F7" w:rsidRPr="000B34F7" w:rsidRDefault="000B34F7" w:rsidP="00BE4B51">
            <w:r w:rsidRPr="000B34F7">
              <w:rPr>
                <w:lang w:val="en-US"/>
              </w:rPr>
              <w:t>CL</w:t>
            </w:r>
            <w:r w:rsidRPr="000B34F7">
              <w:t>/</w:t>
            </w:r>
            <w:r w:rsidRPr="000B34F7">
              <w:rPr>
                <w:lang w:val="en-US"/>
              </w:rPr>
              <w:t>F</w:t>
            </w:r>
          </w:p>
        </w:tc>
        <w:tc>
          <w:tcPr>
            <w:tcW w:w="7760" w:type="dxa"/>
            <w:vAlign w:val="center"/>
          </w:tcPr>
          <w:p w14:paraId="6471F302" w14:textId="77777777" w:rsidR="000B34F7" w:rsidRPr="000B34F7" w:rsidRDefault="000B34F7" w:rsidP="00BE4B51">
            <w:pPr>
              <w:rPr>
                <w:rFonts w:eastAsia="Times New Roman"/>
                <w:iCs/>
                <w:lang w:eastAsia="ru-RU"/>
              </w:rPr>
            </w:pPr>
            <w:r w:rsidRPr="000B34F7">
              <w:t>Кажущийся общий клиренс</w:t>
            </w:r>
          </w:p>
        </w:tc>
      </w:tr>
      <w:tr w:rsidR="000B34F7" w:rsidRPr="000B34F7" w14:paraId="13EB98B4" w14:textId="77777777" w:rsidTr="00BE4B51">
        <w:tc>
          <w:tcPr>
            <w:tcW w:w="1585" w:type="dxa"/>
            <w:vAlign w:val="center"/>
          </w:tcPr>
          <w:p w14:paraId="40E2AA8B" w14:textId="77777777" w:rsidR="000B34F7" w:rsidRPr="000B34F7" w:rsidRDefault="000B34F7" w:rsidP="00BE4B51">
            <w:r w:rsidRPr="000B34F7">
              <w:rPr>
                <w:rFonts w:eastAsiaTheme="minorEastAsia"/>
              </w:rPr>
              <w:t>C</w:t>
            </w:r>
            <w:r w:rsidRPr="000B34F7">
              <w:rPr>
                <w:rFonts w:eastAsiaTheme="minorEastAsia"/>
                <w:vertAlign w:val="subscript"/>
              </w:rPr>
              <w:t>max</w:t>
            </w:r>
          </w:p>
        </w:tc>
        <w:tc>
          <w:tcPr>
            <w:tcW w:w="7760" w:type="dxa"/>
            <w:vAlign w:val="center"/>
          </w:tcPr>
          <w:p w14:paraId="52B564DF" w14:textId="77777777" w:rsidR="000B34F7" w:rsidRPr="000B34F7" w:rsidRDefault="000B34F7" w:rsidP="00BE4B51">
            <w:pPr>
              <w:rPr>
                <w:rFonts w:eastAsia="Times New Roman"/>
                <w:iCs/>
                <w:lang w:eastAsia="ru-RU"/>
              </w:rPr>
            </w:pPr>
            <w:r w:rsidRPr="000B34F7">
              <w:rPr>
                <w:rFonts w:eastAsiaTheme="minorEastAsia"/>
              </w:rPr>
              <w:t>Максимальная плазменная концентрация</w:t>
            </w:r>
          </w:p>
        </w:tc>
      </w:tr>
      <w:tr w:rsidR="000B34F7" w:rsidRPr="000B34F7" w14:paraId="7646E773" w14:textId="77777777" w:rsidTr="00BE4B51">
        <w:tc>
          <w:tcPr>
            <w:tcW w:w="1585" w:type="dxa"/>
            <w:vAlign w:val="center"/>
          </w:tcPr>
          <w:p w14:paraId="504DF520" w14:textId="77777777" w:rsidR="000B34F7" w:rsidRPr="000B34F7" w:rsidRDefault="000B34F7" w:rsidP="00BE4B51">
            <w:r w:rsidRPr="000B34F7">
              <w:rPr>
                <w:rFonts w:eastAsiaTheme="minorEastAsia"/>
              </w:rPr>
              <w:t>C</w:t>
            </w:r>
            <w:r w:rsidRPr="000B34F7">
              <w:rPr>
                <w:rFonts w:eastAsiaTheme="minorEastAsia"/>
                <w:vertAlign w:val="subscript"/>
              </w:rPr>
              <w:t>min</w:t>
            </w:r>
          </w:p>
        </w:tc>
        <w:tc>
          <w:tcPr>
            <w:tcW w:w="7760" w:type="dxa"/>
            <w:vAlign w:val="center"/>
          </w:tcPr>
          <w:p w14:paraId="59C1AE41" w14:textId="77777777" w:rsidR="000B34F7" w:rsidRPr="000B34F7" w:rsidRDefault="000B34F7" w:rsidP="00BE4B51">
            <w:pPr>
              <w:rPr>
                <w:rFonts w:eastAsia="Times New Roman"/>
                <w:iCs/>
                <w:lang w:eastAsia="ru-RU"/>
              </w:rPr>
            </w:pPr>
            <w:r w:rsidRPr="000B34F7">
              <w:rPr>
                <w:rFonts w:eastAsiaTheme="minorEastAsia"/>
              </w:rPr>
              <w:t>Минимальная плазменная концентрация</w:t>
            </w:r>
          </w:p>
        </w:tc>
      </w:tr>
      <w:tr w:rsidR="000B34F7" w:rsidRPr="000B34F7" w14:paraId="35217519" w14:textId="77777777" w:rsidTr="00BE4B51">
        <w:tc>
          <w:tcPr>
            <w:tcW w:w="1585" w:type="dxa"/>
            <w:vAlign w:val="center"/>
          </w:tcPr>
          <w:p w14:paraId="192A1FF0" w14:textId="77777777" w:rsidR="000B34F7" w:rsidRPr="000B34F7" w:rsidRDefault="000B34F7" w:rsidP="00BE4B51">
            <w:r w:rsidRPr="000B34F7">
              <w:rPr>
                <w:rFonts w:eastAsiaTheme="minorEastAsia"/>
              </w:rPr>
              <w:t>CV</w:t>
            </w:r>
          </w:p>
        </w:tc>
        <w:tc>
          <w:tcPr>
            <w:tcW w:w="7760" w:type="dxa"/>
            <w:vAlign w:val="center"/>
          </w:tcPr>
          <w:p w14:paraId="00180917" w14:textId="77777777" w:rsidR="000B34F7" w:rsidRPr="000B34F7" w:rsidRDefault="000B34F7" w:rsidP="00BE4B51">
            <w:pPr>
              <w:rPr>
                <w:rFonts w:eastAsia="Times New Roman"/>
                <w:iCs/>
                <w:lang w:eastAsia="ru-RU"/>
              </w:rPr>
            </w:pPr>
            <w:r w:rsidRPr="000B34F7">
              <w:rPr>
                <w:rFonts w:eastAsiaTheme="minorEastAsia"/>
              </w:rPr>
              <w:t>Коэффициент вариации</w:t>
            </w:r>
          </w:p>
        </w:tc>
      </w:tr>
      <w:tr w:rsidR="000B34F7" w:rsidRPr="000B34F7" w14:paraId="4ABBCE00" w14:textId="77777777" w:rsidTr="00BE4B51">
        <w:tc>
          <w:tcPr>
            <w:tcW w:w="1585" w:type="dxa"/>
            <w:vAlign w:val="center"/>
          </w:tcPr>
          <w:p w14:paraId="5F960D55" w14:textId="77777777" w:rsidR="000B34F7" w:rsidRPr="000B34F7" w:rsidRDefault="000B34F7" w:rsidP="00BE4B51">
            <w:r w:rsidRPr="000B34F7">
              <w:t>Child – Pugh</w:t>
            </w:r>
          </w:p>
        </w:tc>
        <w:tc>
          <w:tcPr>
            <w:tcW w:w="7760" w:type="dxa"/>
            <w:vAlign w:val="center"/>
          </w:tcPr>
          <w:p w14:paraId="1A8A67C6" w14:textId="739FF954" w:rsidR="000B34F7" w:rsidRPr="000B34F7" w:rsidRDefault="00963C97">
            <w:pPr>
              <w:rPr>
                <w:rFonts w:eastAsia="Times New Roman"/>
                <w:iCs/>
                <w:lang w:eastAsia="ru-RU"/>
              </w:rPr>
            </w:pPr>
            <w:r>
              <w:t>Классификация</w:t>
            </w:r>
            <w:r w:rsidR="000B34F7" w:rsidRPr="000B34F7">
              <w:t xml:space="preserve"> Чайлда </w:t>
            </w:r>
            <w:r>
              <w:t xml:space="preserve">– </w:t>
            </w:r>
            <w:r w:rsidR="000B34F7" w:rsidRPr="000B34F7">
              <w:t>Пью, оценочная методика, предназначенная для определения тяжести циррозов печени и выживаемости пациента</w:t>
            </w:r>
          </w:p>
        </w:tc>
      </w:tr>
      <w:tr w:rsidR="000B34F7" w:rsidRPr="000B34F7" w14:paraId="5400795D" w14:textId="77777777" w:rsidTr="00BE4B51">
        <w:tc>
          <w:tcPr>
            <w:tcW w:w="1585" w:type="dxa"/>
            <w:vAlign w:val="center"/>
          </w:tcPr>
          <w:p w14:paraId="21DAC33F" w14:textId="77777777" w:rsidR="000B34F7" w:rsidRPr="000B34F7" w:rsidRDefault="000B34F7" w:rsidP="00BE4B51">
            <w:pPr>
              <w:rPr>
                <w:rFonts w:eastAsiaTheme="minorEastAsia"/>
              </w:rPr>
            </w:pPr>
            <w:r w:rsidRPr="000B34F7">
              <w:rPr>
                <w:rFonts w:eastAsiaTheme="minorEastAsia"/>
              </w:rPr>
              <w:t>BCS</w:t>
            </w:r>
          </w:p>
        </w:tc>
        <w:tc>
          <w:tcPr>
            <w:tcW w:w="7760" w:type="dxa"/>
            <w:vAlign w:val="center"/>
          </w:tcPr>
          <w:p w14:paraId="60811B48" w14:textId="77777777" w:rsidR="000B34F7" w:rsidRPr="000B34F7" w:rsidRDefault="000B34F7" w:rsidP="00BE4B51">
            <w:pPr>
              <w:rPr>
                <w:rFonts w:eastAsiaTheme="minorEastAsia"/>
              </w:rPr>
            </w:pPr>
            <w:r w:rsidRPr="000B34F7">
              <w:t>Системе биофармацевтической классификации</w:t>
            </w:r>
            <w:r w:rsidRPr="000B34F7">
              <w:rPr>
                <w:rFonts w:eastAsiaTheme="minorEastAsia"/>
              </w:rPr>
              <w:t xml:space="preserve"> (Biopharmaceutical Classification System)</w:t>
            </w:r>
          </w:p>
        </w:tc>
      </w:tr>
      <w:tr w:rsidR="000B34F7" w:rsidRPr="000B34F7" w14:paraId="288A53D1" w14:textId="77777777" w:rsidTr="00BE4B51">
        <w:tc>
          <w:tcPr>
            <w:tcW w:w="1585" w:type="dxa"/>
            <w:vAlign w:val="center"/>
          </w:tcPr>
          <w:p w14:paraId="313CC751" w14:textId="77777777" w:rsidR="000B34F7" w:rsidRPr="000B34F7" w:rsidRDefault="000B34F7" w:rsidP="00BE4B51">
            <w:r w:rsidRPr="000B34F7">
              <w:rPr>
                <w:rFonts w:eastAsiaTheme="minorEastAsia"/>
              </w:rPr>
              <w:t>EMA</w:t>
            </w:r>
          </w:p>
        </w:tc>
        <w:tc>
          <w:tcPr>
            <w:tcW w:w="7760" w:type="dxa"/>
            <w:vAlign w:val="center"/>
          </w:tcPr>
          <w:p w14:paraId="03B742CD" w14:textId="77777777" w:rsidR="000B34F7" w:rsidRPr="000B34F7" w:rsidRDefault="000B34F7" w:rsidP="00BE4B51">
            <w:pPr>
              <w:rPr>
                <w:rFonts w:eastAsia="Times New Roman"/>
                <w:iCs/>
                <w:lang w:eastAsia="ru-RU"/>
              </w:rPr>
            </w:pPr>
            <w:r w:rsidRPr="000B34F7">
              <w:rPr>
                <w:rFonts w:eastAsiaTheme="minorEastAsia"/>
              </w:rPr>
              <w:t>Европейское агентство по лекарственным средствам</w:t>
            </w:r>
          </w:p>
        </w:tc>
      </w:tr>
      <w:tr w:rsidR="000B34F7" w:rsidRPr="000B34F7" w14:paraId="0DAC4048" w14:textId="77777777" w:rsidTr="00BE4B51">
        <w:tc>
          <w:tcPr>
            <w:tcW w:w="1585" w:type="dxa"/>
          </w:tcPr>
          <w:p w14:paraId="5DBE4C3F" w14:textId="77777777" w:rsidR="000B34F7" w:rsidRPr="000B34F7" w:rsidRDefault="000B34F7" w:rsidP="00BE4B51">
            <w:r w:rsidRPr="000B34F7">
              <w:t>F</w:t>
            </w:r>
          </w:p>
        </w:tc>
        <w:tc>
          <w:tcPr>
            <w:tcW w:w="7760" w:type="dxa"/>
          </w:tcPr>
          <w:p w14:paraId="687FE620" w14:textId="77777777" w:rsidR="000B34F7" w:rsidRPr="000B34F7" w:rsidRDefault="000B34F7" w:rsidP="00BE4B51">
            <w:pPr>
              <w:rPr>
                <w:rFonts w:eastAsia="Times New Roman"/>
                <w:iCs/>
                <w:lang w:eastAsia="ru-RU"/>
              </w:rPr>
            </w:pPr>
            <w:r w:rsidRPr="000B34F7">
              <w:rPr>
                <w:rFonts w:eastAsia="Times New Roman"/>
                <w:iCs/>
                <w:lang w:eastAsia="ru-RU"/>
              </w:rPr>
              <w:t>Биодоступность</w:t>
            </w:r>
          </w:p>
        </w:tc>
      </w:tr>
      <w:tr w:rsidR="000B34F7" w:rsidRPr="000B34F7" w14:paraId="55CDC799" w14:textId="77777777" w:rsidTr="00BE4B51">
        <w:tc>
          <w:tcPr>
            <w:tcW w:w="1585" w:type="dxa"/>
            <w:vAlign w:val="center"/>
          </w:tcPr>
          <w:p w14:paraId="242AB7CA" w14:textId="77777777" w:rsidR="000B34F7" w:rsidRPr="000B34F7" w:rsidRDefault="000B34F7" w:rsidP="00BE4B51">
            <w:pPr>
              <w:rPr>
                <w:rFonts w:eastAsiaTheme="minorEastAsia"/>
                <w:lang w:val="en-US"/>
              </w:rPr>
            </w:pPr>
            <w:bookmarkStart w:id="10" w:name="_Hlk121593747"/>
            <w:r w:rsidRPr="000B34F7">
              <w:rPr>
                <w:rFonts w:eastAsiaTheme="minorEastAsia"/>
              </w:rPr>
              <w:t>FAS</w:t>
            </w:r>
            <w:bookmarkEnd w:id="10"/>
          </w:p>
        </w:tc>
        <w:tc>
          <w:tcPr>
            <w:tcW w:w="7760" w:type="dxa"/>
            <w:vAlign w:val="center"/>
          </w:tcPr>
          <w:p w14:paraId="15D98B9D" w14:textId="77777777" w:rsidR="000B34F7" w:rsidRPr="000B34F7" w:rsidRDefault="000B34F7" w:rsidP="00BE4B51">
            <w:pPr>
              <w:rPr>
                <w:rFonts w:eastAsiaTheme="minorEastAsia"/>
              </w:rPr>
            </w:pPr>
            <w:r w:rsidRPr="000B34F7">
              <w:rPr>
                <w:rFonts w:eastAsiaTheme="minorEastAsia"/>
              </w:rPr>
              <w:t>Полный набор данных для анализа (Full Analysis Set)</w:t>
            </w:r>
          </w:p>
        </w:tc>
      </w:tr>
      <w:tr w:rsidR="000B34F7" w:rsidRPr="000B34F7" w14:paraId="33241948" w14:textId="77777777" w:rsidTr="00BE4B51">
        <w:tc>
          <w:tcPr>
            <w:tcW w:w="1585" w:type="dxa"/>
            <w:vAlign w:val="center"/>
          </w:tcPr>
          <w:p w14:paraId="526F0FF3" w14:textId="77777777" w:rsidR="000B34F7" w:rsidRPr="000B34F7" w:rsidRDefault="000B34F7" w:rsidP="00BE4B51">
            <w:r w:rsidRPr="000B34F7">
              <w:rPr>
                <w:rFonts w:eastAsiaTheme="minorEastAsia"/>
                <w:lang w:val="en-US"/>
              </w:rPr>
              <w:t>FDA</w:t>
            </w:r>
          </w:p>
        </w:tc>
        <w:tc>
          <w:tcPr>
            <w:tcW w:w="7760" w:type="dxa"/>
            <w:vAlign w:val="center"/>
          </w:tcPr>
          <w:p w14:paraId="09C3AF2D" w14:textId="77777777" w:rsidR="000B34F7" w:rsidRPr="000B34F7" w:rsidRDefault="000B34F7" w:rsidP="00BE4B51">
            <w:pPr>
              <w:rPr>
                <w:rFonts w:eastAsia="Times New Roman"/>
                <w:iCs/>
                <w:lang w:eastAsia="ru-RU"/>
              </w:rPr>
            </w:pPr>
            <w:r w:rsidRPr="000B34F7">
              <w:rPr>
                <w:rFonts w:eastAsiaTheme="minorEastAsia"/>
              </w:rPr>
              <w:t>Управление по контролю за качеством пищевых продуктов и лекарственных средств США</w:t>
            </w:r>
          </w:p>
        </w:tc>
      </w:tr>
      <w:tr w:rsidR="000B34F7" w:rsidRPr="000B34F7" w14:paraId="5BF0B313" w14:textId="77777777" w:rsidTr="00BE4B51">
        <w:tc>
          <w:tcPr>
            <w:tcW w:w="1585" w:type="dxa"/>
          </w:tcPr>
          <w:p w14:paraId="0AEAA106" w14:textId="77777777" w:rsidR="000B34F7" w:rsidRPr="000B34F7" w:rsidRDefault="000B34F7" w:rsidP="00BE4B51">
            <w:r w:rsidRPr="000B34F7">
              <w:t>SGLT2</w:t>
            </w:r>
          </w:p>
        </w:tc>
        <w:tc>
          <w:tcPr>
            <w:tcW w:w="7760" w:type="dxa"/>
          </w:tcPr>
          <w:p w14:paraId="663009B1" w14:textId="77777777" w:rsidR="000B34F7" w:rsidRPr="000B34F7" w:rsidRDefault="000B34F7" w:rsidP="00BE4B51">
            <w:pPr>
              <w:rPr>
                <w:rFonts w:eastAsia="Times New Roman"/>
                <w:iCs/>
                <w:lang w:eastAsia="ru-RU"/>
              </w:rPr>
            </w:pPr>
            <w:r w:rsidRPr="000B34F7">
              <w:rPr>
                <w:rFonts w:eastAsia="Times New Roman"/>
                <w:iCs/>
                <w:lang w:eastAsia="ru-RU"/>
              </w:rPr>
              <w:t>Ингибиторы натрий-глюкозного контранспортера (</w:t>
            </w:r>
            <w:r w:rsidRPr="000B34F7">
              <w:rPr>
                <w:rFonts w:eastAsia="Times New Roman"/>
                <w:iCs/>
                <w:lang w:val="en-US" w:eastAsia="ru-RU"/>
              </w:rPr>
              <w:t>Sodium</w:t>
            </w:r>
            <w:r w:rsidRPr="000B34F7">
              <w:rPr>
                <w:rFonts w:eastAsia="Times New Roman"/>
                <w:iCs/>
                <w:lang w:eastAsia="ru-RU"/>
              </w:rPr>
              <w:t>-</w:t>
            </w:r>
            <w:r w:rsidRPr="000B34F7">
              <w:rPr>
                <w:rFonts w:eastAsia="Times New Roman"/>
                <w:iCs/>
                <w:lang w:val="en-US" w:eastAsia="ru-RU"/>
              </w:rPr>
              <w:t>Glucose</w:t>
            </w:r>
            <w:r w:rsidRPr="000B34F7">
              <w:rPr>
                <w:rFonts w:eastAsia="Times New Roman"/>
                <w:iCs/>
                <w:lang w:eastAsia="ru-RU"/>
              </w:rPr>
              <w:t xml:space="preserve"> </w:t>
            </w:r>
            <w:r w:rsidRPr="000B34F7">
              <w:rPr>
                <w:rFonts w:eastAsia="Times New Roman"/>
                <w:iCs/>
                <w:lang w:val="en-US" w:eastAsia="ru-RU"/>
              </w:rPr>
              <w:t>Cotransporter</w:t>
            </w:r>
            <w:r w:rsidRPr="000B34F7">
              <w:rPr>
                <w:rFonts w:eastAsia="Times New Roman"/>
                <w:iCs/>
                <w:lang w:eastAsia="ru-RU"/>
              </w:rPr>
              <w:t xml:space="preserve">-2 </w:t>
            </w:r>
            <w:r w:rsidRPr="000B34F7">
              <w:rPr>
                <w:rFonts w:eastAsia="Times New Roman"/>
                <w:iCs/>
                <w:lang w:val="en-US" w:eastAsia="ru-RU"/>
              </w:rPr>
              <w:t>Inhibitors</w:t>
            </w:r>
            <w:r w:rsidRPr="000B34F7">
              <w:rPr>
                <w:rFonts w:eastAsia="Times New Roman"/>
                <w:iCs/>
                <w:lang w:eastAsia="ru-RU"/>
              </w:rPr>
              <w:t>)</w:t>
            </w:r>
          </w:p>
        </w:tc>
      </w:tr>
      <w:tr w:rsidR="000B34F7" w:rsidRPr="000B34F7" w14:paraId="5502DB04" w14:textId="77777777" w:rsidTr="00BE4B51">
        <w:tc>
          <w:tcPr>
            <w:tcW w:w="1585" w:type="dxa"/>
          </w:tcPr>
          <w:p w14:paraId="3C12CFB2" w14:textId="77777777" w:rsidR="000B34F7" w:rsidRPr="000B34F7" w:rsidRDefault="000B34F7" w:rsidP="00BE4B51">
            <w:r w:rsidRPr="000B34F7">
              <w:t>HbA1c</w:t>
            </w:r>
          </w:p>
        </w:tc>
        <w:tc>
          <w:tcPr>
            <w:tcW w:w="7760" w:type="dxa"/>
          </w:tcPr>
          <w:p w14:paraId="38B6B9CE" w14:textId="77777777" w:rsidR="000B34F7" w:rsidRPr="000B34F7" w:rsidRDefault="000B34F7" w:rsidP="00BE4B51">
            <w:r w:rsidRPr="000B34F7">
              <w:rPr>
                <w:rFonts w:eastAsia="Times New Roman"/>
                <w:iCs/>
                <w:lang w:eastAsia="ru-RU"/>
              </w:rPr>
              <w:t>Гликозилированный гемоглобин</w:t>
            </w:r>
          </w:p>
        </w:tc>
      </w:tr>
      <w:tr w:rsidR="000B34F7" w:rsidRPr="000B34F7" w14:paraId="1548057E" w14:textId="77777777" w:rsidTr="00BE4B51">
        <w:tc>
          <w:tcPr>
            <w:tcW w:w="1585" w:type="dxa"/>
          </w:tcPr>
          <w:p w14:paraId="699917B8" w14:textId="77777777" w:rsidR="000B34F7" w:rsidRPr="000B34F7" w:rsidRDefault="000B34F7" w:rsidP="00BE4B51">
            <w:pPr>
              <w:rPr>
                <w:rFonts w:eastAsia="Times New Roman"/>
                <w:color w:val="000000"/>
                <w:lang w:eastAsia="ru-RU"/>
              </w:rPr>
            </w:pPr>
            <w:r w:rsidRPr="000B34F7">
              <w:t>hOAT1, hOAT3</w:t>
            </w:r>
          </w:p>
        </w:tc>
        <w:tc>
          <w:tcPr>
            <w:tcW w:w="7760" w:type="dxa"/>
          </w:tcPr>
          <w:p w14:paraId="312FE3EF" w14:textId="77777777" w:rsidR="000B34F7" w:rsidRPr="000B34F7" w:rsidRDefault="000B34F7" w:rsidP="00BE4B51">
            <w:pPr>
              <w:rPr>
                <w:rFonts w:eastAsia="Times New Roman"/>
                <w:lang w:eastAsia="ru-RU"/>
              </w:rPr>
            </w:pPr>
            <w:r w:rsidRPr="000B34F7">
              <w:rPr>
                <w:rFonts w:eastAsia="Times New Roman"/>
                <w:lang w:eastAsia="ru-RU"/>
              </w:rPr>
              <w:t>Органические переносчики анионов</w:t>
            </w:r>
          </w:p>
        </w:tc>
      </w:tr>
      <w:tr w:rsidR="000B34F7" w:rsidRPr="00686E75" w14:paraId="79EAE7AD" w14:textId="77777777" w:rsidTr="00BE4B51">
        <w:tc>
          <w:tcPr>
            <w:tcW w:w="1585" w:type="dxa"/>
          </w:tcPr>
          <w:p w14:paraId="0707790F" w14:textId="77777777" w:rsidR="000B34F7" w:rsidRPr="000B34F7" w:rsidRDefault="000B34F7" w:rsidP="00BE4B51">
            <w:r w:rsidRPr="000B34F7">
              <w:rPr>
                <w:rFonts w:eastAsia="Times New Roman"/>
                <w:lang w:val="en-US" w:eastAsia="ru-RU"/>
              </w:rPr>
              <w:t>HOMA‑IR</w:t>
            </w:r>
          </w:p>
        </w:tc>
        <w:tc>
          <w:tcPr>
            <w:tcW w:w="7760" w:type="dxa"/>
          </w:tcPr>
          <w:p w14:paraId="44BBF676" w14:textId="77777777" w:rsidR="000B34F7" w:rsidRPr="000B34F7" w:rsidRDefault="000B34F7" w:rsidP="00BE4B51">
            <w:pPr>
              <w:rPr>
                <w:rFonts w:eastAsia="Times New Roman"/>
                <w:lang w:val="en-US" w:eastAsia="ru-RU"/>
              </w:rPr>
            </w:pPr>
            <w:r w:rsidRPr="000B34F7">
              <w:rPr>
                <w:rFonts w:eastAsia="Times New Roman"/>
                <w:lang w:val="en-US" w:eastAsia="ru-RU"/>
              </w:rPr>
              <w:t>Homeostasis Model Assessment of Insulin Resistance  (</w:t>
            </w:r>
            <w:r w:rsidRPr="000B34F7">
              <w:rPr>
                <w:rFonts w:eastAsia="Times New Roman"/>
                <w:lang w:eastAsia="ru-RU"/>
              </w:rPr>
              <w:t>Индекс</w:t>
            </w:r>
            <w:r w:rsidRPr="000B34F7">
              <w:rPr>
                <w:rFonts w:eastAsia="Times New Roman"/>
                <w:lang w:val="en-US" w:eastAsia="ru-RU"/>
              </w:rPr>
              <w:t xml:space="preserve"> </w:t>
            </w:r>
            <w:r w:rsidRPr="000B34F7">
              <w:rPr>
                <w:rFonts w:eastAsia="Times New Roman"/>
                <w:lang w:eastAsia="ru-RU"/>
              </w:rPr>
              <w:t>инсулинорезистентности</w:t>
            </w:r>
            <w:r w:rsidRPr="000B34F7">
              <w:rPr>
                <w:rFonts w:eastAsia="Times New Roman"/>
                <w:lang w:val="en-US" w:eastAsia="ru-RU"/>
              </w:rPr>
              <w:t>)</w:t>
            </w:r>
          </w:p>
        </w:tc>
      </w:tr>
      <w:tr w:rsidR="000B34F7" w:rsidRPr="000B34F7" w14:paraId="0A1317A5" w14:textId="77777777" w:rsidTr="00BE4B51">
        <w:tc>
          <w:tcPr>
            <w:tcW w:w="1585" w:type="dxa"/>
          </w:tcPr>
          <w:p w14:paraId="43C6DDBF" w14:textId="77777777" w:rsidR="000B34F7" w:rsidRPr="000B34F7" w:rsidRDefault="000B34F7" w:rsidP="00BE4B51">
            <w:pPr>
              <w:rPr>
                <w:rFonts w:eastAsia="Times New Roman"/>
                <w:color w:val="000000"/>
                <w:lang w:eastAsia="ru-RU"/>
              </w:rPr>
            </w:pPr>
            <w:r w:rsidRPr="000B34F7">
              <w:t>IC</w:t>
            </w:r>
            <w:r w:rsidRPr="000B34F7">
              <w:rPr>
                <w:vertAlign w:val="subscript"/>
              </w:rPr>
              <w:t>50</w:t>
            </w:r>
          </w:p>
        </w:tc>
        <w:tc>
          <w:tcPr>
            <w:tcW w:w="7760" w:type="dxa"/>
          </w:tcPr>
          <w:p w14:paraId="3F35B2A4" w14:textId="77777777" w:rsidR="000B34F7" w:rsidRPr="000B34F7" w:rsidRDefault="000B34F7" w:rsidP="00BE4B51">
            <w:pPr>
              <w:rPr>
                <w:rFonts w:eastAsia="Times New Roman"/>
                <w:lang w:eastAsia="ru-RU"/>
              </w:rPr>
            </w:pPr>
            <w:r w:rsidRPr="000B34F7">
              <w:rPr>
                <w:rFonts w:eastAsia="Times New Roman"/>
                <w:lang w:eastAsia="ru-RU"/>
              </w:rPr>
              <w:t>Концентрация полумаксимального ингибирования</w:t>
            </w:r>
          </w:p>
        </w:tc>
      </w:tr>
      <w:tr w:rsidR="000B34F7" w:rsidRPr="000B34F7" w14:paraId="4DEE394C" w14:textId="77777777" w:rsidTr="00BE4B51">
        <w:tc>
          <w:tcPr>
            <w:tcW w:w="1585" w:type="dxa"/>
          </w:tcPr>
          <w:p w14:paraId="197ED528" w14:textId="77777777" w:rsidR="000B34F7" w:rsidRPr="000B34F7" w:rsidRDefault="000B34F7" w:rsidP="00BE4B51">
            <w:pPr>
              <w:rPr>
                <w:rFonts w:eastAsia="Times New Roman"/>
                <w:color w:val="000000"/>
                <w:lang w:eastAsia="ru-RU"/>
              </w:rPr>
            </w:pPr>
            <w:r w:rsidRPr="000B34F7">
              <w:t>ICAM-1</w:t>
            </w:r>
          </w:p>
        </w:tc>
        <w:tc>
          <w:tcPr>
            <w:tcW w:w="7760" w:type="dxa"/>
          </w:tcPr>
          <w:p w14:paraId="31C42C8F" w14:textId="77777777" w:rsidR="000B34F7" w:rsidRPr="000B34F7" w:rsidRDefault="000B34F7" w:rsidP="00BE4B51">
            <w:r w:rsidRPr="000B34F7">
              <w:t>Молекула межклеточной адгезии 1</w:t>
            </w:r>
          </w:p>
        </w:tc>
      </w:tr>
      <w:tr w:rsidR="000F3C81" w:rsidRPr="000B34F7" w14:paraId="15121483" w14:textId="77777777" w:rsidTr="00C97EF5">
        <w:tc>
          <w:tcPr>
            <w:tcW w:w="1585" w:type="dxa"/>
            <w:vAlign w:val="center"/>
          </w:tcPr>
          <w:p w14:paraId="57F5E5A8" w14:textId="40B02638" w:rsidR="000F3C81" w:rsidRPr="000B34F7" w:rsidRDefault="000F3C81" w:rsidP="000F3C81">
            <w:r w:rsidRPr="00A032E6">
              <w:rPr>
                <w:rFonts w:eastAsiaTheme="minorEastAsia"/>
              </w:rPr>
              <w:t>ICH</w:t>
            </w:r>
          </w:p>
        </w:tc>
        <w:tc>
          <w:tcPr>
            <w:tcW w:w="7760" w:type="dxa"/>
            <w:vAlign w:val="center"/>
          </w:tcPr>
          <w:p w14:paraId="0F784C41" w14:textId="40B70BCF" w:rsidR="000F3C81" w:rsidRPr="000B34F7" w:rsidRDefault="000F3C81" w:rsidP="000F3C81">
            <w:r w:rsidRPr="00A032E6">
              <w:rPr>
                <w:rFonts w:eastAsiaTheme="minorEastAsia"/>
              </w:rPr>
              <w:t>Международн</w:t>
            </w:r>
            <w:r>
              <w:rPr>
                <w:rFonts w:eastAsiaTheme="minorEastAsia"/>
              </w:rPr>
              <w:t>ый Совет</w:t>
            </w:r>
            <w:r w:rsidRPr="00A032E6">
              <w:rPr>
                <w:rFonts w:eastAsiaTheme="minorEastAsia"/>
              </w:rPr>
              <w:t xml:space="preserve"> по гармонизации GCP (Надлежащей клинической практики)</w:t>
            </w:r>
          </w:p>
        </w:tc>
      </w:tr>
      <w:tr w:rsidR="000B34F7" w:rsidRPr="000B34F7" w14:paraId="4B6A24F4" w14:textId="77777777" w:rsidTr="00BE4B51">
        <w:tc>
          <w:tcPr>
            <w:tcW w:w="1585" w:type="dxa"/>
          </w:tcPr>
          <w:p w14:paraId="47190029" w14:textId="77777777" w:rsidR="000B34F7" w:rsidRPr="000B34F7" w:rsidRDefault="000B34F7" w:rsidP="00BE4B51">
            <w:r w:rsidRPr="000B34F7">
              <w:rPr>
                <w:color w:val="000000"/>
              </w:rPr>
              <w:t>IDF</w:t>
            </w:r>
          </w:p>
        </w:tc>
        <w:tc>
          <w:tcPr>
            <w:tcW w:w="7760" w:type="dxa"/>
          </w:tcPr>
          <w:p w14:paraId="2527FFC9" w14:textId="77777777" w:rsidR="000B34F7" w:rsidRPr="000B34F7" w:rsidRDefault="000B34F7" w:rsidP="00BE4B51">
            <w:pPr>
              <w:rPr>
                <w:color w:val="000000"/>
                <w:lang w:val="en-US"/>
              </w:rPr>
            </w:pPr>
            <w:r w:rsidRPr="000B34F7">
              <w:rPr>
                <w:color w:val="000000"/>
              </w:rPr>
              <w:t>International Diabetes Federation,</w:t>
            </w:r>
          </w:p>
          <w:p w14:paraId="0A8C8229" w14:textId="77777777" w:rsidR="000B34F7" w:rsidRPr="000B34F7" w:rsidRDefault="000B34F7" w:rsidP="00BE4B51">
            <w:pPr>
              <w:rPr>
                <w:lang w:val="en-US"/>
              </w:rPr>
            </w:pPr>
            <w:r w:rsidRPr="000B34F7">
              <w:rPr>
                <w:color w:val="000000"/>
              </w:rPr>
              <w:t>Международная диабетическая федерация</w:t>
            </w:r>
          </w:p>
        </w:tc>
      </w:tr>
      <w:tr w:rsidR="000B34F7" w:rsidRPr="000B34F7" w14:paraId="77D481BD" w14:textId="77777777" w:rsidTr="00BE4B51">
        <w:tc>
          <w:tcPr>
            <w:tcW w:w="1585" w:type="dxa"/>
          </w:tcPr>
          <w:p w14:paraId="4218781C" w14:textId="77777777" w:rsidR="000B34F7" w:rsidRPr="000B34F7" w:rsidRDefault="000B34F7" w:rsidP="00BE4B51">
            <w:pPr>
              <w:rPr>
                <w:color w:val="000000"/>
              </w:rPr>
            </w:pPr>
            <w:r w:rsidRPr="000B34F7">
              <w:rPr>
                <w:rFonts w:eastAsia="TimesNewRomanPSMT"/>
              </w:rPr>
              <w:t>ITT</w:t>
            </w:r>
          </w:p>
        </w:tc>
        <w:tc>
          <w:tcPr>
            <w:tcW w:w="7760" w:type="dxa"/>
          </w:tcPr>
          <w:p w14:paraId="3FC4B159" w14:textId="77777777" w:rsidR="000B34F7" w:rsidRPr="000B34F7" w:rsidRDefault="000B34F7" w:rsidP="00BE4B51">
            <w:pPr>
              <w:rPr>
                <w:color w:val="000000"/>
              </w:rPr>
            </w:pPr>
            <w:r w:rsidRPr="000B34F7">
              <w:rPr>
                <w:rFonts w:eastAsia="TimesNewRomanPSMT"/>
              </w:rPr>
              <w:t>Популяции по назначенному лечению</w:t>
            </w:r>
          </w:p>
        </w:tc>
      </w:tr>
      <w:tr w:rsidR="000B34F7" w:rsidRPr="000B34F7" w14:paraId="339409B3" w14:textId="77777777" w:rsidTr="00BE4B51">
        <w:tc>
          <w:tcPr>
            <w:tcW w:w="1585" w:type="dxa"/>
          </w:tcPr>
          <w:p w14:paraId="2E822AC5" w14:textId="77777777" w:rsidR="000B34F7" w:rsidRPr="000B34F7" w:rsidRDefault="000B34F7" w:rsidP="00BE4B51">
            <w:r w:rsidRPr="000B34F7">
              <w:t>K</w:t>
            </w:r>
            <w:r w:rsidRPr="000B34F7">
              <w:rPr>
                <w:vertAlign w:val="subscript"/>
              </w:rPr>
              <w:t>i</w:t>
            </w:r>
          </w:p>
        </w:tc>
        <w:tc>
          <w:tcPr>
            <w:tcW w:w="7760" w:type="dxa"/>
          </w:tcPr>
          <w:p w14:paraId="52AF8BD3" w14:textId="77777777" w:rsidR="000B34F7" w:rsidRPr="000B34F7" w:rsidRDefault="000B34F7" w:rsidP="00BE4B51">
            <w:pPr>
              <w:rPr>
                <w:rFonts w:eastAsia="Times New Roman"/>
                <w:iCs/>
                <w:lang w:eastAsia="ru-RU"/>
              </w:rPr>
            </w:pPr>
            <w:r w:rsidRPr="000B34F7">
              <w:rPr>
                <w:rFonts w:eastAsia="Times New Roman"/>
                <w:iCs/>
                <w:lang w:eastAsia="ru-RU"/>
              </w:rPr>
              <w:t>Константа ингибирования</w:t>
            </w:r>
          </w:p>
        </w:tc>
      </w:tr>
      <w:tr w:rsidR="000B34F7" w:rsidRPr="000B34F7" w14:paraId="77B5A255" w14:textId="77777777" w:rsidTr="00BE4B51">
        <w:tc>
          <w:tcPr>
            <w:tcW w:w="1585" w:type="dxa"/>
          </w:tcPr>
          <w:p w14:paraId="5144EF05" w14:textId="77777777" w:rsidR="000B34F7" w:rsidRPr="000B34F7" w:rsidRDefault="000B34F7" w:rsidP="00BE4B51">
            <w:bookmarkStart w:id="11" w:name="_Hlk121490121"/>
            <w:r w:rsidRPr="000B34F7">
              <w:t>K</w:t>
            </w:r>
            <w:r w:rsidRPr="000B34F7">
              <w:rPr>
                <w:vertAlign w:val="subscript"/>
              </w:rPr>
              <w:t>m</w:t>
            </w:r>
          </w:p>
        </w:tc>
        <w:tc>
          <w:tcPr>
            <w:tcW w:w="7760" w:type="dxa"/>
          </w:tcPr>
          <w:p w14:paraId="5C92683C" w14:textId="77777777" w:rsidR="000B34F7" w:rsidRPr="000B34F7" w:rsidRDefault="000B34F7" w:rsidP="00BE4B51">
            <w:pPr>
              <w:rPr>
                <w:rFonts w:eastAsia="Times New Roman"/>
                <w:iCs/>
                <w:lang w:eastAsia="ru-RU"/>
              </w:rPr>
            </w:pPr>
            <w:r w:rsidRPr="000B34F7">
              <w:rPr>
                <w:rFonts w:eastAsia="Times New Roman"/>
                <w:iCs/>
                <w:lang w:eastAsia="ru-RU"/>
              </w:rPr>
              <w:t>Константа Михаэлиса</w:t>
            </w:r>
          </w:p>
        </w:tc>
      </w:tr>
      <w:bookmarkEnd w:id="11"/>
      <w:tr w:rsidR="000B34F7" w:rsidRPr="000B34F7" w14:paraId="3F8AB8D3" w14:textId="77777777" w:rsidTr="00BE4B51">
        <w:tc>
          <w:tcPr>
            <w:tcW w:w="1585" w:type="dxa"/>
          </w:tcPr>
          <w:p w14:paraId="0E217D3C" w14:textId="77777777" w:rsidR="000B34F7" w:rsidRPr="000B34F7" w:rsidRDefault="000B34F7" w:rsidP="00BE4B51">
            <w:r w:rsidRPr="000B34F7">
              <w:t>LD</w:t>
            </w:r>
            <w:r w:rsidRPr="000B34F7">
              <w:rPr>
                <w:vertAlign w:val="subscript"/>
              </w:rPr>
              <w:t>50</w:t>
            </w:r>
          </w:p>
        </w:tc>
        <w:tc>
          <w:tcPr>
            <w:tcW w:w="7760" w:type="dxa"/>
          </w:tcPr>
          <w:p w14:paraId="35CE1F12" w14:textId="77777777" w:rsidR="000B34F7" w:rsidRPr="000B34F7" w:rsidRDefault="000B34F7" w:rsidP="00BE4B51">
            <w:pPr>
              <w:rPr>
                <w:rFonts w:eastAsia="Times New Roman"/>
                <w:iCs/>
                <w:lang w:val="en-US" w:eastAsia="ru-RU"/>
              </w:rPr>
            </w:pPr>
            <w:r w:rsidRPr="000B34F7">
              <w:rPr>
                <w:rFonts w:eastAsia="Times New Roman"/>
                <w:iCs/>
                <w:lang w:eastAsia="ru-RU"/>
              </w:rPr>
              <w:t>Среднесмертельная</w:t>
            </w:r>
            <w:r w:rsidRPr="000B34F7">
              <w:rPr>
                <w:rFonts w:eastAsia="Times New Roman"/>
                <w:iCs/>
                <w:lang w:val="en-US" w:eastAsia="ru-RU"/>
              </w:rPr>
              <w:t xml:space="preserve"> </w:t>
            </w:r>
            <w:r w:rsidRPr="000B34F7">
              <w:rPr>
                <w:rFonts w:eastAsia="Times New Roman"/>
                <w:iCs/>
                <w:lang w:eastAsia="ru-RU"/>
              </w:rPr>
              <w:t>доза</w:t>
            </w:r>
          </w:p>
        </w:tc>
      </w:tr>
      <w:tr w:rsidR="000B34F7" w:rsidRPr="000B34F7" w14:paraId="1E1FC377" w14:textId="77777777" w:rsidTr="00BE4B51">
        <w:tc>
          <w:tcPr>
            <w:tcW w:w="1585" w:type="dxa"/>
            <w:vAlign w:val="center"/>
          </w:tcPr>
          <w:p w14:paraId="47E154D6" w14:textId="77777777" w:rsidR="000B34F7" w:rsidRPr="000B34F7" w:rsidRDefault="000B34F7" w:rsidP="00BE4B51">
            <w:pPr>
              <w:rPr>
                <w:lang w:val="en-US"/>
              </w:rPr>
            </w:pPr>
            <w:r w:rsidRPr="000B34F7">
              <w:rPr>
                <w:rFonts w:eastAsiaTheme="minorEastAsia"/>
              </w:rPr>
              <w:t>LOAEL</w:t>
            </w:r>
          </w:p>
        </w:tc>
        <w:tc>
          <w:tcPr>
            <w:tcW w:w="7760" w:type="dxa"/>
            <w:vAlign w:val="center"/>
          </w:tcPr>
          <w:p w14:paraId="2A807BF2" w14:textId="588E32EA" w:rsidR="000B34F7" w:rsidRPr="000B34F7" w:rsidRDefault="000F3C81" w:rsidP="00BE4B51">
            <w:pPr>
              <w:rPr>
                <w:rFonts w:eastAsia="Times New Roman"/>
                <w:iCs/>
                <w:lang w:eastAsia="ru-RU"/>
              </w:rPr>
            </w:pPr>
            <w:r>
              <w:rPr>
                <w:rFonts w:eastAsiaTheme="minorEastAsia"/>
              </w:rPr>
              <w:t>Н</w:t>
            </w:r>
            <w:r w:rsidR="000B34F7" w:rsidRPr="000B34F7">
              <w:rPr>
                <w:rFonts w:eastAsiaTheme="minorEastAsia"/>
              </w:rPr>
              <w:t xml:space="preserve">аименьшая доза, оказывающая явное нежелательное действие (lowest-observed-adverse-effect level) </w:t>
            </w:r>
          </w:p>
        </w:tc>
      </w:tr>
      <w:tr w:rsidR="000B34F7" w:rsidRPr="000B34F7" w14:paraId="7ADF2A39" w14:textId="77777777" w:rsidTr="00BE4B51">
        <w:tc>
          <w:tcPr>
            <w:tcW w:w="1585" w:type="dxa"/>
          </w:tcPr>
          <w:p w14:paraId="439A69D2" w14:textId="77777777" w:rsidR="000B34F7" w:rsidRPr="000B34F7" w:rsidRDefault="000B34F7" w:rsidP="00BE4B51">
            <w:bookmarkStart w:id="12" w:name="_Hlk121602785"/>
            <w:r w:rsidRPr="000B34F7">
              <w:t>LOCF</w:t>
            </w:r>
          </w:p>
        </w:tc>
        <w:tc>
          <w:tcPr>
            <w:tcW w:w="7760" w:type="dxa"/>
          </w:tcPr>
          <w:p w14:paraId="15DA82F8" w14:textId="77777777" w:rsidR="000B34F7" w:rsidRPr="000B34F7" w:rsidRDefault="000B34F7" w:rsidP="00BE4B51">
            <w:r w:rsidRPr="000B34F7">
              <w:t>Анализ данных с учетом сведений о выбывших больных (last observation carried forward,)</w:t>
            </w:r>
          </w:p>
        </w:tc>
      </w:tr>
      <w:tr w:rsidR="000B34F7" w:rsidRPr="000B34F7" w14:paraId="0057AA02" w14:textId="77777777" w:rsidTr="00BE4B51">
        <w:tc>
          <w:tcPr>
            <w:tcW w:w="1585" w:type="dxa"/>
          </w:tcPr>
          <w:p w14:paraId="1B8FE314" w14:textId="77777777" w:rsidR="000B34F7" w:rsidRPr="000B34F7" w:rsidRDefault="000B34F7" w:rsidP="00BE4B51">
            <w:pPr>
              <w:rPr>
                <w:lang w:val="en-US"/>
              </w:rPr>
            </w:pPr>
            <w:bookmarkStart w:id="13" w:name="_Hlk121483487"/>
            <w:bookmarkEnd w:id="12"/>
            <w:r w:rsidRPr="000B34F7">
              <w:rPr>
                <w:lang w:val="en-US"/>
              </w:rPr>
              <w:t>NOAEL</w:t>
            </w:r>
          </w:p>
        </w:tc>
        <w:tc>
          <w:tcPr>
            <w:tcW w:w="7760" w:type="dxa"/>
          </w:tcPr>
          <w:p w14:paraId="7A072D09" w14:textId="77777777" w:rsidR="000B34F7" w:rsidRPr="000B34F7" w:rsidRDefault="000B34F7" w:rsidP="00BE4B51">
            <w:pPr>
              <w:rPr>
                <w:rFonts w:eastAsia="Times New Roman"/>
                <w:iCs/>
                <w:lang w:eastAsia="ru-RU"/>
              </w:rPr>
            </w:pPr>
            <w:r w:rsidRPr="000B34F7">
              <w:rPr>
                <w:rFonts w:eastAsia="Times New Roman"/>
                <w:iCs/>
                <w:lang w:eastAsia="ru-RU"/>
              </w:rPr>
              <w:t>Доза, не оказывающая видимого нежелательного эффекта</w:t>
            </w:r>
          </w:p>
        </w:tc>
      </w:tr>
      <w:bookmarkEnd w:id="13"/>
      <w:tr w:rsidR="000B34F7" w:rsidRPr="000B34F7" w14:paraId="08EABB39" w14:textId="77777777" w:rsidTr="00BE4B51">
        <w:trPr>
          <w:trHeight w:val="200"/>
        </w:trPr>
        <w:tc>
          <w:tcPr>
            <w:tcW w:w="1585" w:type="dxa"/>
          </w:tcPr>
          <w:p w14:paraId="3E21CC65" w14:textId="77777777" w:rsidR="000B34F7" w:rsidRPr="000B34F7" w:rsidRDefault="000B34F7" w:rsidP="00BE4B51">
            <w:r w:rsidRPr="000B34F7">
              <w:rPr>
                <w:lang w:val="en-US"/>
              </w:rPr>
              <w:t>MNLD</w:t>
            </w:r>
          </w:p>
        </w:tc>
        <w:tc>
          <w:tcPr>
            <w:tcW w:w="7760" w:type="dxa"/>
          </w:tcPr>
          <w:p w14:paraId="31AB04FA" w14:textId="2AE0EAD9" w:rsidR="000B34F7" w:rsidRPr="000B34F7" w:rsidRDefault="00094223" w:rsidP="00BE4B51">
            <w:r>
              <w:rPr>
                <w:lang w:val="en-US"/>
              </w:rPr>
              <w:t>M</w:t>
            </w:r>
            <w:r w:rsidR="000B34F7" w:rsidRPr="000B34F7">
              <w:rPr>
                <w:lang w:val="en-US"/>
              </w:rPr>
              <w:t>aximum</w:t>
            </w:r>
            <w:r w:rsidR="000B34F7" w:rsidRPr="000B34F7">
              <w:t xml:space="preserve"> </w:t>
            </w:r>
            <w:r w:rsidR="000B34F7" w:rsidRPr="000B34F7">
              <w:rPr>
                <w:lang w:val="en-US"/>
              </w:rPr>
              <w:t>non</w:t>
            </w:r>
            <w:r w:rsidR="000B34F7" w:rsidRPr="000B34F7">
              <w:t>-</w:t>
            </w:r>
            <w:r w:rsidR="000B34F7" w:rsidRPr="000B34F7">
              <w:rPr>
                <w:lang w:val="en-US"/>
              </w:rPr>
              <w:t>lethal</w:t>
            </w:r>
            <w:r w:rsidR="000B34F7" w:rsidRPr="000B34F7">
              <w:t xml:space="preserve"> </w:t>
            </w:r>
            <w:r w:rsidR="000B34F7" w:rsidRPr="000B34F7">
              <w:rPr>
                <w:lang w:val="en-US"/>
              </w:rPr>
              <w:t>dose</w:t>
            </w:r>
            <w:r w:rsidR="000B34F7" w:rsidRPr="000B34F7">
              <w:t xml:space="preserve"> (максимальная нелетальная доза)</w:t>
            </w:r>
          </w:p>
        </w:tc>
      </w:tr>
      <w:tr w:rsidR="000B34F7" w:rsidRPr="000B34F7" w14:paraId="5022A15A" w14:textId="77777777" w:rsidTr="00BE4B51">
        <w:trPr>
          <w:trHeight w:val="200"/>
        </w:trPr>
        <w:tc>
          <w:tcPr>
            <w:tcW w:w="1585" w:type="dxa"/>
          </w:tcPr>
          <w:p w14:paraId="301D295D" w14:textId="77777777" w:rsidR="000B34F7" w:rsidRPr="000B34F7" w:rsidRDefault="000B34F7" w:rsidP="00BE4B51">
            <w:r w:rsidRPr="000B34F7">
              <w:t>OCT2</w:t>
            </w:r>
          </w:p>
        </w:tc>
        <w:tc>
          <w:tcPr>
            <w:tcW w:w="7760" w:type="dxa"/>
          </w:tcPr>
          <w:p w14:paraId="69C89C57" w14:textId="77777777" w:rsidR="000B34F7" w:rsidRPr="000B34F7" w:rsidRDefault="000B34F7" w:rsidP="00BE4B51">
            <w:r w:rsidRPr="000B34F7">
              <w:t>Переносчик органических катионов 2 (Organic Cation Transporter 2 )</w:t>
            </w:r>
          </w:p>
        </w:tc>
      </w:tr>
      <w:tr w:rsidR="000B34F7" w:rsidRPr="000B34F7" w14:paraId="0E1FF94B" w14:textId="77777777" w:rsidTr="00BE4B51">
        <w:trPr>
          <w:trHeight w:val="200"/>
        </w:trPr>
        <w:tc>
          <w:tcPr>
            <w:tcW w:w="1585" w:type="dxa"/>
          </w:tcPr>
          <w:p w14:paraId="5B94DB2D" w14:textId="77777777" w:rsidR="000B34F7" w:rsidRPr="000B34F7" w:rsidRDefault="000B34F7" w:rsidP="00BE4B51">
            <w:pPr>
              <w:rPr>
                <w:rFonts w:eastAsia="Times New Roman"/>
                <w:color w:val="000000"/>
                <w:lang w:eastAsia="ru-RU"/>
              </w:rPr>
            </w:pPr>
            <w:r w:rsidRPr="000B34F7">
              <w:t>Pgp</w:t>
            </w:r>
          </w:p>
        </w:tc>
        <w:tc>
          <w:tcPr>
            <w:tcW w:w="7760" w:type="dxa"/>
          </w:tcPr>
          <w:p w14:paraId="78A9333F" w14:textId="77777777" w:rsidR="000B34F7" w:rsidRPr="000B34F7" w:rsidRDefault="000B34F7" w:rsidP="00BE4B51">
            <w:pPr>
              <w:rPr>
                <w:rFonts w:eastAsia="Times New Roman"/>
                <w:lang w:eastAsia="ru-RU"/>
              </w:rPr>
            </w:pPr>
            <w:bookmarkStart w:id="14" w:name="_Hlk121490048"/>
            <w:r w:rsidRPr="000B34F7">
              <w:t>P-гликопротеин</w:t>
            </w:r>
            <w:bookmarkEnd w:id="14"/>
          </w:p>
        </w:tc>
      </w:tr>
      <w:tr w:rsidR="000B34F7" w:rsidRPr="000B34F7" w14:paraId="489F7955" w14:textId="77777777" w:rsidTr="00BE4B51">
        <w:trPr>
          <w:trHeight w:val="200"/>
        </w:trPr>
        <w:tc>
          <w:tcPr>
            <w:tcW w:w="1585" w:type="dxa"/>
          </w:tcPr>
          <w:p w14:paraId="7BAB5A08" w14:textId="77777777" w:rsidR="000B34F7" w:rsidRPr="000B34F7" w:rsidRDefault="000B34F7" w:rsidP="00BE4B51">
            <w:pPr>
              <w:rPr>
                <w:lang w:val="en-US"/>
              </w:rPr>
            </w:pPr>
            <w:r w:rsidRPr="000B34F7">
              <w:rPr>
                <w:lang w:val="en-US"/>
              </w:rPr>
              <w:t>PP</w:t>
            </w:r>
          </w:p>
        </w:tc>
        <w:tc>
          <w:tcPr>
            <w:tcW w:w="7760" w:type="dxa"/>
          </w:tcPr>
          <w:p w14:paraId="77A9D00D" w14:textId="77777777" w:rsidR="000B34F7" w:rsidRPr="000B34F7" w:rsidRDefault="000B34F7" w:rsidP="00BE4B51">
            <w:r w:rsidRPr="000B34F7">
              <w:rPr>
                <w:color w:val="000000"/>
                <w:lang w:val="en-US"/>
              </w:rPr>
              <w:t xml:space="preserve">Population per-protocol, </w:t>
            </w:r>
            <w:r w:rsidRPr="000B34F7">
              <w:rPr>
                <w:color w:val="000000"/>
              </w:rPr>
              <w:t>популяция “по протоколу”</w:t>
            </w:r>
          </w:p>
        </w:tc>
      </w:tr>
      <w:tr w:rsidR="000B34F7" w:rsidRPr="000B34F7" w14:paraId="2D09422B" w14:textId="77777777" w:rsidTr="00BE4B51">
        <w:trPr>
          <w:trHeight w:val="200"/>
        </w:trPr>
        <w:tc>
          <w:tcPr>
            <w:tcW w:w="1585" w:type="dxa"/>
          </w:tcPr>
          <w:p w14:paraId="28FEA066" w14:textId="77777777" w:rsidR="000B34F7" w:rsidRPr="000B34F7" w:rsidRDefault="000B34F7" w:rsidP="00BE4B51">
            <w:r w:rsidRPr="000B34F7">
              <w:rPr>
                <w:color w:val="000000"/>
              </w:rPr>
              <w:t>PPAR-γ</w:t>
            </w:r>
          </w:p>
        </w:tc>
        <w:tc>
          <w:tcPr>
            <w:tcW w:w="7760" w:type="dxa"/>
          </w:tcPr>
          <w:p w14:paraId="4B5C3FD2" w14:textId="77777777" w:rsidR="000B34F7" w:rsidRPr="000B34F7" w:rsidRDefault="000B34F7" w:rsidP="00BE4B51">
            <w:pPr>
              <w:rPr>
                <w:lang w:val="en-US"/>
              </w:rPr>
            </w:pPr>
            <w:r w:rsidRPr="000B34F7">
              <w:t>Рецепторы, активируемые пероксисомными пролифераторами</w:t>
            </w:r>
          </w:p>
        </w:tc>
      </w:tr>
      <w:tr w:rsidR="000B34F7" w:rsidRPr="000B34F7" w14:paraId="7CEE9086" w14:textId="77777777" w:rsidTr="00BE4B51">
        <w:trPr>
          <w:trHeight w:val="200"/>
        </w:trPr>
        <w:tc>
          <w:tcPr>
            <w:tcW w:w="1585" w:type="dxa"/>
          </w:tcPr>
          <w:p w14:paraId="573C2E28" w14:textId="77777777" w:rsidR="000B34F7" w:rsidRPr="000B34F7" w:rsidRDefault="000B34F7" w:rsidP="00BE4B51">
            <w:r w:rsidRPr="000B34F7">
              <w:t>SD</w:t>
            </w:r>
          </w:p>
        </w:tc>
        <w:tc>
          <w:tcPr>
            <w:tcW w:w="7760" w:type="dxa"/>
          </w:tcPr>
          <w:p w14:paraId="3AC399C3" w14:textId="77777777" w:rsidR="000B34F7" w:rsidRPr="000B34F7" w:rsidRDefault="000B34F7" w:rsidP="00BE4B51">
            <w:r w:rsidRPr="000B34F7">
              <w:t xml:space="preserve">Стандартное отклонение </w:t>
            </w:r>
          </w:p>
        </w:tc>
      </w:tr>
      <w:tr w:rsidR="000B34F7" w:rsidRPr="000B34F7" w14:paraId="1B268338" w14:textId="77777777" w:rsidTr="00BE4B51">
        <w:trPr>
          <w:trHeight w:val="200"/>
        </w:trPr>
        <w:tc>
          <w:tcPr>
            <w:tcW w:w="1585" w:type="dxa"/>
          </w:tcPr>
          <w:p w14:paraId="672B57D8" w14:textId="77777777" w:rsidR="000B34F7" w:rsidRPr="000B34F7" w:rsidRDefault="000B34F7" w:rsidP="00BE4B51">
            <w:pPr>
              <w:rPr>
                <w:rFonts w:eastAsia="TimesNewRomanPSMT"/>
              </w:rPr>
            </w:pPr>
            <w:r w:rsidRPr="000B34F7">
              <w:rPr>
                <w:color w:val="000000"/>
              </w:rPr>
              <w:t>SE</w:t>
            </w:r>
          </w:p>
        </w:tc>
        <w:tc>
          <w:tcPr>
            <w:tcW w:w="7760" w:type="dxa"/>
          </w:tcPr>
          <w:p w14:paraId="04D5DA5B" w14:textId="77777777" w:rsidR="000B34F7" w:rsidRPr="000B34F7" w:rsidRDefault="000B34F7" w:rsidP="00BE4B51">
            <w:pPr>
              <w:rPr>
                <w:rFonts w:eastAsia="TimesNewRomanPSMT"/>
              </w:rPr>
            </w:pPr>
            <w:r w:rsidRPr="000B34F7">
              <w:t>Стандартная ошибка</w:t>
            </w:r>
          </w:p>
        </w:tc>
      </w:tr>
      <w:tr w:rsidR="000B34F7" w:rsidRPr="000B34F7" w14:paraId="0359AFE2" w14:textId="77777777" w:rsidTr="00BE4B51">
        <w:trPr>
          <w:trHeight w:val="184"/>
        </w:trPr>
        <w:tc>
          <w:tcPr>
            <w:tcW w:w="1585" w:type="dxa"/>
          </w:tcPr>
          <w:p w14:paraId="2F84AAA0" w14:textId="77777777" w:rsidR="000B34F7" w:rsidRPr="000B34F7" w:rsidRDefault="000B34F7" w:rsidP="00BE4B51">
            <w:r w:rsidRPr="000B34F7">
              <w:rPr>
                <w:lang w:val="en-US"/>
              </w:rPr>
              <w:t>T</w:t>
            </w:r>
            <w:r w:rsidRPr="000B34F7">
              <w:rPr>
                <w:vertAlign w:val="subscript"/>
                <w:lang w:val="en-US"/>
              </w:rPr>
              <w:t>1</w:t>
            </w:r>
            <w:r w:rsidRPr="000B34F7">
              <w:rPr>
                <w:vertAlign w:val="subscript"/>
              </w:rPr>
              <w:t>/2</w:t>
            </w:r>
          </w:p>
        </w:tc>
        <w:tc>
          <w:tcPr>
            <w:tcW w:w="7760" w:type="dxa"/>
          </w:tcPr>
          <w:p w14:paraId="0F928735" w14:textId="77777777" w:rsidR="000B34F7" w:rsidRPr="000B34F7" w:rsidRDefault="000B34F7" w:rsidP="00BE4B51">
            <w:pPr>
              <w:rPr>
                <w:rFonts w:eastAsia="Times New Roman"/>
                <w:iCs/>
                <w:lang w:eastAsia="ru-RU"/>
              </w:rPr>
            </w:pPr>
            <w:r w:rsidRPr="000B34F7">
              <w:t>Период полувыведения</w:t>
            </w:r>
          </w:p>
        </w:tc>
      </w:tr>
      <w:tr w:rsidR="000B34F7" w:rsidRPr="000B34F7" w14:paraId="24ADA1D1" w14:textId="77777777" w:rsidTr="00BE4B51">
        <w:tc>
          <w:tcPr>
            <w:tcW w:w="1585" w:type="dxa"/>
          </w:tcPr>
          <w:p w14:paraId="5C62B21A" w14:textId="77777777" w:rsidR="000B34F7" w:rsidRPr="000B34F7" w:rsidRDefault="000B34F7" w:rsidP="00BE4B51">
            <w:r w:rsidRPr="000B34F7">
              <w:rPr>
                <w:lang w:val="en-US"/>
              </w:rPr>
              <w:lastRenderedPageBreak/>
              <w:t>T</w:t>
            </w:r>
            <w:r w:rsidRPr="000B34F7">
              <w:rPr>
                <w:vertAlign w:val="subscript"/>
                <w:lang w:val="en-US"/>
              </w:rPr>
              <w:t>max</w:t>
            </w:r>
          </w:p>
        </w:tc>
        <w:tc>
          <w:tcPr>
            <w:tcW w:w="7760" w:type="dxa"/>
          </w:tcPr>
          <w:p w14:paraId="51577EF0" w14:textId="77777777" w:rsidR="000B34F7" w:rsidRPr="000B34F7" w:rsidRDefault="000B34F7" w:rsidP="00BE4B51">
            <w:pPr>
              <w:rPr>
                <w:rFonts w:eastAsia="Times New Roman"/>
                <w:iCs/>
                <w:lang w:eastAsia="ru-RU"/>
              </w:rPr>
            </w:pPr>
            <w:r w:rsidRPr="000B34F7">
              <w:rPr>
                <w:rFonts w:eastAsia="Times New Roman"/>
                <w:iCs/>
                <w:lang w:eastAsia="ru-RU"/>
              </w:rPr>
              <w:t>Время достижения максимальной концентрации</w:t>
            </w:r>
          </w:p>
        </w:tc>
      </w:tr>
      <w:tr w:rsidR="000B34F7" w:rsidRPr="000B34F7" w14:paraId="11CB8E2D" w14:textId="77777777" w:rsidTr="00BE4B51">
        <w:tc>
          <w:tcPr>
            <w:tcW w:w="1585" w:type="dxa"/>
          </w:tcPr>
          <w:p w14:paraId="30A9918D" w14:textId="77777777" w:rsidR="000B34F7" w:rsidRPr="000B34F7" w:rsidRDefault="000B34F7" w:rsidP="00BE4B51">
            <w:r w:rsidRPr="000B34F7">
              <w:rPr>
                <w:lang w:val="en-US"/>
              </w:rPr>
              <w:t>Vd</w:t>
            </w:r>
            <w:r w:rsidRPr="000B34F7">
              <w:rPr>
                <w:vertAlign w:val="subscript"/>
                <w:lang w:val="en-US"/>
              </w:rPr>
              <w:t>ss</w:t>
            </w:r>
          </w:p>
        </w:tc>
        <w:tc>
          <w:tcPr>
            <w:tcW w:w="7760" w:type="dxa"/>
          </w:tcPr>
          <w:p w14:paraId="74418D02" w14:textId="77777777" w:rsidR="000B34F7" w:rsidRPr="000B34F7" w:rsidRDefault="000B34F7" w:rsidP="00BE4B51">
            <w:pPr>
              <w:rPr>
                <w:rFonts w:eastAsia="Times New Roman"/>
                <w:iCs/>
                <w:lang w:eastAsia="ru-RU"/>
              </w:rPr>
            </w:pPr>
            <w:r w:rsidRPr="000B34F7">
              <w:t>Стационарный объем распределения</w:t>
            </w:r>
          </w:p>
        </w:tc>
      </w:tr>
      <w:tr w:rsidR="000B34F7" w:rsidRPr="000B34F7" w14:paraId="1403A972" w14:textId="77777777" w:rsidTr="00BE4B51">
        <w:tc>
          <w:tcPr>
            <w:tcW w:w="1585" w:type="dxa"/>
          </w:tcPr>
          <w:p w14:paraId="4919FEFB" w14:textId="77777777" w:rsidR="000B34F7" w:rsidRPr="000B34F7" w:rsidRDefault="000B34F7" w:rsidP="00BE4B51">
            <w:pPr>
              <w:rPr>
                <w:rFonts w:eastAsia="TimesNewRomanPSMT"/>
                <w:color w:val="000000"/>
                <w:lang w:eastAsia="en-US"/>
              </w:rPr>
            </w:pPr>
            <w:r w:rsidRPr="000B34F7">
              <w:t>АБФ</w:t>
            </w:r>
          </w:p>
        </w:tc>
        <w:tc>
          <w:tcPr>
            <w:tcW w:w="7760" w:type="dxa"/>
          </w:tcPr>
          <w:p w14:paraId="0557CA97" w14:textId="77777777" w:rsidR="000B34F7" w:rsidRPr="000B34F7" w:rsidRDefault="000B34F7" w:rsidP="00BE4B51">
            <w:pPr>
              <w:rPr>
                <w:rFonts w:eastAsia="TimesNewRomanPSMT"/>
                <w:color w:val="000000"/>
                <w:lang w:eastAsia="en-US"/>
              </w:rPr>
            </w:pPr>
            <w:r w:rsidRPr="000B34F7">
              <w:t>Активированный белок фибробластов (</w:t>
            </w:r>
            <w:r w:rsidRPr="000B34F7">
              <w:rPr>
                <w:lang w:val="en-US"/>
              </w:rPr>
              <w:t>fibroblast</w:t>
            </w:r>
            <w:r w:rsidRPr="000B34F7">
              <w:t xml:space="preserve"> </w:t>
            </w:r>
            <w:r w:rsidRPr="000B34F7">
              <w:rPr>
                <w:lang w:val="en-US"/>
              </w:rPr>
              <w:t>activation</w:t>
            </w:r>
            <w:r w:rsidRPr="000B34F7">
              <w:t xml:space="preserve"> </w:t>
            </w:r>
            <w:r w:rsidRPr="000B34F7">
              <w:rPr>
                <w:lang w:val="en-US"/>
              </w:rPr>
              <w:t>protein</w:t>
            </w:r>
            <w:r w:rsidRPr="000B34F7">
              <w:t xml:space="preserve">, </w:t>
            </w:r>
            <w:r w:rsidRPr="000B34F7">
              <w:rPr>
                <w:lang w:val="en-US"/>
              </w:rPr>
              <w:t>FAP</w:t>
            </w:r>
            <w:r w:rsidRPr="000B34F7">
              <w:t>)</w:t>
            </w:r>
          </w:p>
        </w:tc>
      </w:tr>
      <w:tr w:rsidR="000B34F7" w:rsidRPr="000B34F7" w14:paraId="2D7B5076" w14:textId="77777777" w:rsidTr="00BE4B51">
        <w:tc>
          <w:tcPr>
            <w:tcW w:w="1585" w:type="dxa"/>
          </w:tcPr>
          <w:p w14:paraId="6B8842CB" w14:textId="77777777" w:rsidR="000B34F7" w:rsidRPr="000B34F7" w:rsidRDefault="000B34F7" w:rsidP="00BE4B51">
            <w:pPr>
              <w:rPr>
                <w:lang w:val="en-US"/>
              </w:rPr>
            </w:pPr>
            <w:r w:rsidRPr="000B34F7">
              <w:rPr>
                <w:rFonts w:eastAsia="TimesNewRomanPSMT"/>
                <w:color w:val="000000"/>
                <w:lang w:eastAsia="en-US"/>
              </w:rPr>
              <w:t>АГ</w:t>
            </w:r>
          </w:p>
        </w:tc>
        <w:tc>
          <w:tcPr>
            <w:tcW w:w="7760" w:type="dxa"/>
          </w:tcPr>
          <w:p w14:paraId="6577516B" w14:textId="77777777" w:rsidR="000B34F7" w:rsidRPr="000B34F7" w:rsidRDefault="000B34F7" w:rsidP="00BE4B51">
            <w:r w:rsidRPr="000B34F7">
              <w:rPr>
                <w:rFonts w:eastAsia="TimesNewRomanPSMT"/>
                <w:color w:val="000000"/>
                <w:lang w:eastAsia="en-US"/>
              </w:rPr>
              <w:t>Артериальная гипертензия</w:t>
            </w:r>
          </w:p>
        </w:tc>
      </w:tr>
      <w:tr w:rsidR="000B34F7" w:rsidRPr="000B34F7" w14:paraId="6BD91C41" w14:textId="77777777" w:rsidTr="00BE4B51">
        <w:tc>
          <w:tcPr>
            <w:tcW w:w="1585" w:type="dxa"/>
          </w:tcPr>
          <w:p w14:paraId="6ECA897E" w14:textId="77777777" w:rsidR="000B34F7" w:rsidRPr="000B34F7" w:rsidRDefault="000B34F7" w:rsidP="00BE4B51">
            <w:r w:rsidRPr="000B34F7">
              <w:rPr>
                <w:color w:val="000000"/>
              </w:rPr>
              <w:t>АД</w:t>
            </w:r>
          </w:p>
        </w:tc>
        <w:tc>
          <w:tcPr>
            <w:tcW w:w="7760" w:type="dxa"/>
          </w:tcPr>
          <w:p w14:paraId="6B09A3AD" w14:textId="77777777" w:rsidR="000B34F7" w:rsidRPr="000B34F7" w:rsidRDefault="000B34F7" w:rsidP="00BE4B51">
            <w:r w:rsidRPr="000B34F7">
              <w:rPr>
                <w:color w:val="000000"/>
              </w:rPr>
              <w:t xml:space="preserve">Артериальное давление </w:t>
            </w:r>
          </w:p>
        </w:tc>
      </w:tr>
      <w:tr w:rsidR="000B34F7" w:rsidRPr="000B34F7" w14:paraId="7F94CC87" w14:textId="77777777" w:rsidTr="00BE4B51">
        <w:tc>
          <w:tcPr>
            <w:tcW w:w="1585" w:type="dxa"/>
            <w:vAlign w:val="center"/>
          </w:tcPr>
          <w:p w14:paraId="031DE5EC" w14:textId="77777777" w:rsidR="000B34F7" w:rsidRPr="000B34F7" w:rsidRDefault="000B34F7" w:rsidP="00BE4B51">
            <w:pPr>
              <w:rPr>
                <w:color w:val="000000"/>
              </w:rPr>
            </w:pPr>
            <w:r w:rsidRPr="000B34F7">
              <w:rPr>
                <w:rFonts w:eastAsiaTheme="minorEastAsia"/>
              </w:rPr>
              <w:t>АЛТ</w:t>
            </w:r>
          </w:p>
        </w:tc>
        <w:tc>
          <w:tcPr>
            <w:tcW w:w="7760" w:type="dxa"/>
            <w:vAlign w:val="center"/>
          </w:tcPr>
          <w:p w14:paraId="2D0A4F66" w14:textId="77777777" w:rsidR="000B34F7" w:rsidRPr="000B34F7" w:rsidRDefault="000B34F7" w:rsidP="00BE4B51">
            <w:pPr>
              <w:rPr>
                <w:color w:val="000000"/>
              </w:rPr>
            </w:pPr>
            <w:r w:rsidRPr="000B34F7">
              <w:rPr>
                <w:rFonts w:eastAsiaTheme="minorEastAsia"/>
              </w:rPr>
              <w:t>Аланинаминотрансфераза</w:t>
            </w:r>
          </w:p>
        </w:tc>
      </w:tr>
      <w:tr w:rsidR="000B34F7" w:rsidRPr="000B34F7" w14:paraId="451D2429" w14:textId="77777777" w:rsidTr="00BE4B51">
        <w:tc>
          <w:tcPr>
            <w:tcW w:w="1585" w:type="dxa"/>
          </w:tcPr>
          <w:p w14:paraId="0A774B09" w14:textId="77777777" w:rsidR="000B34F7" w:rsidRPr="000B34F7" w:rsidRDefault="000B34F7" w:rsidP="00BE4B51">
            <w:r w:rsidRPr="000B34F7">
              <w:rPr>
                <w:color w:val="000000"/>
              </w:rPr>
              <w:t>АМФ</w:t>
            </w:r>
          </w:p>
        </w:tc>
        <w:tc>
          <w:tcPr>
            <w:tcW w:w="7760" w:type="dxa"/>
          </w:tcPr>
          <w:p w14:paraId="1D8652A4" w14:textId="77777777" w:rsidR="000B34F7" w:rsidRPr="000B34F7" w:rsidRDefault="000B34F7" w:rsidP="00BE4B51">
            <w:r w:rsidRPr="000B34F7">
              <w:rPr>
                <w:color w:val="000000"/>
              </w:rPr>
              <w:t>Аденозинмонофосфат</w:t>
            </w:r>
          </w:p>
        </w:tc>
      </w:tr>
      <w:tr w:rsidR="000B34F7" w:rsidRPr="000B34F7" w14:paraId="649F6494" w14:textId="77777777" w:rsidTr="00BE4B51">
        <w:tc>
          <w:tcPr>
            <w:tcW w:w="1585" w:type="dxa"/>
          </w:tcPr>
          <w:p w14:paraId="0A0116C9" w14:textId="77777777" w:rsidR="000B34F7" w:rsidRPr="000B34F7" w:rsidRDefault="000B34F7" w:rsidP="00BE4B51">
            <w:pPr>
              <w:rPr>
                <w:color w:val="000000"/>
              </w:rPr>
            </w:pPr>
            <w:r w:rsidRPr="000B34F7">
              <w:rPr>
                <w:color w:val="000000"/>
              </w:rPr>
              <w:t>АПФ</w:t>
            </w:r>
          </w:p>
        </w:tc>
        <w:tc>
          <w:tcPr>
            <w:tcW w:w="7760" w:type="dxa"/>
          </w:tcPr>
          <w:p w14:paraId="66D3C0FC" w14:textId="77777777" w:rsidR="000B34F7" w:rsidRPr="000B34F7" w:rsidRDefault="000B34F7" w:rsidP="00BE4B51">
            <w:r w:rsidRPr="000B34F7">
              <w:rPr>
                <w:color w:val="000000"/>
              </w:rPr>
              <w:t>Ангиотензинпревращающий фермент</w:t>
            </w:r>
          </w:p>
        </w:tc>
      </w:tr>
      <w:tr w:rsidR="000B34F7" w:rsidRPr="000B34F7" w14:paraId="27767A00" w14:textId="77777777" w:rsidTr="00BE4B51">
        <w:tc>
          <w:tcPr>
            <w:tcW w:w="1585" w:type="dxa"/>
            <w:vAlign w:val="center"/>
          </w:tcPr>
          <w:p w14:paraId="51E26438" w14:textId="77777777" w:rsidR="000B34F7" w:rsidRPr="000B34F7" w:rsidRDefault="000B34F7" w:rsidP="00BE4B51">
            <w:pPr>
              <w:rPr>
                <w:rFonts w:eastAsiaTheme="minorEastAsia"/>
              </w:rPr>
            </w:pPr>
            <w:r w:rsidRPr="000B34F7">
              <w:rPr>
                <w:rFonts w:eastAsiaTheme="minorEastAsia"/>
              </w:rPr>
              <w:t>АССЗ</w:t>
            </w:r>
          </w:p>
        </w:tc>
        <w:tc>
          <w:tcPr>
            <w:tcW w:w="7760" w:type="dxa"/>
            <w:vAlign w:val="center"/>
          </w:tcPr>
          <w:p w14:paraId="752BAC1B" w14:textId="77777777" w:rsidR="000B34F7" w:rsidRPr="000B34F7" w:rsidRDefault="000B34F7" w:rsidP="00BE4B51">
            <w:pPr>
              <w:rPr>
                <w:rFonts w:eastAsiaTheme="minorEastAsia"/>
              </w:rPr>
            </w:pPr>
            <w:r w:rsidRPr="000B34F7">
              <w:rPr>
                <w:rFonts w:eastAsiaTheme="minorEastAsia"/>
              </w:rPr>
              <w:t>Атеросклеротические сердечно-сосудистые заболевания</w:t>
            </w:r>
          </w:p>
        </w:tc>
      </w:tr>
      <w:tr w:rsidR="000B34F7" w:rsidRPr="000B34F7" w14:paraId="0B7AA5BF" w14:textId="77777777" w:rsidTr="00BE4B51">
        <w:tc>
          <w:tcPr>
            <w:tcW w:w="1585" w:type="dxa"/>
            <w:vAlign w:val="center"/>
          </w:tcPr>
          <w:p w14:paraId="073324F3" w14:textId="77777777" w:rsidR="000B34F7" w:rsidRPr="000B34F7" w:rsidRDefault="000B34F7" w:rsidP="00BE4B51">
            <w:r w:rsidRPr="000B34F7">
              <w:rPr>
                <w:rFonts w:eastAsiaTheme="minorEastAsia"/>
              </w:rPr>
              <w:t>АСТ</w:t>
            </w:r>
          </w:p>
        </w:tc>
        <w:tc>
          <w:tcPr>
            <w:tcW w:w="7760" w:type="dxa"/>
            <w:vAlign w:val="center"/>
          </w:tcPr>
          <w:p w14:paraId="501D34AD" w14:textId="77777777" w:rsidR="000B34F7" w:rsidRPr="000B34F7" w:rsidRDefault="000B34F7" w:rsidP="00BE4B51">
            <w:pPr>
              <w:rPr>
                <w:rFonts w:eastAsia="Times New Roman"/>
                <w:iCs/>
                <w:lang w:eastAsia="ru-RU"/>
              </w:rPr>
            </w:pPr>
            <w:r w:rsidRPr="000B34F7">
              <w:rPr>
                <w:rFonts w:eastAsiaTheme="minorEastAsia"/>
              </w:rPr>
              <w:t>Аспартатаминотрансфераза</w:t>
            </w:r>
          </w:p>
        </w:tc>
      </w:tr>
      <w:tr w:rsidR="000B34F7" w:rsidRPr="000B34F7" w14:paraId="7A4F63BA" w14:textId="77777777" w:rsidTr="00BE4B51">
        <w:tc>
          <w:tcPr>
            <w:tcW w:w="1585" w:type="dxa"/>
          </w:tcPr>
          <w:p w14:paraId="7B353C24" w14:textId="77777777" w:rsidR="000B34F7" w:rsidRPr="000B34F7" w:rsidRDefault="000B34F7" w:rsidP="00BE4B51">
            <w:r w:rsidRPr="000B34F7">
              <w:t>АТХ</w:t>
            </w:r>
          </w:p>
        </w:tc>
        <w:tc>
          <w:tcPr>
            <w:tcW w:w="7760" w:type="dxa"/>
          </w:tcPr>
          <w:p w14:paraId="44513447" w14:textId="77777777" w:rsidR="000B34F7" w:rsidRPr="000B34F7" w:rsidRDefault="000B34F7" w:rsidP="00BE4B51">
            <w:pPr>
              <w:rPr>
                <w:rFonts w:eastAsia="Times New Roman"/>
                <w:iCs/>
                <w:lang w:eastAsia="ru-RU"/>
              </w:rPr>
            </w:pPr>
            <w:r w:rsidRPr="000B34F7">
              <w:t>Анатомо-терапевтическо-химическая классификация</w:t>
            </w:r>
          </w:p>
        </w:tc>
      </w:tr>
      <w:tr w:rsidR="000B34F7" w:rsidRPr="000B34F7" w14:paraId="2AE5392F" w14:textId="77777777" w:rsidTr="00BE4B51">
        <w:tc>
          <w:tcPr>
            <w:tcW w:w="1585" w:type="dxa"/>
          </w:tcPr>
          <w:p w14:paraId="52B1D1E7" w14:textId="77777777" w:rsidR="000B34F7" w:rsidRPr="000B34F7" w:rsidRDefault="000B34F7" w:rsidP="00BE4B51">
            <w:bookmarkStart w:id="15" w:name="_Hlk121491530"/>
            <w:r w:rsidRPr="000B34F7">
              <w:t>ВЖХ</w:t>
            </w:r>
          </w:p>
        </w:tc>
        <w:tc>
          <w:tcPr>
            <w:tcW w:w="7760" w:type="dxa"/>
          </w:tcPr>
          <w:p w14:paraId="0ACE6429" w14:textId="77777777" w:rsidR="000B34F7" w:rsidRPr="000B34F7" w:rsidRDefault="000B34F7" w:rsidP="00BE4B51">
            <w:pPr>
              <w:rPr>
                <w:rFonts w:eastAsia="Times New Roman"/>
                <w:iCs/>
                <w:lang w:eastAsia="ru-RU"/>
              </w:rPr>
            </w:pPr>
            <w:r w:rsidRPr="000B34F7">
              <w:rPr>
                <w:rFonts w:eastAsia="Times New Roman"/>
                <w:iCs/>
                <w:lang w:eastAsia="ru-RU"/>
              </w:rPr>
              <w:t>Высокоэффективная жидкостная хроматография</w:t>
            </w:r>
          </w:p>
        </w:tc>
      </w:tr>
      <w:bookmarkEnd w:id="15"/>
      <w:tr w:rsidR="000B34F7" w:rsidRPr="000B34F7" w14:paraId="7197E420" w14:textId="77777777" w:rsidTr="00BE4B51">
        <w:tc>
          <w:tcPr>
            <w:tcW w:w="1585" w:type="dxa"/>
          </w:tcPr>
          <w:p w14:paraId="36CF9412" w14:textId="77777777" w:rsidR="000B34F7" w:rsidRPr="000B34F7" w:rsidRDefault="000B34F7" w:rsidP="00BE4B51">
            <w:r w:rsidRPr="000B34F7">
              <w:t>ВОЗ</w:t>
            </w:r>
          </w:p>
        </w:tc>
        <w:tc>
          <w:tcPr>
            <w:tcW w:w="7760" w:type="dxa"/>
          </w:tcPr>
          <w:p w14:paraId="547041C4" w14:textId="77777777" w:rsidR="000B34F7" w:rsidRPr="000B34F7" w:rsidRDefault="000B34F7" w:rsidP="00BE4B51">
            <w:pPr>
              <w:rPr>
                <w:rFonts w:eastAsia="Times New Roman"/>
                <w:iCs/>
                <w:lang w:eastAsia="ru-RU"/>
              </w:rPr>
            </w:pPr>
            <w:r w:rsidRPr="000B34F7">
              <w:rPr>
                <w:rFonts w:eastAsia="Times New Roman"/>
                <w:iCs/>
                <w:lang w:eastAsia="ru-RU"/>
              </w:rPr>
              <w:t>Всемирная организация здравоохранения</w:t>
            </w:r>
          </w:p>
        </w:tc>
      </w:tr>
      <w:tr w:rsidR="000F3C81" w:rsidRPr="000B34F7" w14:paraId="6CE62CDF" w14:textId="77777777" w:rsidTr="00C97EF5">
        <w:tc>
          <w:tcPr>
            <w:tcW w:w="1585" w:type="dxa"/>
            <w:vAlign w:val="center"/>
          </w:tcPr>
          <w:p w14:paraId="12B7B921" w14:textId="229D20FB" w:rsidR="000F3C81" w:rsidRPr="000B34F7" w:rsidRDefault="000F3C81" w:rsidP="000F3C81">
            <w:r w:rsidRPr="000A7340">
              <w:rPr>
                <w:color w:val="000000" w:themeColor="text1"/>
              </w:rPr>
              <w:t>ВЭЖХ/МС/МС</w:t>
            </w:r>
          </w:p>
        </w:tc>
        <w:tc>
          <w:tcPr>
            <w:tcW w:w="7760" w:type="dxa"/>
            <w:vAlign w:val="center"/>
          </w:tcPr>
          <w:p w14:paraId="2D45E16F" w14:textId="4C3D7D34" w:rsidR="000F3C81" w:rsidRPr="000B34F7" w:rsidRDefault="000F3C81" w:rsidP="000F3C81">
            <w:pPr>
              <w:rPr>
                <w:rFonts w:eastAsia="Times New Roman"/>
                <w:iCs/>
                <w:lang w:eastAsia="ru-RU"/>
              </w:rPr>
            </w:pPr>
            <w:r>
              <w:rPr>
                <w:color w:val="000000" w:themeColor="text1"/>
              </w:rPr>
              <w:t>В</w:t>
            </w:r>
            <w:r w:rsidRPr="000A7340">
              <w:rPr>
                <w:color w:val="000000" w:themeColor="text1"/>
              </w:rPr>
              <w:t>ысокоэффективная жидкостная хроматография с масс-спектрометрией</w:t>
            </w:r>
          </w:p>
        </w:tc>
      </w:tr>
      <w:tr w:rsidR="000B34F7" w:rsidRPr="000B34F7" w14:paraId="087EA7C1" w14:textId="77777777" w:rsidTr="00BE4B51">
        <w:tc>
          <w:tcPr>
            <w:tcW w:w="1585" w:type="dxa"/>
          </w:tcPr>
          <w:p w14:paraId="6B179D5A" w14:textId="77777777" w:rsidR="000B34F7" w:rsidRPr="000B34F7" w:rsidRDefault="000B34F7" w:rsidP="00BE4B51">
            <w:r w:rsidRPr="000B34F7">
              <w:t>ГАМК</w:t>
            </w:r>
          </w:p>
        </w:tc>
        <w:tc>
          <w:tcPr>
            <w:tcW w:w="7760" w:type="dxa"/>
          </w:tcPr>
          <w:p w14:paraId="03FC7E1C" w14:textId="3D8D56D9" w:rsidR="000B34F7" w:rsidRPr="000B34F7" w:rsidRDefault="000F3C81" w:rsidP="00BE4B51">
            <w:r>
              <w:t>Г</w:t>
            </w:r>
            <w:r w:rsidR="000B34F7" w:rsidRPr="000B34F7">
              <w:t xml:space="preserve">амма-аминомасляная кислота </w:t>
            </w:r>
          </w:p>
        </w:tc>
      </w:tr>
      <w:tr w:rsidR="000B34F7" w:rsidRPr="000B34F7" w14:paraId="0D11FB60" w14:textId="77777777" w:rsidTr="00BE4B51">
        <w:tc>
          <w:tcPr>
            <w:tcW w:w="1585" w:type="dxa"/>
          </w:tcPr>
          <w:p w14:paraId="7DF657B3" w14:textId="77777777" w:rsidR="000B34F7" w:rsidRPr="000B34F7" w:rsidRDefault="000B34F7" w:rsidP="00BE4B51">
            <w:r w:rsidRPr="000B34F7">
              <w:t>ГИП</w:t>
            </w:r>
          </w:p>
        </w:tc>
        <w:tc>
          <w:tcPr>
            <w:tcW w:w="7760" w:type="dxa"/>
          </w:tcPr>
          <w:p w14:paraId="6E8F5DE5" w14:textId="77777777" w:rsidR="000B34F7" w:rsidRPr="000B34F7" w:rsidRDefault="000B34F7" w:rsidP="00BE4B51">
            <w:pPr>
              <w:rPr>
                <w:rFonts w:eastAsia="Times New Roman"/>
                <w:iCs/>
                <w:lang w:eastAsia="ru-RU"/>
              </w:rPr>
            </w:pPr>
            <w:r w:rsidRPr="000B34F7">
              <w:t>Глюкозозависимый инсулинотропный пептид</w:t>
            </w:r>
          </w:p>
        </w:tc>
      </w:tr>
      <w:tr w:rsidR="000B34F7" w:rsidRPr="000B34F7" w14:paraId="52425D84" w14:textId="77777777" w:rsidTr="00BE4B51">
        <w:tc>
          <w:tcPr>
            <w:tcW w:w="1585" w:type="dxa"/>
          </w:tcPr>
          <w:p w14:paraId="05E55BFC" w14:textId="77777777" w:rsidR="000B34F7" w:rsidRPr="000B34F7" w:rsidRDefault="000B34F7" w:rsidP="00BE4B51">
            <w:r w:rsidRPr="000B34F7">
              <w:t>ГПН</w:t>
            </w:r>
          </w:p>
        </w:tc>
        <w:tc>
          <w:tcPr>
            <w:tcW w:w="7760" w:type="dxa"/>
          </w:tcPr>
          <w:p w14:paraId="4B06784F" w14:textId="77777777" w:rsidR="000B34F7" w:rsidRPr="000B34F7" w:rsidRDefault="000B34F7" w:rsidP="00BE4B51">
            <w:pPr>
              <w:rPr>
                <w:rFonts w:eastAsia="Times New Roman"/>
                <w:lang w:eastAsia="ru-RU"/>
              </w:rPr>
            </w:pPr>
            <w:r w:rsidRPr="000B34F7">
              <w:t>Глюкоза плазмы натощак</w:t>
            </w:r>
          </w:p>
        </w:tc>
      </w:tr>
      <w:tr w:rsidR="000B34F7" w:rsidRPr="000B34F7" w14:paraId="175A2F13" w14:textId="77777777" w:rsidTr="00BE4B51">
        <w:tc>
          <w:tcPr>
            <w:tcW w:w="1585" w:type="dxa"/>
          </w:tcPr>
          <w:p w14:paraId="570A8398" w14:textId="77777777" w:rsidR="000B34F7" w:rsidRPr="000B34F7" w:rsidRDefault="000B34F7" w:rsidP="00BE4B51">
            <w:r w:rsidRPr="000B34F7">
              <w:rPr>
                <w:iCs/>
                <w:lang w:eastAsia="en-US"/>
              </w:rPr>
              <w:t>ГПП-1</w:t>
            </w:r>
          </w:p>
        </w:tc>
        <w:tc>
          <w:tcPr>
            <w:tcW w:w="7760" w:type="dxa"/>
          </w:tcPr>
          <w:p w14:paraId="4967349C" w14:textId="77777777" w:rsidR="000B34F7" w:rsidRPr="000B34F7" w:rsidRDefault="000B34F7" w:rsidP="00BE4B51">
            <w:r w:rsidRPr="000B34F7">
              <w:rPr>
                <w:iCs/>
                <w:lang w:eastAsia="en-US"/>
              </w:rPr>
              <w:t>Глюкагон-подобный пептид-1</w:t>
            </w:r>
          </w:p>
        </w:tc>
      </w:tr>
      <w:tr w:rsidR="000B34F7" w:rsidRPr="000B34F7" w14:paraId="55A0691E" w14:textId="77777777" w:rsidTr="00BE4B51">
        <w:tc>
          <w:tcPr>
            <w:tcW w:w="1585" w:type="dxa"/>
          </w:tcPr>
          <w:p w14:paraId="79CC9CAD" w14:textId="77777777" w:rsidR="000B34F7" w:rsidRPr="000B34F7" w:rsidRDefault="000B34F7" w:rsidP="00BE4B51">
            <w:r w:rsidRPr="000B34F7">
              <w:t>ДИ</w:t>
            </w:r>
          </w:p>
        </w:tc>
        <w:tc>
          <w:tcPr>
            <w:tcW w:w="7760" w:type="dxa"/>
          </w:tcPr>
          <w:p w14:paraId="39A3A291" w14:textId="77777777" w:rsidR="000B34F7" w:rsidRPr="000B34F7" w:rsidRDefault="000B34F7" w:rsidP="00BE4B51">
            <w:pPr>
              <w:rPr>
                <w:rFonts w:eastAsia="Times New Roman"/>
                <w:iCs/>
                <w:lang w:eastAsia="ru-RU"/>
              </w:rPr>
            </w:pPr>
            <w:r w:rsidRPr="000B34F7">
              <w:t xml:space="preserve">доверительный интервал </w:t>
            </w:r>
          </w:p>
        </w:tc>
      </w:tr>
      <w:tr w:rsidR="000B34F7" w:rsidRPr="000B34F7" w14:paraId="31FBF595" w14:textId="77777777" w:rsidTr="00BE4B51">
        <w:tc>
          <w:tcPr>
            <w:tcW w:w="1585" w:type="dxa"/>
          </w:tcPr>
          <w:p w14:paraId="05ED98F1" w14:textId="77777777" w:rsidR="000B34F7" w:rsidRPr="000B34F7" w:rsidRDefault="000B34F7" w:rsidP="00BE4B51">
            <w:r w:rsidRPr="000B34F7">
              <w:t>ДНК</w:t>
            </w:r>
          </w:p>
        </w:tc>
        <w:tc>
          <w:tcPr>
            <w:tcW w:w="7760" w:type="dxa"/>
          </w:tcPr>
          <w:p w14:paraId="0710FE64" w14:textId="77777777" w:rsidR="000B34F7" w:rsidRPr="000B34F7" w:rsidRDefault="000B34F7" w:rsidP="00BE4B51">
            <w:pPr>
              <w:rPr>
                <w:rFonts w:eastAsia="Times New Roman"/>
                <w:iCs/>
                <w:lang w:eastAsia="ru-RU"/>
              </w:rPr>
            </w:pPr>
            <w:r w:rsidRPr="000B34F7">
              <w:rPr>
                <w:rFonts w:eastAsia="Times New Roman"/>
                <w:iCs/>
                <w:lang w:eastAsia="ru-RU"/>
              </w:rPr>
              <w:t>Дезоксирибонуклеиновая кислота</w:t>
            </w:r>
          </w:p>
        </w:tc>
      </w:tr>
      <w:tr w:rsidR="000B34F7" w:rsidRPr="000B34F7" w14:paraId="5F070804" w14:textId="77777777" w:rsidTr="00BE4B51">
        <w:tc>
          <w:tcPr>
            <w:tcW w:w="1585" w:type="dxa"/>
          </w:tcPr>
          <w:p w14:paraId="2A0911E6" w14:textId="77777777" w:rsidR="000B34F7" w:rsidRPr="000B34F7" w:rsidRDefault="000B34F7" w:rsidP="00BE4B51">
            <w:pPr>
              <w:rPr>
                <w:rFonts w:eastAsia="TimesNewRomanPSMT"/>
                <w:color w:val="000000"/>
                <w:lang w:eastAsia="en-US"/>
              </w:rPr>
            </w:pPr>
            <w:r w:rsidRPr="000B34F7">
              <w:t>ДПП-4</w:t>
            </w:r>
          </w:p>
        </w:tc>
        <w:tc>
          <w:tcPr>
            <w:tcW w:w="7760" w:type="dxa"/>
          </w:tcPr>
          <w:p w14:paraId="390063F2" w14:textId="77777777" w:rsidR="000B34F7" w:rsidRPr="000B34F7" w:rsidRDefault="000B34F7" w:rsidP="00BE4B51">
            <w:pPr>
              <w:rPr>
                <w:rFonts w:eastAsia="TimesNewRomanPSMT"/>
                <w:color w:val="000000"/>
                <w:lang w:eastAsia="en-US"/>
              </w:rPr>
            </w:pPr>
            <w:r w:rsidRPr="000B34F7">
              <w:t>Дипептидилпептидаза-4</w:t>
            </w:r>
          </w:p>
        </w:tc>
      </w:tr>
      <w:tr w:rsidR="000B34F7" w:rsidRPr="000B34F7" w14:paraId="2FED28E7" w14:textId="77777777" w:rsidTr="00BE4B51">
        <w:tc>
          <w:tcPr>
            <w:tcW w:w="1585" w:type="dxa"/>
          </w:tcPr>
          <w:p w14:paraId="2BCB57C6" w14:textId="77777777" w:rsidR="000B34F7" w:rsidRPr="000B34F7" w:rsidRDefault="000B34F7" w:rsidP="00BE4B51">
            <w:pPr>
              <w:rPr>
                <w:rFonts w:eastAsia="TimesNewRomanPSMT"/>
                <w:color w:val="000000"/>
                <w:lang w:eastAsia="en-US"/>
              </w:rPr>
            </w:pPr>
            <w:r w:rsidRPr="000B34F7">
              <w:t>ЖКТ</w:t>
            </w:r>
          </w:p>
        </w:tc>
        <w:tc>
          <w:tcPr>
            <w:tcW w:w="7760" w:type="dxa"/>
          </w:tcPr>
          <w:p w14:paraId="32F303FF" w14:textId="77777777" w:rsidR="000B34F7" w:rsidRPr="000B34F7" w:rsidRDefault="000B34F7" w:rsidP="00BE4B51">
            <w:pPr>
              <w:rPr>
                <w:rFonts w:eastAsia="TimesNewRomanPSMT"/>
                <w:color w:val="000000"/>
                <w:lang w:eastAsia="en-US"/>
              </w:rPr>
            </w:pPr>
            <w:r w:rsidRPr="000B34F7">
              <w:rPr>
                <w:rFonts w:eastAsia="TimesNewRomanPSMT"/>
                <w:color w:val="000000"/>
                <w:lang w:eastAsia="en-US"/>
              </w:rPr>
              <w:t>Желудочно-кишечный тракт</w:t>
            </w:r>
          </w:p>
        </w:tc>
      </w:tr>
      <w:tr w:rsidR="000B34F7" w:rsidRPr="000B34F7" w14:paraId="0CDE44D7" w14:textId="77777777" w:rsidTr="00BE4B51">
        <w:tc>
          <w:tcPr>
            <w:tcW w:w="1585" w:type="dxa"/>
          </w:tcPr>
          <w:p w14:paraId="3846E289" w14:textId="7603FB88" w:rsidR="000B34F7" w:rsidRPr="000B34F7" w:rsidRDefault="000B34F7" w:rsidP="00BE4B51">
            <w:r w:rsidRPr="000B34F7">
              <w:rPr>
                <w:rFonts w:eastAsia="TimesNewRomanPSMT"/>
                <w:color w:val="000000"/>
                <w:lang w:eastAsia="en-US"/>
              </w:rPr>
              <w:t>ЖСС</w:t>
            </w:r>
          </w:p>
        </w:tc>
        <w:tc>
          <w:tcPr>
            <w:tcW w:w="7760" w:type="dxa"/>
          </w:tcPr>
          <w:p w14:paraId="126D7997" w14:textId="77777777" w:rsidR="000B34F7" w:rsidRPr="000B34F7" w:rsidRDefault="000B34F7" w:rsidP="00BE4B51">
            <w:pPr>
              <w:rPr>
                <w:rFonts w:eastAsia="TimesNewRomanPSMT"/>
                <w:color w:val="000000"/>
                <w:lang w:eastAsia="en-US"/>
              </w:rPr>
            </w:pPr>
            <w:r w:rsidRPr="000B34F7">
              <w:rPr>
                <w:rFonts w:eastAsia="TimesNewRomanPSMT"/>
                <w:color w:val="000000"/>
                <w:lang w:eastAsia="en-US"/>
              </w:rPr>
              <w:t>Жидкостный сцинтилляционный счетчик</w:t>
            </w:r>
          </w:p>
        </w:tc>
      </w:tr>
      <w:tr w:rsidR="000B34F7" w:rsidRPr="000B34F7" w14:paraId="66FB4618" w14:textId="77777777" w:rsidTr="00BE4B51">
        <w:tc>
          <w:tcPr>
            <w:tcW w:w="1585" w:type="dxa"/>
          </w:tcPr>
          <w:p w14:paraId="46039B4F" w14:textId="77777777" w:rsidR="000B34F7" w:rsidRPr="000B34F7" w:rsidRDefault="000B34F7" w:rsidP="00BE4B51">
            <w:r w:rsidRPr="000B34F7">
              <w:rPr>
                <w:rFonts w:eastAsia="TimesNewRomanPSMT"/>
                <w:color w:val="000000"/>
                <w:lang w:eastAsia="en-US"/>
              </w:rPr>
              <w:t>ИБС</w:t>
            </w:r>
          </w:p>
        </w:tc>
        <w:tc>
          <w:tcPr>
            <w:tcW w:w="7760" w:type="dxa"/>
          </w:tcPr>
          <w:p w14:paraId="136A102D" w14:textId="77777777" w:rsidR="000B34F7" w:rsidRPr="000B34F7" w:rsidRDefault="000B34F7" w:rsidP="00BE4B51">
            <w:pPr>
              <w:rPr>
                <w:rFonts w:eastAsia="Times New Roman"/>
                <w:iCs/>
                <w:lang w:eastAsia="ru-RU"/>
              </w:rPr>
            </w:pPr>
            <w:r w:rsidRPr="000B34F7">
              <w:rPr>
                <w:rFonts w:eastAsia="TimesNewRomanPSMT"/>
                <w:color w:val="000000"/>
                <w:lang w:eastAsia="en-US"/>
              </w:rPr>
              <w:t>Ишемическая болезнь сердца</w:t>
            </w:r>
          </w:p>
        </w:tc>
      </w:tr>
      <w:tr w:rsidR="000B34F7" w:rsidRPr="000B34F7" w14:paraId="05693848" w14:textId="77777777" w:rsidTr="00BE4B51">
        <w:tc>
          <w:tcPr>
            <w:tcW w:w="1585" w:type="dxa"/>
          </w:tcPr>
          <w:p w14:paraId="50BCE5F4" w14:textId="77777777" w:rsidR="000B34F7" w:rsidRPr="000B34F7" w:rsidRDefault="000B34F7" w:rsidP="00BE4B51">
            <w:pPr>
              <w:rPr>
                <w:rFonts w:eastAsia="Times New Roman"/>
                <w:lang w:eastAsia="ru-RU"/>
              </w:rPr>
            </w:pPr>
            <w:r w:rsidRPr="000B34F7">
              <w:rPr>
                <w:rFonts w:eastAsia="Times New Roman"/>
                <w:lang w:eastAsia="ru-RU"/>
              </w:rPr>
              <w:t xml:space="preserve">ИМТ </w:t>
            </w:r>
          </w:p>
        </w:tc>
        <w:tc>
          <w:tcPr>
            <w:tcW w:w="7760" w:type="dxa"/>
          </w:tcPr>
          <w:p w14:paraId="79CE964E" w14:textId="77777777" w:rsidR="000B34F7" w:rsidRPr="000B34F7" w:rsidRDefault="000B34F7" w:rsidP="00BE4B51">
            <w:pPr>
              <w:rPr>
                <w:rFonts w:eastAsia="Times New Roman"/>
                <w:lang w:eastAsia="ru-RU"/>
              </w:rPr>
            </w:pPr>
            <w:r w:rsidRPr="000B34F7">
              <w:rPr>
                <w:rFonts w:eastAsia="Times New Roman"/>
                <w:lang w:eastAsia="ru-RU"/>
              </w:rPr>
              <w:t>Индекс массы тела</w:t>
            </w:r>
          </w:p>
        </w:tc>
      </w:tr>
      <w:tr w:rsidR="000B34F7" w:rsidRPr="000B34F7" w14:paraId="0C5C188D" w14:textId="77777777" w:rsidTr="00BE4B51">
        <w:tc>
          <w:tcPr>
            <w:tcW w:w="1585" w:type="dxa"/>
          </w:tcPr>
          <w:p w14:paraId="30A0E512" w14:textId="77777777" w:rsidR="000B34F7" w:rsidRPr="000B34F7" w:rsidRDefault="000B34F7" w:rsidP="00BE4B51">
            <w:r w:rsidRPr="000B34F7">
              <w:rPr>
                <w:rFonts w:eastAsia="Times New Roman"/>
                <w:lang w:eastAsia="ru-RU"/>
              </w:rPr>
              <w:t>КК</w:t>
            </w:r>
          </w:p>
        </w:tc>
        <w:tc>
          <w:tcPr>
            <w:tcW w:w="7760" w:type="dxa"/>
          </w:tcPr>
          <w:p w14:paraId="27809EE2" w14:textId="45340F38" w:rsidR="000B34F7" w:rsidRPr="000B34F7" w:rsidRDefault="00B01786" w:rsidP="00BE4B51">
            <w:pPr>
              <w:rPr>
                <w:rFonts w:eastAsia="Times New Roman"/>
                <w:lang w:eastAsia="ru-RU"/>
              </w:rPr>
            </w:pPr>
            <w:r>
              <w:rPr>
                <w:rFonts w:eastAsia="Times New Roman"/>
                <w:lang w:eastAsia="ru-RU"/>
              </w:rPr>
              <w:t>К</w:t>
            </w:r>
            <w:r w:rsidR="000B34F7" w:rsidRPr="000B34F7">
              <w:rPr>
                <w:rFonts w:eastAsia="Times New Roman"/>
                <w:lang w:eastAsia="ru-RU"/>
              </w:rPr>
              <w:t xml:space="preserve">лиренс креатинина </w:t>
            </w:r>
          </w:p>
        </w:tc>
      </w:tr>
      <w:tr w:rsidR="000B34F7" w:rsidRPr="000B34F7" w14:paraId="178A8AB6" w14:textId="77777777" w:rsidTr="00BE4B51">
        <w:tc>
          <w:tcPr>
            <w:tcW w:w="1585" w:type="dxa"/>
          </w:tcPr>
          <w:p w14:paraId="44268189" w14:textId="77777777" w:rsidR="000B34F7" w:rsidRPr="000B34F7" w:rsidRDefault="000B34F7" w:rsidP="00BE4B51">
            <w:pPr>
              <w:rPr>
                <w:rFonts w:eastAsia="Times New Roman"/>
                <w:color w:val="000000"/>
                <w:lang w:eastAsia="ru-RU"/>
              </w:rPr>
            </w:pPr>
            <w:r w:rsidRPr="000B34F7">
              <w:t>ЛЖ</w:t>
            </w:r>
          </w:p>
        </w:tc>
        <w:tc>
          <w:tcPr>
            <w:tcW w:w="7760" w:type="dxa"/>
          </w:tcPr>
          <w:p w14:paraId="144433F9" w14:textId="77777777" w:rsidR="000B34F7" w:rsidRPr="000B34F7" w:rsidRDefault="000B34F7" w:rsidP="00BE4B51">
            <w:pPr>
              <w:rPr>
                <w:rFonts w:eastAsia="Times New Roman"/>
                <w:lang w:eastAsia="ru-RU"/>
              </w:rPr>
            </w:pPr>
            <w:r w:rsidRPr="000B34F7">
              <w:rPr>
                <w:rFonts w:eastAsia="Times New Roman"/>
                <w:lang w:eastAsia="ru-RU"/>
              </w:rPr>
              <w:t>Левый желудочек</w:t>
            </w:r>
          </w:p>
        </w:tc>
      </w:tr>
      <w:tr w:rsidR="000B34F7" w:rsidRPr="000B34F7" w14:paraId="3584B9A9" w14:textId="77777777" w:rsidTr="00BE4B51">
        <w:tc>
          <w:tcPr>
            <w:tcW w:w="1585" w:type="dxa"/>
          </w:tcPr>
          <w:p w14:paraId="38F824E3" w14:textId="77777777" w:rsidR="000B34F7" w:rsidRPr="000B34F7" w:rsidRDefault="000B34F7" w:rsidP="00BE4B51">
            <w:pPr>
              <w:rPr>
                <w:rFonts w:eastAsia="TimesNewRomanPSMT"/>
                <w:lang w:eastAsia="en-US"/>
              </w:rPr>
            </w:pPr>
            <w:r w:rsidRPr="000B34F7">
              <w:rPr>
                <w:rFonts w:eastAsia="TimesNewRomanPSMT"/>
                <w:lang w:eastAsia="en-US"/>
              </w:rPr>
              <w:t>MAO-B</w:t>
            </w:r>
          </w:p>
        </w:tc>
        <w:tc>
          <w:tcPr>
            <w:tcW w:w="7760" w:type="dxa"/>
          </w:tcPr>
          <w:p w14:paraId="22ABD7DB" w14:textId="77777777" w:rsidR="000B34F7" w:rsidRPr="000B34F7" w:rsidRDefault="000B34F7" w:rsidP="00BE4B51">
            <w:pPr>
              <w:rPr>
                <w:rFonts w:eastAsia="TimesNewRomanPSMT"/>
                <w:lang w:eastAsia="en-US"/>
              </w:rPr>
            </w:pPr>
            <w:r w:rsidRPr="000B34F7">
              <w:rPr>
                <w:rFonts w:eastAsia="TimesNewRomanPSMT"/>
                <w:lang w:eastAsia="en-US"/>
              </w:rPr>
              <w:t xml:space="preserve">Моноаминоксидаза B </w:t>
            </w:r>
          </w:p>
        </w:tc>
      </w:tr>
      <w:tr w:rsidR="000B34F7" w:rsidRPr="000B34F7" w14:paraId="3A29891F" w14:textId="77777777" w:rsidTr="00BE4B51">
        <w:tc>
          <w:tcPr>
            <w:tcW w:w="1585" w:type="dxa"/>
          </w:tcPr>
          <w:p w14:paraId="3FD35EB6" w14:textId="77777777" w:rsidR="000B34F7" w:rsidRPr="000B34F7" w:rsidRDefault="000B34F7" w:rsidP="00BE4B51">
            <w:pPr>
              <w:rPr>
                <w:rFonts w:eastAsia="TimesNewRomanPSMT"/>
                <w:lang w:eastAsia="en-US"/>
              </w:rPr>
            </w:pPr>
            <w:r w:rsidRPr="000B34F7">
              <w:rPr>
                <w:rFonts w:eastAsia="TimesNewRomanPSMT"/>
                <w:lang w:eastAsia="en-US"/>
              </w:rPr>
              <w:t>МПД</w:t>
            </w:r>
          </w:p>
        </w:tc>
        <w:tc>
          <w:tcPr>
            <w:tcW w:w="7760" w:type="dxa"/>
          </w:tcPr>
          <w:p w14:paraId="2AE54F8C" w14:textId="77777777" w:rsidR="000B34F7" w:rsidRPr="000B34F7" w:rsidRDefault="000B34F7" w:rsidP="00BE4B51">
            <w:pPr>
              <w:rPr>
                <w:rFonts w:eastAsia="TimesNewRomanPSMT"/>
                <w:lang w:eastAsia="en-US"/>
              </w:rPr>
            </w:pPr>
            <w:r w:rsidRPr="000B34F7">
              <w:rPr>
                <w:rFonts w:eastAsia="TimesNewRomanPSMT"/>
                <w:lang w:eastAsia="en-US"/>
              </w:rPr>
              <w:t>Максимально переносимая доза (maximum tolerated dose, MTD)</w:t>
            </w:r>
          </w:p>
        </w:tc>
      </w:tr>
      <w:tr w:rsidR="000B34F7" w:rsidRPr="000B34F7" w14:paraId="6633ADF2" w14:textId="77777777" w:rsidTr="00BE4B51">
        <w:tc>
          <w:tcPr>
            <w:tcW w:w="1585" w:type="dxa"/>
          </w:tcPr>
          <w:p w14:paraId="667E4D3D" w14:textId="77777777" w:rsidR="000B34F7" w:rsidRPr="000B34F7" w:rsidRDefault="000B34F7" w:rsidP="00BE4B51">
            <w:r w:rsidRPr="000B34F7">
              <w:rPr>
                <w:rFonts w:eastAsia="TimesNewRomanPSMT"/>
                <w:lang w:eastAsia="en-US"/>
              </w:rPr>
              <w:t>НГН</w:t>
            </w:r>
          </w:p>
        </w:tc>
        <w:tc>
          <w:tcPr>
            <w:tcW w:w="7760" w:type="dxa"/>
          </w:tcPr>
          <w:p w14:paraId="16661B58" w14:textId="77777777" w:rsidR="000B34F7" w:rsidRPr="000B34F7" w:rsidRDefault="000B34F7" w:rsidP="00BE4B51">
            <w:pPr>
              <w:rPr>
                <w:rFonts w:eastAsia="Times New Roman"/>
                <w:lang w:eastAsia="ru-RU"/>
              </w:rPr>
            </w:pPr>
            <w:r w:rsidRPr="000B34F7">
              <w:rPr>
                <w:rFonts w:eastAsia="TimesNewRomanPSMT"/>
                <w:lang w:eastAsia="en-US"/>
              </w:rPr>
              <w:t>Нарушенная гликемия натощак</w:t>
            </w:r>
          </w:p>
        </w:tc>
      </w:tr>
      <w:tr w:rsidR="000B34F7" w:rsidRPr="000B34F7" w14:paraId="5EABFBA9" w14:textId="77777777" w:rsidTr="00BE4B51">
        <w:tc>
          <w:tcPr>
            <w:tcW w:w="1585" w:type="dxa"/>
          </w:tcPr>
          <w:p w14:paraId="67A518D8" w14:textId="77777777" w:rsidR="000B34F7" w:rsidRPr="000B34F7" w:rsidRDefault="000B34F7" w:rsidP="00BE4B51">
            <w:r w:rsidRPr="000B34F7">
              <w:rPr>
                <w:rFonts w:eastAsia="TimesNewRomanPSMT"/>
                <w:lang w:eastAsia="en-US"/>
              </w:rPr>
              <w:t>НТГ</w:t>
            </w:r>
          </w:p>
        </w:tc>
        <w:tc>
          <w:tcPr>
            <w:tcW w:w="7760" w:type="dxa"/>
          </w:tcPr>
          <w:p w14:paraId="43B700F1" w14:textId="77777777" w:rsidR="000B34F7" w:rsidRPr="000B34F7" w:rsidRDefault="000B34F7" w:rsidP="00BE4B51">
            <w:pPr>
              <w:rPr>
                <w:rFonts w:eastAsia="TimesNewRomanPSMT"/>
                <w:lang w:eastAsia="en-US"/>
              </w:rPr>
            </w:pPr>
            <w:r w:rsidRPr="000B34F7">
              <w:rPr>
                <w:rFonts w:eastAsia="TimesNewRomanPSMT"/>
                <w:lang w:eastAsia="en-US"/>
              </w:rPr>
              <w:t>Нарушенная толерантность к глюкозе</w:t>
            </w:r>
          </w:p>
        </w:tc>
      </w:tr>
      <w:tr w:rsidR="000B34F7" w:rsidRPr="000B34F7" w14:paraId="5C390C1C" w14:textId="77777777" w:rsidTr="00BE4B51">
        <w:tc>
          <w:tcPr>
            <w:tcW w:w="1585" w:type="dxa"/>
          </w:tcPr>
          <w:p w14:paraId="06E261A2" w14:textId="77777777" w:rsidR="000B34F7" w:rsidRPr="000B34F7" w:rsidRDefault="000B34F7" w:rsidP="00BE4B51">
            <w:r w:rsidRPr="000B34F7">
              <w:t>ОШ</w:t>
            </w:r>
          </w:p>
        </w:tc>
        <w:tc>
          <w:tcPr>
            <w:tcW w:w="7760" w:type="dxa"/>
          </w:tcPr>
          <w:p w14:paraId="35C83228" w14:textId="010EC4F5" w:rsidR="000B34F7" w:rsidRPr="000B34F7" w:rsidRDefault="000F3C81" w:rsidP="00BE4B51">
            <w:r>
              <w:t>О</w:t>
            </w:r>
            <w:r w:rsidR="000B34F7" w:rsidRPr="000B34F7">
              <w:t>тношение шансов</w:t>
            </w:r>
          </w:p>
        </w:tc>
      </w:tr>
      <w:tr w:rsidR="000B34F7" w:rsidRPr="000B34F7" w14:paraId="423239D1" w14:textId="77777777" w:rsidTr="00BE4B51">
        <w:tc>
          <w:tcPr>
            <w:tcW w:w="1585" w:type="dxa"/>
          </w:tcPr>
          <w:p w14:paraId="13927760" w14:textId="77777777" w:rsidR="000B34F7" w:rsidRPr="000B34F7" w:rsidRDefault="000B34F7" w:rsidP="00BE4B51">
            <w:r w:rsidRPr="000B34F7">
              <w:t>ПГТТ</w:t>
            </w:r>
          </w:p>
        </w:tc>
        <w:tc>
          <w:tcPr>
            <w:tcW w:w="7760" w:type="dxa"/>
          </w:tcPr>
          <w:p w14:paraId="74FA523F" w14:textId="77777777" w:rsidR="000B34F7" w:rsidRPr="000B34F7" w:rsidRDefault="000B34F7" w:rsidP="00BE4B51">
            <w:r w:rsidRPr="000B34F7">
              <w:t xml:space="preserve">Пероральный глюкозотолерантный тест </w:t>
            </w:r>
          </w:p>
        </w:tc>
      </w:tr>
      <w:tr w:rsidR="000B34F7" w:rsidRPr="000B34F7" w14:paraId="4BC2DB62" w14:textId="77777777" w:rsidTr="00BE4B51">
        <w:tc>
          <w:tcPr>
            <w:tcW w:w="1585" w:type="dxa"/>
          </w:tcPr>
          <w:p w14:paraId="1BE0D561" w14:textId="77777777" w:rsidR="000B34F7" w:rsidRPr="000B34F7" w:rsidRDefault="000B34F7" w:rsidP="00BE4B51">
            <w:r w:rsidRPr="000B34F7">
              <w:t>ПСМ</w:t>
            </w:r>
          </w:p>
        </w:tc>
        <w:tc>
          <w:tcPr>
            <w:tcW w:w="7760" w:type="dxa"/>
          </w:tcPr>
          <w:p w14:paraId="1B66A489" w14:textId="77777777" w:rsidR="000B34F7" w:rsidRPr="000B34F7" w:rsidRDefault="000B34F7" w:rsidP="00BE4B51">
            <w:r w:rsidRPr="000B34F7">
              <w:t>Производные сульфонилмочевины</w:t>
            </w:r>
          </w:p>
        </w:tc>
      </w:tr>
      <w:tr w:rsidR="000B34F7" w:rsidRPr="000B34F7" w14:paraId="5E1C40AD" w14:textId="77777777" w:rsidTr="00BE4B51">
        <w:tc>
          <w:tcPr>
            <w:tcW w:w="1585" w:type="dxa"/>
          </w:tcPr>
          <w:p w14:paraId="0D67209C" w14:textId="77777777" w:rsidR="000B34F7" w:rsidRPr="000B34F7" w:rsidRDefault="000B34F7" w:rsidP="00BE4B51">
            <w:bookmarkStart w:id="16" w:name="_Hlk121692076"/>
            <w:r w:rsidRPr="000B34F7">
              <w:rPr>
                <w:rFonts w:eastAsia="TimesNewRomanPSMT"/>
                <w:lang w:eastAsia="en-US"/>
              </w:rPr>
              <w:t>ПССП</w:t>
            </w:r>
          </w:p>
        </w:tc>
        <w:tc>
          <w:tcPr>
            <w:tcW w:w="7760" w:type="dxa"/>
          </w:tcPr>
          <w:p w14:paraId="485ACAA0" w14:textId="77777777" w:rsidR="000B34F7" w:rsidRPr="000B34F7" w:rsidRDefault="000B34F7" w:rsidP="00BE4B51">
            <w:r w:rsidRPr="000B34F7">
              <w:rPr>
                <w:rFonts w:eastAsia="TimesNewRomanPSMT"/>
                <w:lang w:eastAsia="en-US"/>
              </w:rPr>
              <w:t>Пероральные сахароснижающие препараты</w:t>
            </w:r>
          </w:p>
        </w:tc>
      </w:tr>
      <w:bookmarkEnd w:id="16"/>
      <w:tr w:rsidR="000B34F7" w:rsidRPr="000B34F7" w14:paraId="1D190E6C" w14:textId="77777777" w:rsidTr="00BE4B51">
        <w:tc>
          <w:tcPr>
            <w:tcW w:w="1585" w:type="dxa"/>
          </w:tcPr>
          <w:p w14:paraId="7CEA23E8" w14:textId="77777777" w:rsidR="000B34F7" w:rsidRPr="000B34F7" w:rsidRDefault="000B34F7" w:rsidP="00BE4B51">
            <w:pPr>
              <w:rPr>
                <w:rFonts w:eastAsia="Times New Roman"/>
                <w:color w:val="000000"/>
                <w:lang w:val="en-US" w:eastAsia="ru-RU"/>
              </w:rPr>
            </w:pPr>
            <w:r w:rsidRPr="000B34F7">
              <w:t>РНК</w:t>
            </w:r>
          </w:p>
        </w:tc>
        <w:tc>
          <w:tcPr>
            <w:tcW w:w="7760" w:type="dxa"/>
          </w:tcPr>
          <w:p w14:paraId="3D706D2C" w14:textId="77777777" w:rsidR="000B34F7" w:rsidRPr="000B34F7" w:rsidRDefault="000B34F7" w:rsidP="00BE4B51">
            <w:pPr>
              <w:rPr>
                <w:rFonts w:eastAsia="Times New Roman"/>
                <w:lang w:eastAsia="ru-RU"/>
              </w:rPr>
            </w:pPr>
            <w:r w:rsidRPr="000B34F7">
              <w:t>Рибонуклеиновая кислота</w:t>
            </w:r>
          </w:p>
        </w:tc>
      </w:tr>
      <w:tr w:rsidR="000B34F7" w:rsidRPr="000B34F7" w14:paraId="66575374" w14:textId="77777777" w:rsidTr="00BE4B51">
        <w:tc>
          <w:tcPr>
            <w:tcW w:w="1585" w:type="dxa"/>
          </w:tcPr>
          <w:p w14:paraId="654B0C1D" w14:textId="77777777" w:rsidR="000B34F7" w:rsidRPr="000B34F7" w:rsidRDefault="000B34F7" w:rsidP="00BE4B51">
            <w:r w:rsidRPr="000B34F7">
              <w:t>РУ</w:t>
            </w:r>
          </w:p>
        </w:tc>
        <w:tc>
          <w:tcPr>
            <w:tcW w:w="7760" w:type="dxa"/>
          </w:tcPr>
          <w:p w14:paraId="0B1CAE4C" w14:textId="77777777" w:rsidR="000B34F7" w:rsidRPr="000B34F7" w:rsidRDefault="000B34F7" w:rsidP="00BE4B51">
            <w:r w:rsidRPr="000B34F7">
              <w:t>Регистрационное удостоверение</w:t>
            </w:r>
          </w:p>
        </w:tc>
      </w:tr>
      <w:tr w:rsidR="000B34F7" w:rsidRPr="000B34F7" w14:paraId="33938E44" w14:textId="77777777" w:rsidTr="00BE4B51">
        <w:tc>
          <w:tcPr>
            <w:tcW w:w="1585" w:type="dxa"/>
          </w:tcPr>
          <w:p w14:paraId="3F296BAC" w14:textId="77777777" w:rsidR="000B34F7" w:rsidRPr="000B34F7" w:rsidRDefault="000B34F7" w:rsidP="00BE4B51">
            <w:pPr>
              <w:rPr>
                <w:rFonts w:eastAsia="Times New Roman"/>
                <w:color w:val="000000"/>
                <w:lang w:val="en-US" w:eastAsia="ru-RU"/>
              </w:rPr>
            </w:pPr>
            <w:r w:rsidRPr="000B34F7">
              <w:t>СД</w:t>
            </w:r>
          </w:p>
        </w:tc>
        <w:tc>
          <w:tcPr>
            <w:tcW w:w="7760" w:type="dxa"/>
          </w:tcPr>
          <w:p w14:paraId="331479DB" w14:textId="77777777" w:rsidR="000B34F7" w:rsidRPr="000B34F7" w:rsidRDefault="000B34F7" w:rsidP="00BE4B51">
            <w:pPr>
              <w:rPr>
                <w:rFonts w:eastAsia="Times New Roman"/>
                <w:lang w:eastAsia="ru-RU"/>
              </w:rPr>
            </w:pPr>
            <w:r w:rsidRPr="000B34F7">
              <w:rPr>
                <w:rFonts w:eastAsia="Times New Roman"/>
                <w:lang w:eastAsia="ru-RU"/>
              </w:rPr>
              <w:t>Сахарный диабет</w:t>
            </w:r>
          </w:p>
        </w:tc>
      </w:tr>
      <w:tr w:rsidR="000B34F7" w:rsidRPr="000B34F7" w14:paraId="0B4D3C87" w14:textId="77777777" w:rsidTr="00BE4B51">
        <w:tc>
          <w:tcPr>
            <w:tcW w:w="1585" w:type="dxa"/>
          </w:tcPr>
          <w:p w14:paraId="3EC59A06" w14:textId="77777777" w:rsidR="000B34F7" w:rsidRPr="000B34F7" w:rsidRDefault="000B34F7" w:rsidP="00BE4B51">
            <w:pPr>
              <w:rPr>
                <w:rFonts w:eastAsia="Times New Roman"/>
                <w:color w:val="000000"/>
                <w:lang w:val="en-US" w:eastAsia="ru-RU"/>
              </w:rPr>
            </w:pPr>
            <w:r w:rsidRPr="000B34F7">
              <w:rPr>
                <w:rFonts w:eastAsia="Times New Roman"/>
                <w:color w:val="000000"/>
                <w:lang w:val="en-US" w:eastAsia="ru-RU"/>
              </w:rPr>
              <w:t>СД2</w:t>
            </w:r>
          </w:p>
        </w:tc>
        <w:tc>
          <w:tcPr>
            <w:tcW w:w="7760" w:type="dxa"/>
          </w:tcPr>
          <w:p w14:paraId="3DB2B16B" w14:textId="77777777" w:rsidR="000B34F7" w:rsidRPr="000B34F7" w:rsidRDefault="000B34F7" w:rsidP="00BE4B51">
            <w:pPr>
              <w:rPr>
                <w:rFonts w:eastAsia="Times New Roman"/>
                <w:lang w:eastAsia="ru-RU"/>
              </w:rPr>
            </w:pPr>
            <w:r w:rsidRPr="000B34F7">
              <w:rPr>
                <w:rFonts w:eastAsia="Times New Roman"/>
                <w:lang w:eastAsia="ru-RU"/>
              </w:rPr>
              <w:t>Сахарный диабет 2 типа</w:t>
            </w:r>
          </w:p>
        </w:tc>
      </w:tr>
      <w:tr w:rsidR="000B34F7" w:rsidRPr="000B34F7" w14:paraId="6AF0ECD3" w14:textId="77777777" w:rsidTr="00BE4B51">
        <w:tc>
          <w:tcPr>
            <w:tcW w:w="1585" w:type="dxa"/>
          </w:tcPr>
          <w:p w14:paraId="2D17B4AD" w14:textId="77777777" w:rsidR="000B34F7" w:rsidRPr="000B34F7" w:rsidRDefault="000B34F7" w:rsidP="00BE4B51">
            <w:r w:rsidRPr="000B34F7">
              <w:t>СКФ</w:t>
            </w:r>
          </w:p>
        </w:tc>
        <w:tc>
          <w:tcPr>
            <w:tcW w:w="7760" w:type="dxa"/>
          </w:tcPr>
          <w:p w14:paraId="017B1C14" w14:textId="77777777" w:rsidR="000B34F7" w:rsidRPr="000B34F7" w:rsidRDefault="000B34F7" w:rsidP="00BE4B51">
            <w:r w:rsidRPr="000B34F7">
              <w:t>Скорость клубочковой фильтрации</w:t>
            </w:r>
          </w:p>
        </w:tc>
      </w:tr>
      <w:tr w:rsidR="000B34F7" w:rsidRPr="000B34F7" w14:paraId="07459785" w14:textId="77777777" w:rsidTr="00BE4B51">
        <w:tc>
          <w:tcPr>
            <w:tcW w:w="1585" w:type="dxa"/>
          </w:tcPr>
          <w:p w14:paraId="37BA5862" w14:textId="77777777" w:rsidR="000B34F7" w:rsidRPr="000B34F7" w:rsidRDefault="000B34F7" w:rsidP="00BE4B51">
            <w:r w:rsidRPr="000B34F7">
              <w:rPr>
                <w:rFonts w:eastAsia="TimesNewRomanPSMT"/>
                <w:lang w:eastAsia="en-US"/>
              </w:rPr>
              <w:t>ССЗ</w:t>
            </w:r>
          </w:p>
        </w:tc>
        <w:tc>
          <w:tcPr>
            <w:tcW w:w="7760" w:type="dxa"/>
          </w:tcPr>
          <w:p w14:paraId="02DD850B" w14:textId="77777777" w:rsidR="000B34F7" w:rsidRPr="000B34F7" w:rsidRDefault="000B34F7" w:rsidP="00BE4B51">
            <w:r w:rsidRPr="000B34F7">
              <w:rPr>
                <w:rFonts w:eastAsia="TimesNewRomanPSMT"/>
                <w:lang w:eastAsia="en-US"/>
              </w:rPr>
              <w:t>Сердечно-сосудистые заболевания</w:t>
            </w:r>
          </w:p>
        </w:tc>
      </w:tr>
      <w:tr w:rsidR="000B34F7" w:rsidRPr="000B34F7" w14:paraId="5679F0FC" w14:textId="77777777" w:rsidTr="00BE4B51">
        <w:tc>
          <w:tcPr>
            <w:tcW w:w="1585" w:type="dxa"/>
          </w:tcPr>
          <w:p w14:paraId="13D2765B" w14:textId="77777777" w:rsidR="000B34F7" w:rsidRPr="000B34F7" w:rsidRDefault="000B34F7" w:rsidP="00BE4B51">
            <w:pPr>
              <w:rPr>
                <w:rFonts w:eastAsia="Times New Roman"/>
                <w:color w:val="000000"/>
                <w:lang w:val="en-US" w:eastAsia="ru-RU"/>
              </w:rPr>
            </w:pPr>
            <w:r w:rsidRPr="000B34F7">
              <w:t>ССП</w:t>
            </w:r>
          </w:p>
        </w:tc>
        <w:tc>
          <w:tcPr>
            <w:tcW w:w="7760" w:type="dxa"/>
          </w:tcPr>
          <w:p w14:paraId="0C132B89" w14:textId="77777777" w:rsidR="000B34F7" w:rsidRPr="000B34F7" w:rsidRDefault="000B34F7" w:rsidP="00BE4B51">
            <w:pPr>
              <w:rPr>
                <w:rFonts w:eastAsia="Times New Roman"/>
                <w:lang w:eastAsia="ru-RU"/>
              </w:rPr>
            </w:pPr>
            <w:r w:rsidRPr="000B34F7">
              <w:t>Сахароснижающие препараты</w:t>
            </w:r>
          </w:p>
        </w:tc>
      </w:tr>
      <w:tr w:rsidR="000B34F7" w:rsidRPr="000B34F7" w14:paraId="37F45C70" w14:textId="77777777" w:rsidTr="00BE4B51">
        <w:tc>
          <w:tcPr>
            <w:tcW w:w="1585" w:type="dxa"/>
          </w:tcPr>
          <w:p w14:paraId="1F1EDD4F" w14:textId="77777777" w:rsidR="000B34F7" w:rsidRPr="000B34F7" w:rsidRDefault="000B34F7" w:rsidP="00BE4B51">
            <w:r w:rsidRPr="000B34F7">
              <w:rPr>
                <w:lang w:eastAsia="en-US"/>
              </w:rPr>
              <w:t>ТЗД</w:t>
            </w:r>
          </w:p>
        </w:tc>
        <w:tc>
          <w:tcPr>
            <w:tcW w:w="7760" w:type="dxa"/>
          </w:tcPr>
          <w:p w14:paraId="7E1CF51D" w14:textId="77777777" w:rsidR="000B34F7" w:rsidRPr="000B34F7" w:rsidRDefault="000B34F7" w:rsidP="00BE4B51">
            <w:r w:rsidRPr="000B34F7">
              <w:rPr>
                <w:lang w:eastAsia="en-US"/>
              </w:rPr>
              <w:t xml:space="preserve">Тиазолидиндионы </w:t>
            </w:r>
          </w:p>
        </w:tc>
      </w:tr>
      <w:tr w:rsidR="000B34F7" w:rsidRPr="000B34F7" w14:paraId="0BD7557C" w14:textId="77777777" w:rsidTr="00BE4B51">
        <w:tc>
          <w:tcPr>
            <w:tcW w:w="1585" w:type="dxa"/>
          </w:tcPr>
          <w:p w14:paraId="348AF4C1" w14:textId="77777777" w:rsidR="000B34F7" w:rsidRPr="000B34F7" w:rsidRDefault="000B34F7" w:rsidP="00BE4B51">
            <w:pPr>
              <w:rPr>
                <w:rFonts w:eastAsia="Times New Roman"/>
                <w:color w:val="000000"/>
                <w:lang w:val="en-US" w:eastAsia="ru-RU"/>
              </w:rPr>
            </w:pPr>
            <w:r w:rsidRPr="000B34F7">
              <w:t>ФД</w:t>
            </w:r>
          </w:p>
        </w:tc>
        <w:tc>
          <w:tcPr>
            <w:tcW w:w="7760" w:type="dxa"/>
          </w:tcPr>
          <w:p w14:paraId="51DC4F34" w14:textId="77777777" w:rsidR="000B34F7" w:rsidRPr="000B34F7" w:rsidRDefault="000B34F7" w:rsidP="00BE4B51">
            <w:pPr>
              <w:rPr>
                <w:rFonts w:eastAsia="Times New Roman"/>
                <w:lang w:eastAsia="ru-RU"/>
              </w:rPr>
            </w:pPr>
            <w:r w:rsidRPr="000B34F7">
              <w:t>Фармакодинамический</w:t>
            </w:r>
          </w:p>
        </w:tc>
      </w:tr>
      <w:tr w:rsidR="000B34F7" w:rsidRPr="000B34F7" w14:paraId="7E1BA42B" w14:textId="77777777" w:rsidTr="00BE4B51">
        <w:tc>
          <w:tcPr>
            <w:tcW w:w="1585" w:type="dxa"/>
          </w:tcPr>
          <w:p w14:paraId="5EF7367C" w14:textId="77777777" w:rsidR="000B34F7" w:rsidRPr="000B34F7" w:rsidRDefault="000B34F7" w:rsidP="00BE4B51">
            <w:r w:rsidRPr="000B34F7">
              <w:t>ХБП</w:t>
            </w:r>
          </w:p>
        </w:tc>
        <w:tc>
          <w:tcPr>
            <w:tcW w:w="7760" w:type="dxa"/>
          </w:tcPr>
          <w:p w14:paraId="4CF214FA" w14:textId="77777777" w:rsidR="000B34F7" w:rsidRPr="000B34F7" w:rsidRDefault="000B34F7" w:rsidP="00BE4B51">
            <w:pPr>
              <w:rPr>
                <w:rFonts w:eastAsia="Times New Roman"/>
                <w:lang w:eastAsia="ru-RU"/>
              </w:rPr>
            </w:pPr>
            <w:r w:rsidRPr="000B34F7">
              <w:t xml:space="preserve">Хроническая болезнь почек </w:t>
            </w:r>
          </w:p>
        </w:tc>
      </w:tr>
      <w:tr w:rsidR="000B34F7" w:rsidRPr="000B34F7" w14:paraId="76DDE4BE" w14:textId="77777777" w:rsidTr="00BE4B51">
        <w:tc>
          <w:tcPr>
            <w:tcW w:w="1585" w:type="dxa"/>
          </w:tcPr>
          <w:p w14:paraId="0575EE4D" w14:textId="77777777" w:rsidR="000B34F7" w:rsidRPr="000B34F7" w:rsidRDefault="000B34F7" w:rsidP="00BE4B51">
            <w:r w:rsidRPr="000B34F7">
              <w:lastRenderedPageBreak/>
              <w:t>ХСН</w:t>
            </w:r>
          </w:p>
        </w:tc>
        <w:tc>
          <w:tcPr>
            <w:tcW w:w="7760" w:type="dxa"/>
          </w:tcPr>
          <w:p w14:paraId="1843AA03" w14:textId="77777777" w:rsidR="000B34F7" w:rsidRPr="000B34F7" w:rsidRDefault="000B34F7" w:rsidP="00BE4B51">
            <w:r w:rsidRPr="000B34F7">
              <w:t>Хроническая сердечная недостаточность</w:t>
            </w:r>
          </w:p>
        </w:tc>
      </w:tr>
      <w:tr w:rsidR="000B34F7" w:rsidRPr="000B34F7" w14:paraId="5985F3F6" w14:textId="77777777" w:rsidTr="00BE4B51">
        <w:tc>
          <w:tcPr>
            <w:tcW w:w="1585" w:type="dxa"/>
          </w:tcPr>
          <w:p w14:paraId="399D3AF2" w14:textId="77777777" w:rsidR="000B34F7" w:rsidRPr="000B34F7" w:rsidRDefault="000B34F7" w:rsidP="00BE4B51">
            <w:pPr>
              <w:rPr>
                <w:rFonts w:eastAsia="Times New Roman"/>
                <w:color w:val="000000"/>
                <w:lang w:eastAsia="ru-RU"/>
              </w:rPr>
            </w:pPr>
            <w:r w:rsidRPr="000B34F7">
              <w:t>цАМФ</w:t>
            </w:r>
          </w:p>
        </w:tc>
        <w:tc>
          <w:tcPr>
            <w:tcW w:w="7760" w:type="dxa"/>
          </w:tcPr>
          <w:p w14:paraId="5FEB1B5F" w14:textId="77777777" w:rsidR="000B34F7" w:rsidRPr="000B34F7" w:rsidRDefault="000B34F7" w:rsidP="00BE4B51">
            <w:pPr>
              <w:rPr>
                <w:color w:val="000000"/>
                <w:highlight w:val="yellow"/>
              </w:rPr>
            </w:pPr>
            <w:r w:rsidRPr="000B34F7">
              <w:rPr>
                <w:rFonts w:eastAsia="Times New Roman"/>
                <w:lang w:eastAsia="ru-RU"/>
              </w:rPr>
              <w:t>Циклический аденозинмонофосфат</w:t>
            </w:r>
          </w:p>
        </w:tc>
      </w:tr>
      <w:tr w:rsidR="000B34F7" w:rsidRPr="000B34F7" w14:paraId="75481DE6" w14:textId="77777777" w:rsidTr="00BE4B51">
        <w:tc>
          <w:tcPr>
            <w:tcW w:w="1585" w:type="dxa"/>
          </w:tcPr>
          <w:p w14:paraId="02ED0627" w14:textId="77777777" w:rsidR="000B34F7" w:rsidRPr="000B34F7" w:rsidRDefault="000B34F7" w:rsidP="00BE4B51">
            <w:r w:rsidRPr="000B34F7">
              <w:t xml:space="preserve">ЦНС </w:t>
            </w:r>
          </w:p>
        </w:tc>
        <w:tc>
          <w:tcPr>
            <w:tcW w:w="7760" w:type="dxa"/>
          </w:tcPr>
          <w:p w14:paraId="5A11BB37" w14:textId="77777777" w:rsidR="000B34F7" w:rsidRPr="000B34F7" w:rsidRDefault="000B34F7" w:rsidP="00BE4B51">
            <w:pPr>
              <w:rPr>
                <w:rFonts w:eastAsia="Times New Roman"/>
                <w:lang w:eastAsia="ru-RU"/>
              </w:rPr>
            </w:pPr>
            <w:r w:rsidRPr="000B34F7">
              <w:rPr>
                <w:rFonts w:eastAsia="Times New Roman"/>
                <w:lang w:eastAsia="ru-RU"/>
              </w:rPr>
              <w:t>Центральная нервная система</w:t>
            </w:r>
          </w:p>
        </w:tc>
      </w:tr>
      <w:tr w:rsidR="000B34F7" w:rsidRPr="000B34F7" w14:paraId="1343C876" w14:textId="77777777" w:rsidTr="00BE4B51">
        <w:tc>
          <w:tcPr>
            <w:tcW w:w="1585" w:type="dxa"/>
            <w:vAlign w:val="center"/>
          </w:tcPr>
          <w:p w14:paraId="6AAFE721" w14:textId="77777777" w:rsidR="000B34F7" w:rsidRPr="000B34F7" w:rsidRDefault="000B34F7" w:rsidP="00BE4B51">
            <w:r w:rsidRPr="000B34F7">
              <w:rPr>
                <w:color w:val="000000" w:themeColor="text1"/>
              </w:rPr>
              <w:t>ЭКГ</w:t>
            </w:r>
          </w:p>
        </w:tc>
        <w:tc>
          <w:tcPr>
            <w:tcW w:w="7760" w:type="dxa"/>
            <w:vAlign w:val="center"/>
          </w:tcPr>
          <w:p w14:paraId="7942D073" w14:textId="77777777" w:rsidR="000B34F7" w:rsidRPr="000B34F7" w:rsidRDefault="000B34F7" w:rsidP="00BE4B51">
            <w:pPr>
              <w:rPr>
                <w:rFonts w:eastAsia="Times New Roman"/>
                <w:lang w:eastAsia="ru-RU"/>
              </w:rPr>
            </w:pPr>
            <w:r w:rsidRPr="000B34F7">
              <w:rPr>
                <w:color w:val="000000" w:themeColor="text1"/>
              </w:rPr>
              <w:t>Электрокардиограмма</w:t>
            </w:r>
          </w:p>
        </w:tc>
      </w:tr>
    </w:tbl>
    <w:p w14:paraId="60957DBE" w14:textId="6205BE69" w:rsidR="000B34F7" w:rsidRDefault="000B34F7" w:rsidP="000B34F7"/>
    <w:p w14:paraId="11669A90" w14:textId="791533AB" w:rsidR="000B34F7" w:rsidRDefault="000B34F7" w:rsidP="000B34F7"/>
    <w:p w14:paraId="202E41F9" w14:textId="098DC15F" w:rsidR="00295007" w:rsidRPr="005E6358" w:rsidRDefault="00295007" w:rsidP="00295007">
      <w:pPr>
        <w:pStyle w:val="12"/>
        <w:pageBreakBefore/>
        <w:spacing w:line="240" w:lineRule="auto"/>
        <w:rPr>
          <w:rFonts w:cs="Times New Roman"/>
          <w:color w:val="000000" w:themeColor="text1"/>
          <w:szCs w:val="24"/>
        </w:rPr>
      </w:pPr>
      <w:bookmarkStart w:id="17" w:name="_Toc139361917"/>
      <w:r w:rsidRPr="005E6358">
        <w:rPr>
          <w:rFonts w:cs="Times New Roman"/>
          <w:color w:val="000000" w:themeColor="text1"/>
          <w:szCs w:val="24"/>
        </w:rPr>
        <w:lastRenderedPageBreak/>
        <w:t>ИСТОРИЯ ДОКУМЕНТА</w:t>
      </w:r>
      <w:bookmarkEnd w:id="7"/>
      <w:bookmarkEnd w:id="17"/>
    </w:p>
    <w:tbl>
      <w:tblPr>
        <w:tblStyle w:val="a8"/>
        <w:tblW w:w="0" w:type="auto"/>
        <w:tblInd w:w="-5" w:type="dxa"/>
        <w:tblLook w:val="04A0" w:firstRow="1" w:lastRow="0" w:firstColumn="1" w:lastColumn="0" w:noHBand="0" w:noVBand="1"/>
      </w:tblPr>
      <w:tblGrid>
        <w:gridCol w:w="2917"/>
        <w:gridCol w:w="6433"/>
      </w:tblGrid>
      <w:tr w:rsidR="00C3573B" w:rsidRPr="0038618C" w14:paraId="11B58E36" w14:textId="77777777" w:rsidTr="002E74BE">
        <w:trPr>
          <w:trHeight w:val="659"/>
        </w:trPr>
        <w:tc>
          <w:tcPr>
            <w:tcW w:w="2917" w:type="dxa"/>
            <w:shd w:val="clear" w:color="auto" w:fill="D9D9D9" w:themeFill="background1" w:themeFillShade="D9"/>
            <w:vAlign w:val="center"/>
          </w:tcPr>
          <w:p w14:paraId="055F93D6" w14:textId="77777777" w:rsidR="00C3573B" w:rsidRPr="00C3573B" w:rsidRDefault="00C3573B" w:rsidP="00C97EF5">
            <w:pPr>
              <w:jc w:val="center"/>
              <w:rPr>
                <w:b/>
              </w:rPr>
            </w:pPr>
            <w:r w:rsidRPr="00C3573B">
              <w:rPr>
                <w:b/>
              </w:rPr>
              <w:t xml:space="preserve">Версия </w:t>
            </w:r>
          </w:p>
        </w:tc>
        <w:tc>
          <w:tcPr>
            <w:tcW w:w="6433" w:type="dxa"/>
            <w:shd w:val="clear" w:color="auto" w:fill="D9D9D9" w:themeFill="background1" w:themeFillShade="D9"/>
            <w:vAlign w:val="center"/>
          </w:tcPr>
          <w:p w14:paraId="3EB71BE2" w14:textId="77777777" w:rsidR="00C3573B" w:rsidRPr="00C3573B" w:rsidRDefault="00C3573B" w:rsidP="00C97EF5">
            <w:pPr>
              <w:jc w:val="center"/>
              <w:rPr>
                <w:b/>
              </w:rPr>
            </w:pPr>
            <w:r w:rsidRPr="00C3573B">
              <w:rPr>
                <w:b/>
              </w:rPr>
              <w:t>Описание изменений</w:t>
            </w:r>
          </w:p>
        </w:tc>
      </w:tr>
      <w:tr w:rsidR="00C3573B" w:rsidRPr="000E22E4" w14:paraId="44B28A20" w14:textId="77777777" w:rsidTr="002E74BE">
        <w:trPr>
          <w:trHeight w:val="304"/>
        </w:trPr>
        <w:tc>
          <w:tcPr>
            <w:tcW w:w="2917" w:type="dxa"/>
            <w:shd w:val="clear" w:color="auto" w:fill="auto"/>
            <w:vAlign w:val="center"/>
          </w:tcPr>
          <w:p w14:paraId="7D1D70AD" w14:textId="3A0B5B2D" w:rsidR="00C3573B" w:rsidRPr="00C3573B" w:rsidRDefault="00C3573B" w:rsidP="00105893">
            <w:pPr>
              <w:jc w:val="center"/>
            </w:pPr>
            <w:r w:rsidRPr="00C3573B">
              <w:t xml:space="preserve">1.0 от </w:t>
            </w:r>
            <w:r w:rsidR="00BE477C">
              <w:t>23</w:t>
            </w:r>
            <w:r w:rsidR="00105893">
              <w:t>-июн-</w:t>
            </w:r>
            <w:r w:rsidRPr="00C3573B">
              <w:t>202</w:t>
            </w:r>
            <w:r>
              <w:t>3</w:t>
            </w:r>
            <w:r w:rsidRPr="00C3573B">
              <w:t xml:space="preserve"> г.</w:t>
            </w:r>
          </w:p>
        </w:tc>
        <w:tc>
          <w:tcPr>
            <w:tcW w:w="6433" w:type="dxa"/>
            <w:shd w:val="clear" w:color="auto" w:fill="auto"/>
            <w:vAlign w:val="center"/>
          </w:tcPr>
          <w:p w14:paraId="6D788C7D" w14:textId="77777777" w:rsidR="00C3573B" w:rsidRPr="00C3573B" w:rsidRDefault="00C3573B" w:rsidP="00C97EF5">
            <w:r w:rsidRPr="00C3573B">
              <w:t>Исходная версия.</w:t>
            </w:r>
          </w:p>
        </w:tc>
      </w:tr>
    </w:tbl>
    <w:p w14:paraId="1B5197FA" w14:textId="77777777" w:rsidR="00295007" w:rsidRPr="005E6358" w:rsidRDefault="00295007" w:rsidP="00295007">
      <w:pPr>
        <w:rPr>
          <w:color w:val="000000" w:themeColor="text1"/>
        </w:rPr>
      </w:pPr>
    </w:p>
    <w:p w14:paraId="24400B5E" w14:textId="77777777" w:rsidR="00295007" w:rsidRPr="005E6358" w:rsidRDefault="00295007" w:rsidP="00295007">
      <w:pPr>
        <w:rPr>
          <w:color w:val="000000" w:themeColor="text1"/>
        </w:rPr>
      </w:pPr>
    </w:p>
    <w:p w14:paraId="4800DBCE" w14:textId="77777777" w:rsidR="00295007" w:rsidRPr="005E6358" w:rsidRDefault="00295007" w:rsidP="00295007">
      <w:pPr>
        <w:rPr>
          <w:color w:val="000000" w:themeColor="text1"/>
        </w:rPr>
      </w:pPr>
    </w:p>
    <w:p w14:paraId="63FD52B0" w14:textId="77777777" w:rsidR="00295007" w:rsidRPr="005E6358" w:rsidRDefault="00295007" w:rsidP="00295007">
      <w:pPr>
        <w:rPr>
          <w:color w:val="000000" w:themeColor="text1"/>
        </w:rPr>
      </w:pPr>
    </w:p>
    <w:p w14:paraId="085A1683" w14:textId="77777777" w:rsidR="00295007" w:rsidRPr="005E6358" w:rsidRDefault="00295007" w:rsidP="00295007">
      <w:pPr>
        <w:tabs>
          <w:tab w:val="center" w:pos="4677"/>
        </w:tabs>
        <w:rPr>
          <w:color w:val="000000" w:themeColor="text1"/>
        </w:rPr>
        <w:sectPr w:rsidR="00295007" w:rsidRPr="005E6358" w:rsidSect="00C0440F">
          <w:pgSz w:w="11906" w:h="16838"/>
          <w:pgMar w:top="1393" w:right="850" w:bottom="1134" w:left="1701" w:header="708" w:footer="708" w:gutter="0"/>
          <w:cols w:space="708"/>
          <w:docGrid w:linePitch="360"/>
        </w:sectPr>
      </w:pPr>
      <w:r w:rsidRPr="005E6358">
        <w:rPr>
          <w:color w:val="000000" w:themeColor="text1"/>
        </w:rPr>
        <w:tab/>
      </w:r>
    </w:p>
    <w:p w14:paraId="031E5AA3" w14:textId="6CDABECC" w:rsidR="00295007" w:rsidRDefault="00295007" w:rsidP="00AC305F">
      <w:pPr>
        <w:pStyle w:val="12"/>
        <w:spacing w:before="0" w:line="240" w:lineRule="auto"/>
        <w:jc w:val="left"/>
        <w:rPr>
          <w:rFonts w:cs="Times New Roman"/>
          <w:color w:val="000000" w:themeColor="text1"/>
        </w:rPr>
      </w:pPr>
      <w:bookmarkStart w:id="18" w:name="_Toc139361918"/>
      <w:r w:rsidRPr="007A2314">
        <w:rPr>
          <w:rFonts w:cs="Times New Roman"/>
          <w:color w:val="000000" w:themeColor="text1"/>
        </w:rPr>
        <w:lastRenderedPageBreak/>
        <w:t>РЕЗЮМЕ</w:t>
      </w:r>
      <w:bookmarkEnd w:id="18"/>
    </w:p>
    <w:p w14:paraId="03D6E221" w14:textId="21284B88" w:rsidR="00E91F66" w:rsidRDefault="00E91F66" w:rsidP="00D51876">
      <w:pPr>
        <w:ind w:firstLine="709"/>
      </w:pPr>
      <w:r>
        <w:t>Всемирная организация здравоохранения</w:t>
      </w:r>
      <w:r w:rsidR="00074904">
        <w:t xml:space="preserve"> (ВОЗ)</w:t>
      </w:r>
      <w:r w:rsidRPr="00C0463C">
        <w:t xml:space="preserve"> признала </w:t>
      </w:r>
      <w:r>
        <w:t xml:space="preserve">сахарный </w:t>
      </w:r>
      <w:r w:rsidRPr="00C0463C">
        <w:t>диабет</w:t>
      </w:r>
      <w:r>
        <w:t xml:space="preserve"> (СД)</w:t>
      </w:r>
      <w:r w:rsidRPr="00C0463C">
        <w:t xml:space="preserve"> эпидемией 21 века. Мировые тенденции демонстрируют продолжающийся рост его распространенности примерно на 2,5 % в год</w:t>
      </w:r>
      <w:r>
        <w:t>. По данным Международной Диабетической Федерации численность пациентов с СД в возрасте 20-79 лет в мире на конец 2021 г. превысила 537 млн. человек. В Российской Федерации (РФ) по данным Федерального регистра СД на 2022 г. состояло на диспансерном учете 4,9 млн. человек (3,34% населения), из них у 9,3</w:t>
      </w:r>
      <w:r w:rsidR="0004596F">
        <w:t>% (</w:t>
      </w:r>
      <w:r>
        <w:t>4,5 млн.) –</w:t>
      </w:r>
      <w:r w:rsidR="00F958A4">
        <w:t xml:space="preserve"> </w:t>
      </w:r>
      <w:r>
        <w:t>с</w:t>
      </w:r>
      <w:r w:rsidRPr="006438A9">
        <w:t>ахарный диабет 2 типа (СД 2)</w:t>
      </w:r>
      <w:r>
        <w:t xml:space="preserve">, 5,6% (272 тыс.) – СД 1 и 2,1% (102 тыс.) </w:t>
      </w:r>
      <w:r w:rsidR="00963C97">
        <w:t>–</w:t>
      </w:r>
      <w:r>
        <w:t xml:space="preserve"> другие типы СД, в том числе у 9729 человек гестационный СД. Показатели смертности от СД составляют </w:t>
      </w:r>
      <w:r w:rsidRPr="005C1889">
        <w:t>7%, 12% и 10% в странах с низким, средним и высоким уровнем дохода, соответственно</w:t>
      </w:r>
      <w:r>
        <w:t>.</w:t>
      </w:r>
    </w:p>
    <w:p w14:paraId="65ADC5C2" w14:textId="6AA628AA" w:rsidR="00E91F66" w:rsidRDefault="00E91F66" w:rsidP="00D51876">
      <w:pPr>
        <w:ind w:firstLine="709"/>
      </w:pPr>
      <w:r>
        <w:t>СД 2</w:t>
      </w:r>
      <w:r w:rsidR="007E5CDB">
        <w:t xml:space="preserve"> </w:t>
      </w:r>
      <w:r w:rsidR="00963C97">
        <w:t xml:space="preserve">– </w:t>
      </w:r>
      <w:r w:rsidR="004E409C">
        <w:t>н</w:t>
      </w:r>
      <w:r>
        <w:t>арушение углеводного обмена, вызванное преимущественной инсулинорезистентностью и относительной инсулиновой недостаточностью или преимущественным нарушением секреции инсулина с инсулинорезистентностью или без нее. СД 2 чаще развивается у лиц старше 40 лет с избыточной массой тела или ожирением (особенно абдоминальным его типом), но может развиваться и в более молодом возрасте, и у лиц с нормальной массой тела.</w:t>
      </w:r>
    </w:p>
    <w:p w14:paraId="24B19E69" w14:textId="1076384A" w:rsidR="000B34F7" w:rsidRDefault="000B34F7" w:rsidP="00D51876">
      <w:pPr>
        <w:ind w:firstLine="709"/>
        <w:rPr>
          <w:noProof/>
        </w:rPr>
      </w:pPr>
      <w:r w:rsidRPr="0046364A">
        <w:rPr>
          <w:noProof/>
        </w:rPr>
        <w:t xml:space="preserve">Линаглиптин является перорально активным низкомолекулярным ингибитором </w:t>
      </w:r>
      <w:r>
        <w:rPr>
          <w:noProof/>
        </w:rPr>
        <w:t>ДПП-4</w:t>
      </w:r>
      <w:r w:rsidRPr="0046364A">
        <w:rPr>
          <w:noProof/>
        </w:rPr>
        <w:t xml:space="preserve">, который был впервые </w:t>
      </w:r>
      <w:r>
        <w:rPr>
          <w:noProof/>
        </w:rPr>
        <w:t>зарегистрирован</w:t>
      </w:r>
      <w:r w:rsidRPr="0046364A">
        <w:rPr>
          <w:noProof/>
        </w:rPr>
        <w:t xml:space="preserve"> в США, Европе, Японии и других странах в 2011 году для улучшения гликемического контроля у взрослых с сахарным диабетом 2 типа.</w:t>
      </w:r>
      <w:r>
        <w:rPr>
          <w:noProof/>
        </w:rPr>
        <w:t xml:space="preserve"> В РФ препарат зарегистрирован  2012 году. </w:t>
      </w:r>
      <w:r w:rsidRPr="0046364A">
        <w:rPr>
          <w:noProof/>
        </w:rPr>
        <w:t xml:space="preserve">Линаглиптин является первым и пока единственным ингибитором ДПП-4 и пероральным сахароснижающим препаратом в целом, одобренным в виде однократной дозы для приема один раз в сутки (5 мг). По сравнению с другими доступными ингибиторами ДПП-4, линаглиптин имеет уникальный фармакокинетический/фармакодинамический профиль, который характеризуется нелинейной фармакокинетикой, опосредованной мишенью, зависимым от концентрации связыванием с белками, минимальным почечным клиренсом и отсутствием необходимости в коррекции дозы </w:t>
      </w:r>
      <w:r>
        <w:rPr>
          <w:noProof/>
        </w:rPr>
        <w:t>из-за</w:t>
      </w:r>
      <w:r w:rsidRPr="0046364A">
        <w:rPr>
          <w:noProof/>
        </w:rPr>
        <w:t xml:space="preserve"> какого-либо внутреннего или внешнего фактора</w:t>
      </w:r>
      <w:r>
        <w:rPr>
          <w:noProof/>
        </w:rPr>
        <w:t xml:space="preserve">. </w:t>
      </w:r>
    </w:p>
    <w:p w14:paraId="4D16E7E7" w14:textId="1E03DBAA" w:rsidR="000B34F7" w:rsidRDefault="000B34F7" w:rsidP="00741EEA">
      <w:pPr>
        <w:ind w:firstLine="709"/>
        <w:rPr>
          <w:noProof/>
        </w:rPr>
      </w:pPr>
      <w:r>
        <w:rPr>
          <w:noProof/>
        </w:rPr>
        <w:t>Клинические рекомендации по лечению СД 2 типа в последней редакции рекомендуют раннее назначение ДПП-4, в том числе линаглиптин</w:t>
      </w:r>
      <w:r w:rsidR="00D51876">
        <w:rPr>
          <w:noProof/>
        </w:rPr>
        <w:t>а</w:t>
      </w:r>
      <w:r>
        <w:rPr>
          <w:noProof/>
        </w:rPr>
        <w:t xml:space="preserve"> у пациентов в дебюте СД 2 типа в составе комбинированной терапии. Комбинированная терапия может иметь преимущества в отношении долгосрочного удержания гликемического контроля даже при незначительном превышении целевого уровня HbA1c.</w:t>
      </w:r>
    </w:p>
    <w:p w14:paraId="4D55CDF2" w14:textId="77777777" w:rsidR="00E91F66" w:rsidRDefault="00E91F66" w:rsidP="00741EEA">
      <w:pPr>
        <w:ind w:firstLine="709"/>
        <w:rPr>
          <w:bCs/>
          <w:color w:val="FF0000"/>
        </w:rPr>
      </w:pPr>
      <w:r w:rsidRPr="00AF7CFB">
        <w:rPr>
          <w:color w:val="000000" w:themeColor="text1"/>
        </w:rPr>
        <w:t xml:space="preserve">Для изучения </w:t>
      </w:r>
      <w:r w:rsidRPr="009C3181">
        <w:rPr>
          <w:bCs/>
        </w:rPr>
        <w:t>линаглиптин</w:t>
      </w:r>
      <w:r>
        <w:rPr>
          <w:color w:val="000000" w:themeColor="text1"/>
        </w:rPr>
        <w:t>а</w:t>
      </w:r>
      <w:r w:rsidRPr="009C3181">
        <w:rPr>
          <w:color w:val="000000" w:themeColor="text1"/>
        </w:rPr>
        <w:t xml:space="preserve"> </w:t>
      </w:r>
      <w:r w:rsidRPr="00AF7CFB">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AF7CFB">
        <w:rPr>
          <w:i/>
          <w:iCs/>
          <w:color w:val="000000" w:themeColor="text1"/>
        </w:rPr>
        <w:t>in vitro</w:t>
      </w:r>
      <w:r w:rsidRPr="00AF7CFB">
        <w:rPr>
          <w:color w:val="000000" w:themeColor="text1"/>
        </w:rPr>
        <w:t xml:space="preserve">, так и </w:t>
      </w:r>
      <w:r w:rsidRPr="00AF7CFB">
        <w:rPr>
          <w:i/>
          <w:iCs/>
          <w:color w:val="000000" w:themeColor="text1"/>
        </w:rPr>
        <w:t>in vivo</w:t>
      </w:r>
      <w:r w:rsidRPr="00AF7CFB">
        <w:rPr>
          <w:color w:val="000000" w:themeColor="text1"/>
        </w:rPr>
        <w:t xml:space="preserve">, в результате которых были хорошо изучены фармакодинамические, фармакокинетические и токсикологические свойства </w:t>
      </w:r>
      <w:r w:rsidRPr="009C3181">
        <w:rPr>
          <w:bCs/>
        </w:rPr>
        <w:t>линаглиптина.</w:t>
      </w:r>
    </w:p>
    <w:p w14:paraId="0544A0C7" w14:textId="573967A6" w:rsidR="00E91F66" w:rsidRDefault="00E91F66" w:rsidP="00741EEA">
      <w:pPr>
        <w:ind w:firstLine="709"/>
      </w:pPr>
      <w:r>
        <w:t>При оценке влияния линаглиптина на уровень глюкозы в крови здоровых крыс, собак и обезьян было выяснено, что снижени</w:t>
      </w:r>
      <w:r w:rsidR="009551A9">
        <w:t>е</w:t>
      </w:r>
      <w:r>
        <w:t xml:space="preserve"> уровня глюкозы в крови ожидается при примерно 80% ингибировании </w:t>
      </w:r>
      <w:r w:rsidRPr="00DB6987">
        <w:t>ДПП-4</w:t>
      </w:r>
      <w:r>
        <w:t xml:space="preserve">. Ингибирование </w:t>
      </w:r>
      <w:r w:rsidRPr="00DB6987">
        <w:t>ДПП-4</w:t>
      </w:r>
      <w:r>
        <w:t xml:space="preserve"> </w:t>
      </w:r>
      <w:r w:rsidRPr="00987CD0">
        <w:rPr>
          <w:i/>
          <w:iCs/>
        </w:rPr>
        <w:t>in viv</w:t>
      </w:r>
      <w:r w:rsidRPr="009551A9">
        <w:rPr>
          <w:i/>
        </w:rPr>
        <w:t>o</w:t>
      </w:r>
      <w:r>
        <w:t xml:space="preserve"> происходило быстро, в течение 30 минут после перорального приема линаглиптина</w:t>
      </w:r>
      <w:r w:rsidR="00741EEA">
        <w:t>, что продемонстрировано</w:t>
      </w:r>
      <w:r>
        <w:t xml:space="preserve"> </w:t>
      </w:r>
      <w:r w:rsidR="00741EEA">
        <w:t>на</w:t>
      </w:r>
      <w:r>
        <w:t xml:space="preserve"> модели здоровых крыс, собак и обезьян. </w:t>
      </w:r>
    </w:p>
    <w:p w14:paraId="660BB33B" w14:textId="263390CB" w:rsidR="00E91F66" w:rsidRDefault="00E91F66" w:rsidP="00741EEA">
      <w:pPr>
        <w:ind w:firstLine="709"/>
      </w:pPr>
      <w:bookmarkStart w:id="19" w:name="_Hlk118184395"/>
      <w:r w:rsidRPr="00E91F66">
        <w:t>Токсичность при однократном и многократном введении линаглиптина изучали у крыс, собак и обезьян.</w:t>
      </w:r>
      <w:r>
        <w:t xml:space="preserve"> </w:t>
      </w:r>
      <w:bookmarkEnd w:id="19"/>
      <w:r>
        <w:t xml:space="preserve">Линаглиптин в целом хорошо переносился здоровыми животными и животными с диабетом. Необратимая и/или неконтролируемая токсичность возникала только при очень высоких дозах, </w:t>
      </w:r>
      <w:r w:rsidR="00741EEA">
        <w:t>превышавших</w:t>
      </w:r>
      <w:r>
        <w:t xml:space="preserve"> </w:t>
      </w:r>
      <w:r w:rsidR="00741EEA" w:rsidRPr="00543150">
        <w:t>максимально рекомендованн</w:t>
      </w:r>
      <w:r w:rsidR="00741EEA">
        <w:t>ую</w:t>
      </w:r>
      <w:r w:rsidR="00741EEA" w:rsidRPr="00543150">
        <w:t xml:space="preserve"> доз</w:t>
      </w:r>
      <w:r w:rsidR="00741EEA">
        <w:t>у</w:t>
      </w:r>
      <w:r w:rsidR="00741EEA" w:rsidRPr="00543150">
        <w:t xml:space="preserve"> </w:t>
      </w:r>
      <w:r w:rsidR="00741EEA">
        <w:t xml:space="preserve">для </w:t>
      </w:r>
      <w:r w:rsidR="00741EEA" w:rsidRPr="00543150">
        <w:t>человека</w:t>
      </w:r>
      <w:r w:rsidR="00741EEA">
        <w:t xml:space="preserve"> в </w:t>
      </w:r>
      <w:r>
        <w:t xml:space="preserve">50 </w:t>
      </w:r>
      <w:r w:rsidR="00741EEA">
        <w:t>раз</w:t>
      </w:r>
      <w:r>
        <w:t>.</w:t>
      </w:r>
      <w:r w:rsidRPr="00543150">
        <w:t xml:space="preserve"> </w:t>
      </w:r>
    </w:p>
    <w:p w14:paraId="0BF0856B" w14:textId="3F7B8F2E" w:rsidR="00E91F66" w:rsidRPr="00DE2165" w:rsidRDefault="009021D2" w:rsidP="00741EEA">
      <w:pPr>
        <w:ind w:firstLine="709"/>
      </w:pPr>
      <w:r>
        <w:lastRenderedPageBreak/>
        <w:t xml:space="preserve">При проведении регистрационных клинических исследований </w:t>
      </w:r>
      <w:r w:rsidR="000B34F7">
        <w:t>3</w:t>
      </w:r>
      <w:r w:rsidR="00E91F66" w:rsidRPr="00DE2165">
        <w:t xml:space="preserve"> фазы</w:t>
      </w:r>
      <w:r>
        <w:t xml:space="preserve">, была изучена </w:t>
      </w:r>
      <w:r w:rsidR="00E91F66" w:rsidRPr="00DE2165">
        <w:t xml:space="preserve">эффективность линаглиптина в монотерапии и в комбинации с 3 важными </w:t>
      </w:r>
      <w:r w:rsidR="00BF2C98">
        <w:t>гипогликемическими</w:t>
      </w:r>
      <w:r w:rsidR="00E91F66" w:rsidRPr="00DE2165">
        <w:t xml:space="preserve"> препаратами: метформином, сульфонилмочевиной и пиоглитазоном. </w:t>
      </w:r>
    </w:p>
    <w:p w14:paraId="1ED69338" w14:textId="03DF8BBD" w:rsidR="00E91F66" w:rsidRDefault="00E91F66" w:rsidP="00741EEA">
      <w:pPr>
        <w:ind w:firstLine="709"/>
      </w:pPr>
      <w:r w:rsidRPr="00DE2165">
        <w:t xml:space="preserve">Линаглиптин в качестве </w:t>
      </w:r>
      <w:r w:rsidRPr="00E91F66">
        <w:t>монотерапии</w:t>
      </w:r>
      <w:r w:rsidRPr="00DE2165">
        <w:t xml:space="preserve"> у пациентов, которым противопоказан метформин</w:t>
      </w:r>
      <w:r w:rsidR="00AC305F">
        <w:t>,</w:t>
      </w:r>
      <w:r>
        <w:t xml:space="preserve"> </w:t>
      </w:r>
      <w:r w:rsidRPr="00DE2165">
        <w:t xml:space="preserve">был оценен в двойном слепом плацебо-контролируемом исследовании продолжительностью 24 недели. </w:t>
      </w:r>
      <w:r w:rsidR="009706B1">
        <w:t>Л</w:t>
      </w:r>
      <w:r w:rsidRPr="00DE2165">
        <w:t xml:space="preserve">ечение линаглиптином привело к </w:t>
      </w:r>
      <w:r w:rsidR="00EF59AE">
        <w:t>снижению</w:t>
      </w:r>
      <w:r w:rsidRPr="00DE2165">
        <w:t xml:space="preserve"> HbA1c по сравнению с исходным уровнем на -0,69% (p &lt; 0,0001) через 24 недели.</w:t>
      </w:r>
    </w:p>
    <w:p w14:paraId="63C3F2FD" w14:textId="34A5AECE" w:rsidR="00E91F66" w:rsidRDefault="00E91F66" w:rsidP="00741EEA">
      <w:pPr>
        <w:ind w:firstLine="709"/>
      </w:pPr>
      <w:r w:rsidRPr="00F26DB3">
        <w:t>Для изучени</w:t>
      </w:r>
      <w:r w:rsidR="00D376D7">
        <w:t xml:space="preserve">я эффективности </w:t>
      </w:r>
      <w:r w:rsidRPr="00F26DB3">
        <w:t>комбинаци</w:t>
      </w:r>
      <w:r w:rsidR="00AC305F">
        <w:t>и</w:t>
      </w:r>
      <w:r w:rsidRPr="00F26DB3">
        <w:t xml:space="preserve"> </w:t>
      </w:r>
      <w:r w:rsidRPr="00E91F66">
        <w:t>линаглиптина с пиоглитазоном</w:t>
      </w:r>
      <w:r w:rsidRPr="00F26DB3">
        <w:t xml:space="preserve"> проведено рандомизированное двойное слепое плацебо-контролируемое исследование.</w:t>
      </w:r>
      <w:r>
        <w:t xml:space="preserve"> </w:t>
      </w:r>
      <w:r w:rsidRPr="00F26DB3">
        <w:t>В результате 24 недел</w:t>
      </w:r>
      <w:r w:rsidR="009706B1">
        <w:t>ь</w:t>
      </w:r>
      <w:r w:rsidRPr="00F26DB3">
        <w:t xml:space="preserve"> лечения среднее изменение (± стандартное отклонение) </w:t>
      </w:r>
      <w:r>
        <w:t>HbA</w:t>
      </w:r>
      <w:r w:rsidRPr="00F26DB3">
        <w:t>1</w:t>
      </w:r>
      <w:r>
        <w:t>c</w:t>
      </w:r>
      <w:r w:rsidRPr="00F26DB3">
        <w:t xml:space="preserve"> для начальной комбинации линаглиптина и пиоглитазона составило -1,06% (±0,06) по сравнению с -0,56% (±0,09) для плацебо плюс пиоглитазон. </w:t>
      </w:r>
    </w:p>
    <w:p w14:paraId="15CF0AD1" w14:textId="4E5A660E" w:rsidR="00E91F66" w:rsidRPr="004B1452" w:rsidRDefault="00E91F66" w:rsidP="00741EEA">
      <w:pPr>
        <w:ind w:firstLine="709"/>
      </w:pPr>
      <w:r w:rsidRPr="004B1452">
        <w:t>Для изучени</w:t>
      </w:r>
      <w:r w:rsidR="002C2B61">
        <w:t>я</w:t>
      </w:r>
      <w:r w:rsidR="00D376D7">
        <w:t xml:space="preserve"> </w:t>
      </w:r>
      <w:r w:rsidR="002C2B61">
        <w:t xml:space="preserve">эффективности </w:t>
      </w:r>
      <w:r w:rsidR="002C2B61" w:rsidRPr="00F26DB3">
        <w:t>комбинации</w:t>
      </w:r>
      <w:r w:rsidRPr="004B1452">
        <w:t xml:space="preserve"> линаглиптина с метформином</w:t>
      </w:r>
      <w:r w:rsidRPr="004B1452">
        <w:rPr>
          <w:i/>
          <w:iCs/>
        </w:rPr>
        <w:t xml:space="preserve"> </w:t>
      </w:r>
      <w:r w:rsidRPr="004B1452">
        <w:t>проведено международное рандомизированное двойное слепое плацебо-контролируемое исследование</w:t>
      </w:r>
      <w:r w:rsidR="004B1452" w:rsidRPr="004B1452">
        <w:t xml:space="preserve">. </w:t>
      </w:r>
      <w:r w:rsidR="002C2B61">
        <w:t>Л</w:t>
      </w:r>
      <w:r w:rsidRPr="004B1452">
        <w:t xml:space="preserve">инаглиптин </w:t>
      </w:r>
      <w:r w:rsidR="002C2B61">
        <w:t>продемонстрировал</w:t>
      </w:r>
      <w:r w:rsidRPr="004B1452">
        <w:t xml:space="preserve"> значительное снижение по сравнению с плацебо средн</w:t>
      </w:r>
      <w:r w:rsidR="00310CE5">
        <w:t>его</w:t>
      </w:r>
      <w:r w:rsidRPr="004B1452">
        <w:t xml:space="preserve"> изменени</w:t>
      </w:r>
      <w:r w:rsidR="00310CE5">
        <w:t>я</w:t>
      </w:r>
      <w:r w:rsidRPr="004B1452">
        <w:t xml:space="preserve"> по сравнению с исходным уровнем</w:t>
      </w:r>
      <w:r w:rsidR="00310CE5">
        <w:t xml:space="preserve"> для следующих показателей:</w:t>
      </w:r>
      <w:r w:rsidRPr="004B1452">
        <w:t xml:space="preserve"> HbA1c (-0,49 против 0,15%), ГПН (-0,59 против 0,58 ммоль/л) глюкозы в </w:t>
      </w:r>
      <w:r w:rsidR="002C2B61" w:rsidRPr="004B1452">
        <w:t>крови через</w:t>
      </w:r>
      <w:r w:rsidRPr="004B1452">
        <w:t xml:space="preserve"> 2 часа после приема пищи (-2,7 против 0,7 ммоль/л) 1,0 ммоль/л)</w:t>
      </w:r>
      <w:r w:rsidR="00BF2C98">
        <w:t>, все изменения были статистически достоверными в сравнении с плацебо</w:t>
      </w:r>
      <w:r w:rsidRPr="004B1452">
        <w:t xml:space="preserve">. Добавление линаглиптина в дозе 5 мг 1 раз в сутки </w:t>
      </w:r>
      <w:r w:rsidR="00BF2C98">
        <w:t xml:space="preserve">в </w:t>
      </w:r>
      <w:r w:rsidR="00310CE5">
        <w:t xml:space="preserve">режим лечения </w:t>
      </w:r>
      <w:r w:rsidRPr="004B1452">
        <w:t>пациентов с сахарным диабетом 2 типа, недостаточно контролируемым метформином, приводило к значительно</w:t>
      </w:r>
      <w:r w:rsidR="009363B6">
        <w:t>му</w:t>
      </w:r>
      <w:r w:rsidRPr="004B1452">
        <w:t xml:space="preserve"> и клинически значимо</w:t>
      </w:r>
      <w:r w:rsidR="00BF2C98">
        <w:t xml:space="preserve">му </w:t>
      </w:r>
      <w:r w:rsidRPr="004B1452">
        <w:t>улучшени</w:t>
      </w:r>
      <w:r w:rsidR="009363B6">
        <w:t>ю</w:t>
      </w:r>
      <w:r w:rsidRPr="004B1452">
        <w:t xml:space="preserve"> гликемического контроля без увеличения риска гипогликемии.</w:t>
      </w:r>
    </w:p>
    <w:p w14:paraId="7343648A" w14:textId="5E55B8F8" w:rsidR="00E91F66" w:rsidRDefault="004B1452" w:rsidP="00AC305F">
      <w:pPr>
        <w:ind w:firstLine="709"/>
      </w:pPr>
      <w:r w:rsidRPr="004B1452">
        <w:t>В анализ безопасности</w:t>
      </w:r>
      <w:r w:rsidRPr="00296518">
        <w:t xml:space="preserve"> </w:t>
      </w:r>
      <w:r w:rsidR="00DF79F4">
        <w:t xml:space="preserve">были </w:t>
      </w:r>
      <w:r w:rsidRPr="00296518">
        <w:t>включены исследования, которые проводились у пациентов с СД 2</w:t>
      </w:r>
      <w:r>
        <w:t xml:space="preserve">. </w:t>
      </w:r>
      <w:r w:rsidR="00C7418B">
        <w:t>Всего в анализ включено</w:t>
      </w:r>
      <w:r w:rsidRPr="00C41DF0">
        <w:t xml:space="preserve"> 6198 пациентов. Из них 4687</w:t>
      </w:r>
      <w:r>
        <w:t xml:space="preserve"> </w:t>
      </w:r>
      <w:r w:rsidRPr="00C41DF0">
        <w:t xml:space="preserve">пациентов </w:t>
      </w:r>
      <w:r w:rsidR="00E67ACE">
        <w:t>принимали</w:t>
      </w:r>
      <w:r w:rsidR="0053468A">
        <w:t xml:space="preserve"> линаглиптин</w:t>
      </w:r>
      <w:r w:rsidRPr="00C41DF0">
        <w:t xml:space="preserve"> (в любой дозе</w:t>
      </w:r>
      <w:r w:rsidR="00C7418B" w:rsidRPr="00C41DF0">
        <w:t>), 4040</w:t>
      </w:r>
      <w:r w:rsidRPr="00C41DF0">
        <w:t xml:space="preserve"> пациентов </w:t>
      </w:r>
      <w:r w:rsidR="00E67ACE">
        <w:t>принимали</w:t>
      </w:r>
      <w:r w:rsidRPr="00C41DF0">
        <w:t xml:space="preserve"> линаглиптин в дозе 5 мг </w:t>
      </w:r>
      <w:r>
        <w:t>один раз в день</w:t>
      </w:r>
      <w:r w:rsidRPr="00C41DF0">
        <w:t>.</w:t>
      </w:r>
      <w:r w:rsidR="00AC305F">
        <w:t xml:space="preserve"> </w:t>
      </w:r>
      <w:r w:rsidR="0053468A">
        <w:t>Г</w:t>
      </w:r>
      <w:r w:rsidRPr="00235E81">
        <w:t>ипергликемия возникала с большей частотой в группе плацебо, чем в группе л</w:t>
      </w:r>
      <w:r w:rsidR="0053468A">
        <w:t>инаглиптина (10,6% против 5,0%) и</w:t>
      </w:r>
      <w:r w:rsidRPr="00235E81">
        <w:t xml:space="preserve"> наоборот, гипогликемия реже встречалась в группе плацебо (4,1%), чем в группе линаглиптина (7,6%). </w:t>
      </w:r>
      <w:r w:rsidR="00DF79F4">
        <w:t>И</w:t>
      </w:r>
      <w:r w:rsidRPr="00235E81">
        <w:t xml:space="preserve">нфекции и инвазии были наиболее частыми побочными </w:t>
      </w:r>
      <w:r w:rsidR="00E67ACE">
        <w:t>реакциями</w:t>
      </w:r>
      <w:r w:rsidRPr="00235E81">
        <w:t xml:space="preserve">. Нарушения </w:t>
      </w:r>
      <w:r w:rsidR="00E67ACE">
        <w:t xml:space="preserve">со стороны </w:t>
      </w:r>
      <w:r w:rsidRPr="00235E81">
        <w:t xml:space="preserve">опорно-двигательного аппарата и соединительной ткани; респираторные, торакальные и медиастинальные </w:t>
      </w:r>
      <w:r w:rsidR="00E67ACE">
        <w:t>нарушения</w:t>
      </w:r>
      <w:r w:rsidRPr="00235E81">
        <w:t xml:space="preserve">, а также сосудистые расстройства встречались с большей частотой в группе линаглиптина, </w:t>
      </w:r>
      <w:r w:rsidR="00DF79F4">
        <w:t>чем в группе плацебо.</w:t>
      </w:r>
    </w:p>
    <w:p w14:paraId="50130F94" w14:textId="6095F7CF" w:rsidR="00E91F66" w:rsidRPr="002561BB" w:rsidRDefault="004B1452" w:rsidP="00741EEA">
      <w:pPr>
        <w:ind w:firstLine="709"/>
      </w:pPr>
      <w:r>
        <w:t xml:space="preserve">Одним из основных преимуществ применение линаглиптина перед другими гипогликемическими препаратами является его безопасное использование у пациентов с </w:t>
      </w:r>
      <w:r w:rsidRPr="002561BB">
        <w:t xml:space="preserve">почечной и печеночной недостаточностью и у пациентов с сердечно-сосудистыми </w:t>
      </w:r>
      <w:r w:rsidR="0053468A" w:rsidRPr="002561BB">
        <w:t>заболеваниями, возможность</w:t>
      </w:r>
      <w:r w:rsidRPr="002561BB">
        <w:t xml:space="preserve"> сочетать с другими гипогликемическими препаратами.</w:t>
      </w:r>
    </w:p>
    <w:p w14:paraId="7450B90F" w14:textId="023C88F7" w:rsidR="00AC305F" w:rsidRPr="00AC305F" w:rsidRDefault="00AC305F" w:rsidP="00AC305F">
      <w:pPr>
        <w:ind w:firstLine="709"/>
        <w:rPr>
          <w:color w:val="000000"/>
        </w:rPr>
      </w:pPr>
      <w:r w:rsidRPr="002561BB">
        <w:rPr>
          <w:bCs/>
          <w:lang w:val="en-US" w:eastAsia="ru-RU"/>
        </w:rPr>
        <w:t>D</w:t>
      </w:r>
      <w:r w:rsidRPr="002561BB">
        <w:rPr>
          <w:lang w:val="en-US"/>
        </w:rPr>
        <w:t>T</w:t>
      </w:r>
      <w:r w:rsidRPr="002561BB">
        <w:t>-</w:t>
      </w:r>
      <w:r w:rsidR="009876A5" w:rsidRPr="002561BB">
        <w:rPr>
          <w:lang w:val="en-US"/>
        </w:rPr>
        <w:t>LNG</w:t>
      </w:r>
      <w:r w:rsidRPr="002561BB">
        <w:rPr>
          <w:bCs/>
          <w:lang w:eastAsia="ru-RU"/>
        </w:rPr>
        <w:t>, таблетки</w:t>
      </w:r>
      <w:r w:rsidR="009876A5" w:rsidRPr="002561BB">
        <w:rPr>
          <w:bCs/>
          <w:lang w:eastAsia="ru-RU"/>
        </w:rPr>
        <w:t>, покрытыте пленочной оболочкой, 5</w:t>
      </w:r>
      <w:r w:rsidRPr="002561BB">
        <w:rPr>
          <w:bCs/>
          <w:lang w:eastAsia="ru-RU"/>
        </w:rPr>
        <w:t xml:space="preserve"> мг, </w:t>
      </w:r>
      <w:r w:rsidR="006475B5">
        <w:rPr>
          <w:bCs/>
          <w:lang w:eastAsia="ru-RU"/>
        </w:rPr>
        <w:t>–</w:t>
      </w:r>
      <w:r w:rsidRPr="002561BB">
        <w:rPr>
          <w:bCs/>
          <w:lang w:eastAsia="ru-RU"/>
        </w:rPr>
        <w:t xml:space="preserve"> воспроизведенный препарат </w:t>
      </w:r>
      <w:r w:rsidR="009876A5" w:rsidRPr="002561BB">
        <w:rPr>
          <w:bCs/>
          <w:lang w:eastAsia="ru-RU"/>
        </w:rPr>
        <w:t>линаглиптина</w:t>
      </w:r>
      <w:r w:rsidRPr="002561BB">
        <w:rPr>
          <w:bCs/>
          <w:lang w:eastAsia="ru-RU"/>
        </w:rPr>
        <w:t xml:space="preserve">, разработанный дочерним подразделением ГК «Р-Фарм», Россия – ООО «Технология лекарств», по заказу АО «Р-Фарм». </w:t>
      </w:r>
      <w:r w:rsidRPr="002561BB">
        <w:rPr>
          <w:color w:val="000000"/>
        </w:rPr>
        <w:t xml:space="preserve">Он полностью соответствует по качественному и количественному составу действующего </w:t>
      </w:r>
      <w:r w:rsidR="009D4261" w:rsidRPr="002561BB">
        <w:rPr>
          <w:color w:val="000000"/>
        </w:rPr>
        <w:t xml:space="preserve">вещества </w:t>
      </w:r>
      <w:r w:rsidRPr="002561BB">
        <w:rPr>
          <w:color w:val="000000"/>
        </w:rPr>
        <w:t xml:space="preserve">и </w:t>
      </w:r>
      <w:r w:rsidR="009D4261" w:rsidRPr="002561BB">
        <w:rPr>
          <w:color w:val="000000"/>
        </w:rPr>
        <w:t>каче</w:t>
      </w:r>
      <w:r w:rsidR="005A70D0">
        <w:rPr>
          <w:color w:val="000000"/>
        </w:rPr>
        <w:t>ст</w:t>
      </w:r>
      <w:r w:rsidR="009D4261" w:rsidRPr="002561BB">
        <w:rPr>
          <w:color w:val="000000"/>
        </w:rPr>
        <w:t xml:space="preserve">венному составу </w:t>
      </w:r>
      <w:r w:rsidRPr="002561BB">
        <w:rPr>
          <w:color w:val="000000"/>
        </w:rPr>
        <w:t xml:space="preserve">вспомогательных веществ, лекарственной форме и дозировке референтному препарату </w:t>
      </w:r>
      <w:r w:rsidR="009876A5" w:rsidRPr="002561BB">
        <w:rPr>
          <w:color w:val="000000"/>
        </w:rPr>
        <w:t>линаглиптина</w:t>
      </w:r>
      <w:r w:rsidRPr="002561BB">
        <w:rPr>
          <w:color w:val="000000"/>
        </w:rPr>
        <w:t xml:space="preserve"> </w:t>
      </w:r>
      <w:r w:rsidR="00B30CAE" w:rsidRPr="002561BB">
        <w:t>Тражента</w:t>
      </w:r>
      <w:r w:rsidRPr="002561BB">
        <w:rPr>
          <w:vertAlign w:val="superscript"/>
          <w:lang w:eastAsia="ru-RU"/>
        </w:rPr>
        <w:t>®</w:t>
      </w:r>
      <w:r w:rsidRPr="002561BB">
        <w:rPr>
          <w:rFonts w:eastAsia="Calibri"/>
        </w:rPr>
        <w:t xml:space="preserve"> </w:t>
      </w:r>
      <w:r w:rsidRPr="002561BB">
        <w:rPr>
          <w:color w:val="000000"/>
        </w:rPr>
        <w:t xml:space="preserve">(владелец РУ </w:t>
      </w:r>
      <w:r w:rsidR="006475B5">
        <w:rPr>
          <w:color w:val="000000"/>
        </w:rPr>
        <w:t>–</w:t>
      </w:r>
      <w:r w:rsidRPr="002561BB">
        <w:rPr>
          <w:color w:val="000000"/>
        </w:rPr>
        <w:t xml:space="preserve"> </w:t>
      </w:r>
      <w:r w:rsidR="00B30CAE" w:rsidRPr="002561BB">
        <w:rPr>
          <w:rFonts w:eastAsia="Calibri"/>
          <w:bCs/>
        </w:rPr>
        <w:t>Берингер Ингельхайм Интернешнл ГмбХ, Германия</w:t>
      </w:r>
      <w:r w:rsidRPr="002561BB">
        <w:rPr>
          <w:color w:val="000000"/>
        </w:rPr>
        <w:t>)</w:t>
      </w:r>
      <w:r w:rsidR="009D4261" w:rsidRPr="002561BB">
        <w:rPr>
          <w:color w:val="000000"/>
        </w:rPr>
        <w:t>, имея различия</w:t>
      </w:r>
      <w:r w:rsidR="004E409C">
        <w:rPr>
          <w:color w:val="000000"/>
        </w:rPr>
        <w:t xml:space="preserve"> в количественном составе вспомо</w:t>
      </w:r>
      <w:r w:rsidR="009D4261" w:rsidRPr="002561BB">
        <w:rPr>
          <w:color w:val="000000"/>
        </w:rPr>
        <w:t xml:space="preserve">гательных веществ и </w:t>
      </w:r>
      <w:r w:rsidR="00CB01A9" w:rsidRPr="002561BB">
        <w:rPr>
          <w:color w:val="000000"/>
        </w:rPr>
        <w:t>в составе пленочной оболочки</w:t>
      </w:r>
      <w:r w:rsidRPr="002561BB">
        <w:rPr>
          <w:color w:val="000000"/>
        </w:rPr>
        <w:t xml:space="preserve">. </w:t>
      </w:r>
      <w:r w:rsidRPr="002561BB">
        <w:rPr>
          <w:color w:val="000000" w:themeColor="text1"/>
        </w:rPr>
        <w:t xml:space="preserve">Для доказательства эквивалентности препарата </w:t>
      </w:r>
      <w:r w:rsidRPr="002561BB">
        <w:rPr>
          <w:bCs/>
          <w:lang w:val="en-US" w:eastAsia="ru-RU"/>
        </w:rPr>
        <w:t>D</w:t>
      </w:r>
      <w:r w:rsidRPr="002561BB">
        <w:rPr>
          <w:lang w:val="en-US"/>
        </w:rPr>
        <w:t>T</w:t>
      </w:r>
      <w:r w:rsidRPr="002561BB">
        <w:t>-</w:t>
      </w:r>
      <w:r w:rsidR="00CB01A9" w:rsidRPr="002561BB">
        <w:rPr>
          <w:lang w:val="en-US"/>
        </w:rPr>
        <w:t>LNG</w:t>
      </w:r>
      <w:r w:rsidRPr="002561BB">
        <w:rPr>
          <w:color w:val="000000" w:themeColor="text1"/>
        </w:rPr>
        <w:t xml:space="preserve"> были проведены исследования сравнительной кинетики растворения в сравнении с референтным препаратом </w:t>
      </w:r>
      <w:r w:rsidR="00CB01A9" w:rsidRPr="002561BB">
        <w:t>Тражента</w:t>
      </w:r>
      <w:r w:rsidRPr="002561BB">
        <w:rPr>
          <w:vertAlign w:val="superscript"/>
          <w:lang w:eastAsia="ru-RU"/>
        </w:rPr>
        <w:t>®</w:t>
      </w:r>
      <w:r w:rsidRPr="002561BB">
        <w:rPr>
          <w:rFonts w:eastAsia="Calibri"/>
        </w:rPr>
        <w:t xml:space="preserve"> </w:t>
      </w:r>
      <w:r w:rsidRPr="002561BB">
        <w:rPr>
          <w:color w:val="000000"/>
        </w:rPr>
        <w:t>(</w:t>
      </w:r>
      <w:r w:rsidR="00CB01A9" w:rsidRPr="002561BB">
        <w:rPr>
          <w:rFonts w:eastAsia="Calibri"/>
          <w:bCs/>
        </w:rPr>
        <w:t>Берингер Ингельхайм Интернешнл ГмбХ, Германия</w:t>
      </w:r>
      <w:r w:rsidRPr="002561BB">
        <w:rPr>
          <w:color w:val="000000"/>
        </w:rPr>
        <w:t>)</w:t>
      </w:r>
      <w:r w:rsidRPr="002561BB">
        <w:rPr>
          <w:rFonts w:eastAsiaTheme="minorHAnsi"/>
          <w:color w:val="000000" w:themeColor="text1"/>
          <w:lang w:eastAsia="en-US"/>
        </w:rPr>
        <w:t xml:space="preserve"> в дозировке 5 мг </w:t>
      </w:r>
      <w:r w:rsidRPr="002561BB">
        <w:rPr>
          <w:color w:val="000000" w:themeColor="text1"/>
        </w:rPr>
        <w:t xml:space="preserve">(в </w:t>
      </w:r>
      <w:r w:rsidR="002561BB" w:rsidRPr="002561BB">
        <w:rPr>
          <w:color w:val="000000" w:themeColor="text1"/>
        </w:rPr>
        <w:t>двух</w:t>
      </w:r>
      <w:r w:rsidRPr="002561BB">
        <w:rPr>
          <w:color w:val="000000" w:themeColor="text1"/>
        </w:rPr>
        <w:t xml:space="preserve"> модельных средах: </w:t>
      </w:r>
      <w:r w:rsidRPr="002561BB">
        <w:rPr>
          <w:spacing w:val="-4"/>
        </w:rPr>
        <w:t>буферны</w:t>
      </w:r>
      <w:r w:rsidR="002561BB" w:rsidRPr="002561BB">
        <w:rPr>
          <w:spacing w:val="-4"/>
        </w:rPr>
        <w:t>й раствор</w:t>
      </w:r>
      <w:r w:rsidRPr="002561BB">
        <w:rPr>
          <w:color w:val="000000" w:themeColor="text1"/>
        </w:rPr>
        <w:t xml:space="preserve"> с рН 4,5 и 6,8, а также в среде по НД (</w:t>
      </w:r>
      <w:r w:rsidRPr="002561BB">
        <w:rPr>
          <w:spacing w:val="-4"/>
        </w:rPr>
        <w:t>0,1 М раствор хлороводородной кислоты</w:t>
      </w:r>
      <w:r w:rsidRPr="002561BB">
        <w:rPr>
          <w:color w:val="000000" w:themeColor="text1"/>
        </w:rPr>
        <w:t xml:space="preserve">). Согласно полученным данным, кинетика </w:t>
      </w:r>
      <w:r w:rsidRPr="002561BB">
        <w:rPr>
          <w:color w:val="000000" w:themeColor="text1"/>
        </w:rPr>
        <w:lastRenderedPageBreak/>
        <w:t xml:space="preserve">растворения </w:t>
      </w:r>
      <w:r w:rsidRPr="002561BB">
        <w:rPr>
          <w:bCs/>
          <w:lang w:val="en-US" w:eastAsia="ru-RU"/>
        </w:rPr>
        <w:t>D</w:t>
      </w:r>
      <w:r w:rsidRPr="002561BB">
        <w:rPr>
          <w:lang w:val="en-US"/>
        </w:rPr>
        <w:t>T</w:t>
      </w:r>
      <w:r w:rsidRPr="002561BB">
        <w:t>-</w:t>
      </w:r>
      <w:r w:rsidR="002561BB" w:rsidRPr="002561BB">
        <w:rPr>
          <w:lang w:val="en-US"/>
        </w:rPr>
        <w:t>LNG</w:t>
      </w:r>
      <w:r w:rsidRPr="002561BB">
        <w:rPr>
          <w:color w:val="000000" w:themeColor="text1"/>
        </w:rPr>
        <w:t xml:space="preserve"> эквивалентна кинетике растворения референтного препарата </w:t>
      </w:r>
      <w:r w:rsidR="002561BB" w:rsidRPr="002561BB">
        <w:t>Тражента</w:t>
      </w:r>
      <w:r w:rsidRPr="002561BB">
        <w:rPr>
          <w:vertAlign w:val="superscript"/>
          <w:lang w:eastAsia="ru-RU"/>
        </w:rPr>
        <w:t>®</w:t>
      </w:r>
      <w:r w:rsidRPr="002561BB">
        <w:rPr>
          <w:rFonts w:eastAsia="Calibri"/>
        </w:rPr>
        <w:t xml:space="preserve">, </w:t>
      </w:r>
      <w:r w:rsidRPr="002561BB">
        <w:rPr>
          <w:color w:val="000000" w:themeColor="text1"/>
        </w:rPr>
        <w:t>что позволяет предполагать также эквивалентность фармакологических свойств обоих препаратов.</w:t>
      </w:r>
    </w:p>
    <w:p w14:paraId="3A10C78A" w14:textId="42990289" w:rsidR="00E91F66" w:rsidRDefault="00E91F66" w:rsidP="00741EEA">
      <w:pPr>
        <w:ind w:firstLine="709"/>
      </w:pPr>
      <w:bookmarkStart w:id="20" w:name="_Hlk118302381"/>
      <w:r w:rsidRPr="00F95846">
        <w:t xml:space="preserve">С </w:t>
      </w:r>
      <w:r w:rsidRPr="003E2D8B">
        <w:t xml:space="preserve">учетом медицинской, клинико-эпидемиологической и социально-экономической значимости лечения сахарного диабета 2 типа, регистрация нового отечественного воспроизведенного лекарственного препарата </w:t>
      </w:r>
      <w:r w:rsidR="00430757" w:rsidRPr="003E2D8B">
        <w:rPr>
          <w:lang w:val="en-US"/>
        </w:rPr>
        <w:t>DT</w:t>
      </w:r>
      <w:r w:rsidR="00430757" w:rsidRPr="003E2D8B">
        <w:t>-</w:t>
      </w:r>
      <w:r w:rsidR="00430757" w:rsidRPr="003E2D8B">
        <w:rPr>
          <w:lang w:val="en-US"/>
        </w:rPr>
        <w:t>LNG</w:t>
      </w:r>
      <w:r w:rsidRPr="003E2D8B">
        <w:t xml:space="preserve"> (МНН: </w:t>
      </w:r>
      <w:r w:rsidRPr="003E2D8B">
        <w:rPr>
          <w:bCs/>
        </w:rPr>
        <w:t>линаглиптин)</w:t>
      </w:r>
      <w:r w:rsidRPr="003E2D8B">
        <w:t>, таблетки, по</w:t>
      </w:r>
      <w:r w:rsidR="003E2D8B" w:rsidRPr="003E2D8B">
        <w:t>крытые пленочной оболочкой 5 мг</w:t>
      </w:r>
      <w:r w:rsidRPr="003E2D8B">
        <w:t>),</w:t>
      </w:r>
      <w:r w:rsidR="007E5CDB" w:rsidRPr="003E2D8B">
        <w:t xml:space="preserve"> </w:t>
      </w:r>
      <w:r w:rsidRPr="003E2D8B">
        <w:t>позволит снизить стоимость препаратов для лечения сахарного диабета 2 типа нового поколения и сделает доступным лечение большему количеству пациентов</w:t>
      </w:r>
      <w:bookmarkEnd w:id="20"/>
      <w:r w:rsidRPr="003E2D8B">
        <w:t xml:space="preserve"> сахарным диабетом</w:t>
      </w:r>
      <w:r>
        <w:t>.</w:t>
      </w:r>
    </w:p>
    <w:p w14:paraId="0C171407" w14:textId="4E054CC2" w:rsidR="00B1014A" w:rsidRDefault="003E2D8B" w:rsidP="003E2D8B">
      <w:pPr>
        <w:rPr>
          <w:lang w:eastAsia="ru-RU"/>
        </w:rPr>
      </w:pPr>
      <w:r>
        <w:rPr>
          <w:lang w:eastAsia="ru-RU"/>
        </w:rPr>
        <w:br w:type="page"/>
      </w:r>
    </w:p>
    <w:p w14:paraId="04CA1F37" w14:textId="77777777" w:rsidR="00295007" w:rsidRPr="005E6358" w:rsidRDefault="00295007" w:rsidP="00295007">
      <w:pPr>
        <w:pStyle w:val="12"/>
        <w:tabs>
          <w:tab w:val="left" w:pos="142"/>
          <w:tab w:val="left" w:pos="284"/>
        </w:tabs>
        <w:spacing w:line="240" w:lineRule="auto"/>
        <w:rPr>
          <w:rFonts w:cs="Times New Roman"/>
          <w:color w:val="000000" w:themeColor="text1"/>
          <w:szCs w:val="24"/>
        </w:rPr>
      </w:pPr>
      <w:bookmarkStart w:id="21" w:name="_Toc415001065"/>
      <w:bookmarkStart w:id="22" w:name="_Toc139361919"/>
      <w:r w:rsidRPr="005E6358">
        <w:rPr>
          <w:rFonts w:cs="Times New Roman"/>
          <w:color w:val="000000" w:themeColor="text1"/>
          <w:szCs w:val="24"/>
        </w:rPr>
        <w:lastRenderedPageBreak/>
        <w:t>1. ВВЕДЕНИЕ</w:t>
      </w:r>
      <w:bookmarkEnd w:id="21"/>
      <w:bookmarkEnd w:id="22"/>
    </w:p>
    <w:p w14:paraId="67F1E46D" w14:textId="77777777" w:rsidR="003E2D8B" w:rsidRPr="003E2D8B" w:rsidRDefault="00295007" w:rsidP="003E2D8B">
      <w:pPr>
        <w:pStyle w:val="OT"/>
        <w:spacing w:after="0"/>
        <w:rPr>
          <w:sz w:val="24"/>
          <w:szCs w:val="24"/>
        </w:rPr>
      </w:pPr>
      <w:bookmarkStart w:id="23" w:name="_Toc415001066"/>
      <w:r w:rsidRPr="00620CB1">
        <w:rPr>
          <w:b/>
          <w:bCs/>
        </w:rPr>
        <w:t xml:space="preserve">1.1. </w:t>
      </w:r>
      <w:r w:rsidRPr="003E2D8B">
        <w:rPr>
          <w:b/>
          <w:bCs/>
          <w:sz w:val="24"/>
          <w:szCs w:val="24"/>
        </w:rPr>
        <w:t>Химическое название</w:t>
      </w:r>
      <w:bookmarkEnd w:id="23"/>
      <w:r w:rsidR="003E2D8B" w:rsidRPr="003E2D8B">
        <w:rPr>
          <w:sz w:val="24"/>
          <w:szCs w:val="24"/>
        </w:rPr>
        <w:t xml:space="preserve"> </w:t>
      </w:r>
    </w:p>
    <w:p w14:paraId="6D177B1B" w14:textId="77777777" w:rsidR="003E2D8B" w:rsidRDefault="003E2D8B" w:rsidP="003E2D8B">
      <w:pPr>
        <w:pStyle w:val="OT"/>
        <w:spacing w:after="0"/>
        <w:rPr>
          <w:sz w:val="24"/>
          <w:szCs w:val="24"/>
        </w:rPr>
      </w:pPr>
    </w:p>
    <w:p w14:paraId="591C2CD0" w14:textId="711C7DEA" w:rsidR="00295007" w:rsidRPr="00DF79F4" w:rsidRDefault="00F01264" w:rsidP="003E2D8B">
      <w:pPr>
        <w:pStyle w:val="OT"/>
        <w:spacing w:after="0"/>
        <w:rPr>
          <w:sz w:val="24"/>
          <w:szCs w:val="24"/>
        </w:rPr>
      </w:pPr>
      <w:r w:rsidRPr="003E2D8B">
        <w:rPr>
          <w:sz w:val="24"/>
          <w:szCs w:val="24"/>
        </w:rPr>
        <w:t>8-[(3R)-</w:t>
      </w:r>
      <w:r w:rsidRPr="00DF79F4">
        <w:rPr>
          <w:sz w:val="24"/>
          <w:szCs w:val="24"/>
        </w:rPr>
        <w:t>3-аминопиперидин-1-ил]-7-(бут-2-ин-1-ил)-3-метил-1-[(4-метилхиназолин-2-ил)метил]-3,7-дигидро-1Н-пурин-2,6-дион</w:t>
      </w:r>
    </w:p>
    <w:p w14:paraId="54D7668D" w14:textId="77777777" w:rsidR="003E2D8B" w:rsidRDefault="00295007" w:rsidP="00B1014A">
      <w:pPr>
        <w:pStyle w:val="2"/>
        <w:spacing w:line="240" w:lineRule="auto"/>
        <w:rPr>
          <w:color w:val="000000" w:themeColor="text1"/>
          <w:szCs w:val="24"/>
        </w:rPr>
      </w:pPr>
      <w:bookmarkStart w:id="24" w:name="_Toc415001067"/>
      <w:bookmarkStart w:id="25" w:name="_Toc139361920"/>
      <w:r w:rsidRPr="005E6358">
        <w:rPr>
          <w:color w:val="000000" w:themeColor="text1"/>
          <w:szCs w:val="24"/>
        </w:rPr>
        <w:t>1.2. Международное непатентованное</w:t>
      </w:r>
      <w:bookmarkEnd w:id="24"/>
      <w:r w:rsidR="009B3B9E">
        <w:rPr>
          <w:color w:val="000000" w:themeColor="text1"/>
          <w:szCs w:val="24"/>
        </w:rPr>
        <w:t xml:space="preserve"> назван</w:t>
      </w:r>
      <w:r w:rsidR="008E6E47">
        <w:rPr>
          <w:color w:val="000000" w:themeColor="text1"/>
          <w:szCs w:val="24"/>
        </w:rPr>
        <w:t>и</w:t>
      </w:r>
      <w:r w:rsidR="009B3B9E">
        <w:rPr>
          <w:color w:val="000000" w:themeColor="text1"/>
          <w:szCs w:val="24"/>
        </w:rPr>
        <w:t>е</w:t>
      </w:r>
      <w:bookmarkEnd w:id="25"/>
      <w:r w:rsidR="005134CB">
        <w:rPr>
          <w:color w:val="000000" w:themeColor="text1"/>
          <w:szCs w:val="24"/>
        </w:rPr>
        <w:t xml:space="preserve"> </w:t>
      </w:r>
    </w:p>
    <w:p w14:paraId="36BB3476" w14:textId="00D6DE17" w:rsidR="00B1014A" w:rsidRPr="005134CB" w:rsidRDefault="002E74BE" w:rsidP="002E74BE">
      <w:pPr>
        <w:ind w:firstLine="709"/>
      </w:pPr>
      <w:r>
        <w:t>Л</w:t>
      </w:r>
      <w:r w:rsidR="00BB0F92" w:rsidRPr="003E2D8B">
        <w:t>инаглиптин</w:t>
      </w:r>
      <w:r>
        <w:t>.</w:t>
      </w:r>
    </w:p>
    <w:p w14:paraId="1DD19841" w14:textId="77777777" w:rsidR="003A39DF" w:rsidRDefault="003A39DF" w:rsidP="003A39DF">
      <w:pPr>
        <w:pStyle w:val="2"/>
        <w:spacing w:line="240" w:lineRule="auto"/>
        <w:rPr>
          <w:color w:val="000000" w:themeColor="text1"/>
          <w:szCs w:val="24"/>
        </w:rPr>
      </w:pPr>
      <w:bookmarkStart w:id="26" w:name="_Toc415001068"/>
      <w:bookmarkStart w:id="27" w:name="_Toc415001069"/>
      <w:bookmarkStart w:id="28" w:name="_Toc139361921"/>
      <w:r>
        <w:rPr>
          <w:color w:val="000000" w:themeColor="text1"/>
          <w:szCs w:val="24"/>
        </w:rPr>
        <w:t>1.3. Торговое название</w:t>
      </w:r>
      <w:bookmarkEnd w:id="26"/>
      <w:bookmarkEnd w:id="28"/>
    </w:p>
    <w:p w14:paraId="677C92E8" w14:textId="0E4FAB14" w:rsidR="002E74BE" w:rsidRPr="002E74BE" w:rsidRDefault="002E74BE" w:rsidP="002E74BE">
      <w:pPr>
        <w:ind w:firstLine="709"/>
        <w:rPr>
          <w:color w:val="000000" w:themeColor="text1"/>
        </w:rPr>
      </w:pPr>
      <w:r w:rsidRPr="002E74BE">
        <w:rPr>
          <w:bCs/>
          <w:color w:val="000000" w:themeColor="text1"/>
          <w:lang w:eastAsia="ru-RU"/>
        </w:rPr>
        <w:t>Торговое наименование –</w:t>
      </w:r>
      <w:r>
        <w:rPr>
          <w:bCs/>
          <w:color w:val="000000" w:themeColor="text1"/>
          <w:lang w:eastAsia="ru-RU"/>
        </w:rPr>
        <w:t xml:space="preserve"> </w:t>
      </w:r>
      <w:r>
        <w:rPr>
          <w:rFonts w:eastAsiaTheme="minorHAnsi"/>
          <w:lang w:eastAsia="en-US"/>
        </w:rPr>
        <w:t>ЛИНАГЛИПТИН</w:t>
      </w:r>
    </w:p>
    <w:p w14:paraId="311CB9BB" w14:textId="3F2E1A0D" w:rsidR="002E74BE" w:rsidRPr="002E74BE" w:rsidRDefault="002E74BE" w:rsidP="002E74BE">
      <w:pPr>
        <w:ind w:firstLine="709"/>
        <w:rPr>
          <w:lang w:eastAsia="ru-RU"/>
        </w:rPr>
      </w:pPr>
      <w:r w:rsidRPr="002E74BE">
        <w:rPr>
          <w:color w:val="000000" w:themeColor="text1"/>
        </w:rPr>
        <w:t xml:space="preserve">Внутреннее название продукта </w:t>
      </w:r>
      <w:r w:rsidR="0095154C" w:rsidRPr="002E74BE">
        <w:rPr>
          <w:bCs/>
          <w:color w:val="000000" w:themeColor="text1"/>
          <w:lang w:eastAsia="ru-RU"/>
        </w:rPr>
        <w:t>–</w:t>
      </w:r>
      <w:r w:rsidRPr="002E74BE">
        <w:rPr>
          <w:color w:val="000000" w:themeColor="text1"/>
        </w:rPr>
        <w:t xml:space="preserve"> </w:t>
      </w:r>
      <w:r w:rsidRPr="002E74BE">
        <w:rPr>
          <w:lang w:val="en-US" w:eastAsia="ru-RU"/>
        </w:rPr>
        <w:t>D</w:t>
      </w:r>
      <w:r w:rsidRPr="002E74BE">
        <w:rPr>
          <w:lang w:eastAsia="ru-RU"/>
        </w:rPr>
        <w:t>T-</w:t>
      </w:r>
      <w:r>
        <w:rPr>
          <w:lang w:val="en-US" w:eastAsia="ru-RU"/>
        </w:rPr>
        <w:t>LNG</w:t>
      </w:r>
    </w:p>
    <w:p w14:paraId="360E008B" w14:textId="7578ECB2" w:rsidR="002E74BE" w:rsidRPr="00941908" w:rsidRDefault="002E74BE" w:rsidP="002E74BE">
      <w:pPr>
        <w:ind w:firstLine="709"/>
        <w:rPr>
          <w:color w:val="000000" w:themeColor="text1"/>
        </w:rPr>
      </w:pPr>
      <w:r w:rsidRPr="002E74BE">
        <w:rPr>
          <w:color w:val="000000" w:themeColor="text1"/>
        </w:rPr>
        <w:t xml:space="preserve">Внутренний код продукта </w:t>
      </w:r>
      <w:r w:rsidR="0095154C" w:rsidRPr="002E74BE">
        <w:rPr>
          <w:bCs/>
          <w:color w:val="000000" w:themeColor="text1"/>
          <w:lang w:eastAsia="ru-RU"/>
        </w:rPr>
        <w:t>–</w:t>
      </w:r>
      <w:r w:rsidRPr="002E74BE">
        <w:rPr>
          <w:color w:val="000000" w:themeColor="text1"/>
        </w:rPr>
        <w:t xml:space="preserve"> </w:t>
      </w:r>
      <w:r w:rsidR="0095154C" w:rsidRPr="00483351">
        <w:rPr>
          <w:lang w:val="en-US"/>
        </w:rPr>
        <w:t>A</w:t>
      </w:r>
      <w:r w:rsidR="0095154C">
        <w:t>10</w:t>
      </w:r>
      <w:r w:rsidR="0095154C" w:rsidRPr="0095154C">
        <w:t>1059</w:t>
      </w:r>
      <w:r w:rsidRPr="002E74BE">
        <w:t>.</w:t>
      </w:r>
    </w:p>
    <w:p w14:paraId="6CB1AFD8" w14:textId="77777777" w:rsidR="00295007" w:rsidRPr="005E6358" w:rsidRDefault="00295007" w:rsidP="00295007">
      <w:pPr>
        <w:pStyle w:val="2"/>
        <w:spacing w:line="240" w:lineRule="auto"/>
        <w:rPr>
          <w:color w:val="000000" w:themeColor="text1"/>
          <w:szCs w:val="24"/>
        </w:rPr>
      </w:pPr>
      <w:bookmarkStart w:id="29" w:name="_Toc139361922"/>
      <w:r w:rsidRPr="005E6358">
        <w:rPr>
          <w:color w:val="000000" w:themeColor="text1"/>
          <w:szCs w:val="24"/>
        </w:rPr>
        <w:t>1.4. Активные ингредиенты</w:t>
      </w:r>
      <w:bookmarkEnd w:id="27"/>
      <w:bookmarkEnd w:id="29"/>
    </w:p>
    <w:p w14:paraId="77B3EAA0" w14:textId="5435765A" w:rsidR="00295007" w:rsidRPr="008A360D" w:rsidRDefault="0095154C" w:rsidP="0095154C">
      <w:pPr>
        <w:pStyle w:val="af3"/>
        <w:ind w:left="0" w:firstLine="709"/>
      </w:pPr>
      <w:r>
        <w:t>Действующее вещество</w:t>
      </w:r>
      <w:r w:rsidR="00295007" w:rsidRPr="00886280">
        <w:t xml:space="preserve"> </w:t>
      </w:r>
      <w:r w:rsidR="00CE38C7" w:rsidRPr="002E74BE">
        <w:rPr>
          <w:bCs/>
          <w:color w:val="000000" w:themeColor="text1"/>
          <w:lang w:eastAsia="ru-RU"/>
        </w:rPr>
        <w:t>–</w:t>
      </w:r>
      <w:r w:rsidR="00CE38C7">
        <w:rPr>
          <w:bCs/>
          <w:color w:val="000000" w:themeColor="text1"/>
          <w:lang w:eastAsia="ru-RU"/>
        </w:rPr>
        <w:t xml:space="preserve"> </w:t>
      </w:r>
      <w:r w:rsidR="008E6E47" w:rsidRPr="008E6E47">
        <w:t>линаглиптин</w:t>
      </w:r>
    </w:p>
    <w:p w14:paraId="5368904E" w14:textId="748266E5" w:rsidR="00CE38C7" w:rsidRDefault="00295007" w:rsidP="00295007">
      <w:pPr>
        <w:pStyle w:val="2"/>
        <w:spacing w:line="240" w:lineRule="auto"/>
        <w:rPr>
          <w:color w:val="000000" w:themeColor="text1"/>
          <w:szCs w:val="24"/>
        </w:rPr>
      </w:pPr>
      <w:bookmarkStart w:id="30" w:name="_Toc415001070"/>
      <w:bookmarkStart w:id="31" w:name="_Toc139361923"/>
      <w:r w:rsidRPr="005E6358">
        <w:rPr>
          <w:color w:val="000000" w:themeColor="text1"/>
          <w:szCs w:val="24"/>
        </w:rPr>
        <w:t>1.5. Фармакологическая группа</w:t>
      </w:r>
      <w:bookmarkEnd w:id="30"/>
      <w:bookmarkEnd w:id="31"/>
    </w:p>
    <w:p w14:paraId="4C3CF163" w14:textId="43CE1C1B" w:rsidR="00295007" w:rsidRPr="00732976" w:rsidRDefault="004C7B28" w:rsidP="004C7B28">
      <w:pPr>
        <w:ind w:firstLine="709"/>
      </w:pPr>
      <w:r>
        <w:rPr>
          <w:iCs/>
          <w:color w:val="000000" w:themeColor="text1"/>
          <w:lang w:eastAsia="en-US"/>
        </w:rPr>
        <w:t xml:space="preserve">Средства для лечения сахарного диабета. </w:t>
      </w:r>
      <w:r w:rsidRPr="00941908">
        <w:rPr>
          <w:iCs/>
          <w:color w:val="000000" w:themeColor="text1"/>
          <w:lang w:eastAsia="en-US"/>
        </w:rPr>
        <w:t>Гипогликемическ</w:t>
      </w:r>
      <w:r>
        <w:rPr>
          <w:iCs/>
          <w:color w:val="000000" w:themeColor="text1"/>
          <w:lang w:eastAsia="en-US"/>
        </w:rPr>
        <w:t xml:space="preserve">ие препараты, за исключением инсулинов. </w:t>
      </w:r>
      <w:r w:rsidR="00CE38C7">
        <w:t>Ингибиторы дипептидилпептидазы</w:t>
      </w:r>
      <w:r w:rsidR="00260723">
        <w:t>-4</w:t>
      </w:r>
    </w:p>
    <w:p w14:paraId="3866DBFE" w14:textId="197A8001" w:rsidR="00E96829" w:rsidRDefault="00295007" w:rsidP="00295007">
      <w:pPr>
        <w:pStyle w:val="2"/>
        <w:spacing w:line="240" w:lineRule="auto"/>
        <w:rPr>
          <w:color w:val="000000" w:themeColor="text1"/>
          <w:szCs w:val="24"/>
        </w:rPr>
      </w:pPr>
      <w:bookmarkStart w:id="32" w:name="_Toc415001071"/>
      <w:bookmarkStart w:id="33" w:name="_Toc139361924"/>
      <w:r w:rsidRPr="005E6358">
        <w:rPr>
          <w:color w:val="000000" w:themeColor="text1"/>
          <w:szCs w:val="24"/>
        </w:rPr>
        <w:t>1.6. Код по АТХ</w:t>
      </w:r>
      <w:bookmarkEnd w:id="32"/>
      <w:bookmarkEnd w:id="33"/>
      <w:r w:rsidR="00040004">
        <w:rPr>
          <w:color w:val="000000" w:themeColor="text1"/>
          <w:szCs w:val="24"/>
        </w:rPr>
        <w:t xml:space="preserve">  </w:t>
      </w:r>
    </w:p>
    <w:p w14:paraId="3A872AA9" w14:textId="44BA4145" w:rsidR="00295007" w:rsidRPr="00040004" w:rsidRDefault="00C50DDD" w:rsidP="00E96829">
      <w:pPr>
        <w:ind w:firstLine="709"/>
        <w:rPr>
          <w:color w:val="000000" w:themeColor="text1"/>
        </w:rPr>
      </w:pPr>
      <w:r w:rsidRPr="00C50DDD">
        <w:t>A10BH0</w:t>
      </w:r>
      <w:r w:rsidR="00C42AAB">
        <w:t>5</w:t>
      </w:r>
    </w:p>
    <w:p w14:paraId="37B5979B" w14:textId="385E4871" w:rsidR="00295007" w:rsidRDefault="00295007" w:rsidP="00295007">
      <w:pPr>
        <w:pStyle w:val="2"/>
        <w:numPr>
          <w:ilvl w:val="1"/>
          <w:numId w:val="1"/>
        </w:numPr>
        <w:tabs>
          <w:tab w:val="left" w:pos="284"/>
          <w:tab w:val="left" w:pos="426"/>
        </w:tabs>
        <w:spacing w:line="240" w:lineRule="auto"/>
        <w:ind w:left="0" w:firstLine="0"/>
        <w:rPr>
          <w:color w:val="000000" w:themeColor="text1"/>
          <w:szCs w:val="24"/>
        </w:rPr>
      </w:pPr>
      <w:bookmarkStart w:id="34" w:name="_Toc415001072"/>
      <w:bookmarkStart w:id="35" w:name="_Toc139361925"/>
      <w:r w:rsidRPr="005E6358">
        <w:rPr>
          <w:color w:val="000000" w:themeColor="text1"/>
          <w:szCs w:val="24"/>
        </w:rPr>
        <w:t>Обоснование для изучения исследуемого препарата</w:t>
      </w:r>
      <w:bookmarkEnd w:id="34"/>
      <w:bookmarkEnd w:id="35"/>
    </w:p>
    <w:p w14:paraId="7255B53C" w14:textId="4C3E1AE7" w:rsidR="006A5D8D" w:rsidRDefault="00E96829" w:rsidP="00E96829">
      <w:pPr>
        <w:pStyle w:val="3"/>
        <w:numPr>
          <w:ilvl w:val="2"/>
          <w:numId w:val="1"/>
        </w:numPr>
        <w:spacing w:after="240"/>
        <w:ind w:left="567" w:hanging="567"/>
        <w:rPr>
          <w:rFonts w:ascii="Times New Roman" w:hAnsi="Times New Roman"/>
          <w:color w:val="000000" w:themeColor="text1"/>
          <w:szCs w:val="24"/>
        </w:rPr>
      </w:pPr>
      <w:r>
        <w:rPr>
          <w:rFonts w:ascii="Times New Roman" w:hAnsi="Times New Roman"/>
          <w:color w:val="000000" w:themeColor="text1"/>
          <w:szCs w:val="24"/>
        </w:rPr>
        <w:t xml:space="preserve"> </w:t>
      </w:r>
      <w:bookmarkStart w:id="36" w:name="_Toc139361926"/>
      <w:r w:rsidR="006A5D8D" w:rsidRPr="005E6358">
        <w:rPr>
          <w:rFonts w:ascii="Times New Roman" w:hAnsi="Times New Roman"/>
          <w:color w:val="000000" w:themeColor="text1"/>
          <w:szCs w:val="24"/>
        </w:rPr>
        <w:t>Общие сведения о заболевании</w:t>
      </w:r>
      <w:bookmarkEnd w:id="36"/>
    </w:p>
    <w:p w14:paraId="2CF4423D" w14:textId="79C4D43C" w:rsidR="00B6173D" w:rsidRDefault="00AF3979" w:rsidP="0001162A">
      <w:pPr>
        <w:ind w:firstLine="709"/>
      </w:pPr>
      <w:r>
        <w:t>П</w:t>
      </w:r>
      <w:r w:rsidR="00B6173D">
        <w:t>о данным Международной Диабетической Федерации численность пациентов с СД в возрасте 20-</w:t>
      </w:r>
      <w:r w:rsidR="00E96829">
        <w:t>79 лет</w:t>
      </w:r>
      <w:r w:rsidR="00B6173D">
        <w:t xml:space="preserve"> в мире на конец 2021 г. превысила 537 млн</w:t>
      </w:r>
      <w:r w:rsidR="006A5D8D">
        <w:t>.</w:t>
      </w:r>
      <w:r w:rsidR="00B6173D">
        <w:t xml:space="preserve"> </w:t>
      </w:r>
      <w:r w:rsidR="00C4292D">
        <w:t>человек</w:t>
      </w:r>
      <w:r w:rsidR="00EE5936">
        <w:t xml:space="preserve"> </w:t>
      </w:r>
      <w:r w:rsidR="00EE5936">
        <w:fldChar w:fldCharType="begin"/>
      </w:r>
      <w:r w:rsidR="00EE5936">
        <w:instrText xml:space="preserve"> ADDIN ZOTERO_ITEM CSL_CITATION {"citationID":"0k2nM1MB","properties":{"formattedCitation":"[1]","plainCitation":"[1]","noteIndex":0},"citationItems":[{"id":2941,"uris":["http://zotero.org/users/5483459/items/KDDGUDLL"],"itemData":{"id":2941,"type":"article-journal","abstract":"BACKGROUND: The United Nations acknowledged diabetes as an epidemic of the 21st century. Global trends demonstrate a continuing growth in its prevalence at approximately 2.5 % per year. The aim of the study was to analyse selected epidemiological factors for type 2 diabetes mellitus in Poland, Central Europe and the World.\nMETHODS: This study presents Global Burden of Disease (GBD) data. Study describes the type 2 diabetes burden in the studied populations based on years lived with disability (YLD), years of life lost (YLL), and disability-adjusted life years (DALYs).\nRESULTS: Type 2 diabetes has been demonstrated to be a determinant of reduced life expectancy, as in the analysed period the condition presented an increasing trend, compared to other diseases.\nCONCLUSIONS: In recent years the observed YLL, YLD and DALY values for type 2 diabetes have been comparable to the expected ones. Thus the prognosis presented by GBD may be used as a reliable source of information and a basis for a health policy that reduces the number of patients with diabetes and related complications, comorbidities or mortality.","container-title":"Archives of Public Health = Archives Belges De Sante Publique","DOI":"10.1186/s13690-021-00632-1","ISSN":"0778-7367","issue":"1","journalAbbreviation":"Arch Public Health","language":"eng","note":"PMID: 34158120\nPMCID: PMC8218426","page":"110","source":"PubMed","title":"Epidemiological factors for type 2 diabetes mellitus: evidence from the Global Burden of Disease","title-short":"Epidemiological factors for type 2 diabetes mellitus","volume":"79","author":[{"family":"Kotwas","given":"Artur"},{"family":"Karakiewicz","given":"Beata"},{"family":"Zabielska","given":"Paulina"},{"family":"Wieder-Huszla","given":"Sylwia"},{"family":"Jurczak","given":"Anna"}],"issued":{"date-parts":[["2021",6,22]]}}}],"schema":"https://github.com/citation-style-language/schema/raw/master/csl-citation.json"} </w:instrText>
      </w:r>
      <w:r w:rsidR="00EE5936">
        <w:fldChar w:fldCharType="separate"/>
      </w:r>
      <w:r w:rsidR="00EE5936" w:rsidRPr="00732976">
        <w:t>[1]</w:t>
      </w:r>
      <w:r w:rsidR="00EE5936">
        <w:fldChar w:fldCharType="end"/>
      </w:r>
      <w:r w:rsidR="00EE5936">
        <w:t>.</w:t>
      </w:r>
      <w:r w:rsidR="00C4292D">
        <w:t xml:space="preserve"> </w:t>
      </w:r>
      <w:r w:rsidR="00B6173D">
        <w:t>В</w:t>
      </w:r>
      <w:r w:rsidR="00EE5936">
        <w:t xml:space="preserve"> </w:t>
      </w:r>
      <w:r w:rsidR="00B6173D">
        <w:t>РФ по данным Федерального регистра СД на 01.01.2022 г. состояло на диспансерном учете 4,9</w:t>
      </w:r>
      <w:r w:rsidR="006438A9">
        <w:t xml:space="preserve"> </w:t>
      </w:r>
      <w:r w:rsidR="00B6173D">
        <w:t xml:space="preserve">млн. человек (3,34% населения), из них </w:t>
      </w:r>
      <w:r w:rsidR="005239EF">
        <w:t xml:space="preserve">у </w:t>
      </w:r>
      <w:r w:rsidR="00B6173D">
        <w:t>9,3</w:t>
      </w:r>
      <w:r w:rsidR="005239EF">
        <w:t>%</w:t>
      </w:r>
      <w:r w:rsidR="00B6173D">
        <w:t xml:space="preserve"> (4,5 млн.) –</w:t>
      </w:r>
      <w:r w:rsidR="00D4263F">
        <w:t xml:space="preserve"> </w:t>
      </w:r>
      <w:r w:rsidR="006438A9">
        <w:t>с</w:t>
      </w:r>
      <w:r w:rsidR="006438A9" w:rsidRPr="006438A9">
        <w:t>ахарный диабет 2 типа (СД 2)</w:t>
      </w:r>
      <w:r w:rsidR="00B6173D">
        <w:t xml:space="preserve">, 5,6% (272 тыс.) – СД 1 и 2,1% (102 тыс.) </w:t>
      </w:r>
      <w:r w:rsidR="00D4263F">
        <w:t>–</w:t>
      </w:r>
      <w:r w:rsidR="00B6173D">
        <w:t xml:space="preserve"> другие типы СД, в том числе </w:t>
      </w:r>
      <w:r w:rsidR="005239EF">
        <w:t xml:space="preserve">у </w:t>
      </w:r>
      <w:r w:rsidR="00B6173D">
        <w:t>9729 человек гестационны</w:t>
      </w:r>
      <w:r w:rsidR="005239EF">
        <w:t>й</w:t>
      </w:r>
      <w:r w:rsidR="00B6173D">
        <w:t xml:space="preserve"> СД</w:t>
      </w:r>
      <w:r w:rsidR="00655CDF">
        <w:t xml:space="preserve"> </w:t>
      </w:r>
      <w:r w:rsidR="00655CDF">
        <w:fldChar w:fldCharType="begin"/>
      </w:r>
      <w:r w:rsidR="00655CDF">
        <w:instrText xml:space="preserve"> ADDIN ZOTERO_ITEM CSL_CITATION {"citationID":"LphjpLfG","properties":{"formattedCitation":"[2,3]","plainCitation":"[2,3]","noteIndex":0},"citationItems":[{"id":2944,"uris":["http://zotero.org/users/5483459/items/WVT73AHU"],"itemData":{"id":2944,"type":"document","title":"International Diabetes Federation. IDF Diabetes Atlas. 10th ed. 2021"},"label":"page"},{"id":2945,"uris":["http://zotero.org/users/5483459/items/9AF4E2X5"],"itemData":{"id":2945,"type":"document","title":"Министерство здравоохранения Российской Федерации. Клинические рекомендации сахарный диабет 2 типа. 2022."},"label":"page"}],"schema":"https://github.com/citation-style-language/schema/raw/master/csl-citation.json"} </w:instrText>
      </w:r>
      <w:r w:rsidR="00655CDF">
        <w:fldChar w:fldCharType="separate"/>
      </w:r>
      <w:r w:rsidR="00655CDF" w:rsidRPr="00655CDF">
        <w:t>[2,3]</w:t>
      </w:r>
      <w:r w:rsidR="00655CDF">
        <w:fldChar w:fldCharType="end"/>
      </w:r>
      <w:r w:rsidR="00655CDF">
        <w:t>.</w:t>
      </w:r>
      <w:r w:rsidR="005C1889">
        <w:t xml:space="preserve"> Показатели смертности от СД составляют </w:t>
      </w:r>
      <w:r w:rsidR="005C1889" w:rsidRPr="005C1889">
        <w:t>7%, 12% и 10% в странах с низким, средним и высоким уровнем дохода, соответственно</w:t>
      </w:r>
      <w:r w:rsidR="00B14395">
        <w:t xml:space="preserve"> </w:t>
      </w:r>
      <w:r w:rsidR="00EB137B">
        <w:fldChar w:fldCharType="begin"/>
      </w:r>
      <w:r w:rsidR="00EB137B">
        <w:instrText xml:space="preserve"> ADDIN ZOTERO_ITEM CSL_CITATION {"citationID":"Y2Vj7xK6","properties":{"formattedCitation":"[4,5]","plainCitation":"[4,5]","noteIndex":0},"citationItems":[{"id":2946,"uris":["http://zotero.org/users/5483459/items/SNKK4SQ8"],"itemData":{"id":2946,"type":"article-journal","abstract":"International trends in traditional diabetes complications (cardiovascular, renal, peripheral vascular, ophthalmic, hepatic or neurological diseases) and mortality rates are poorly characterised. An earlier review of studies published up to 2015 demonstrated that most data come from a dozen high-income countries (HICs) in North America, Europe or the Asia–Pacific region and that, in these countries at least, rates of acute glycaemic fluctuations needing medical attention and amputations, myocardial infarction and mortality were all declining over the period. Here, we provide an updated review of published literature on trends in type 2 diabetes complications and mortality in adults since 2015. We also discuss issues related to data collection, analysis and reporting that have influenced global trends in type 2 diabetes and its complications. We found that most data on trends in type 2 diabetes, its complications and mortality come from a small number of HICs with comprehensive surveillance systems, though at least some low- and middle-income countries (LMICs) from Africa and Latin America are represented in this review. The published data suggest that HICs have experienced declines in cardiovascular complication rates and all-cause mortality in people with diabetes. In parallel, cardiovascular complications and mortality rates in people with diabetes have increased over time in LMICs. However, caution is warranted in interpreting trends from LMICs due to extremely sparse data or data that are not comparable across countries. We noted that approaches to case ascertainment and definitions of complications and mortality (numerators) and type 2 diabetes (the denominator) vary widely and influence the interpretation of international data. We offer four key recommendations to more rigorously document trends in rates of type 2 diabetes complications and mortality, over time and worldwide: (1) increasing investments in data collection systems; (2) standardising case definitions and approaches to ascertainment; (3) strengthening analytical capacity; and (4) developing and implementing structured guidelines for reporting of data.","container-title":"Diabetologia","DOI":"10.1007/s00125-021-05585-2","ISSN":"0012-186X","issue":"1","journalAbbreviation":"Diabetologia","note":"PMID: 34837505\nPMCID: PMC8660730","page":"3-13","source":"PubMed Central","title":"Interpreting global trends in type 2 diabetes complications and mortality","volume":"65","author":[{"family":"Ali","given":"Mohammed K."},{"family":"Pearson-Stuttard","given":"Jonathan"},{"family":"Selvin","given":"Elizabeth"},{"family":"Gregg","given":"Edward W."}],"issued":{"date-parts":[["2022"]]}},"label":"page"},{"id":2949,"uris":["http://zotero.org/users/5483459/items/CQK8RGJ2"],"itemData":{"id":2949,"type":"article-journal","abstract":"AIMS: To estimate the number of deaths attributable to diabetes in 20-79-year-old adults in 2019.\nMETHODS: The following were used to estimate the number of deaths attributable to diabetes: all-cause mortality estimates from the World Health Organization life table, country level age- and sex-specific estimates of diabetes prevalence in 2019 and relative risks of death in people with diabetes compared to people without diabetes.\nRESULTS: An estimated 4.2 million deaths among 20-79-year-old adults are attributable to diabetes. Diabetes is estimated to contribute to 11.3% of deaths globally, ranging from 6.8% (lowest) in the Africa Region to 16.2% (highest) in the Middle East and North Africa. About half (46.2%) of the deaths attributable to diabetes occur in people under the age of 60 years. The Africa Region has the highest (73.1%) proportion of deaths attributable to diabetes in people under the age of 60 years, while the Europe Region has the lowest (31.4%).\nCONCLUSIONS: Diabetes is estimated to contribute to one in nine deaths among adults aged 20-79 years. Prevention of diabetes and its complications is essential, particularly in middle-income countries, where the current impact is estimated to be the largest. Contemporary data from diverse populations are needed to validate these estimates.","container-title":"Diabetes Research and Clinical Practice","DOI":"10.1016/j.diabres.2020.108086","ISSN":"1872-8227","journalAbbreviation":"Diabetes Res Clin Pract","language":"eng","note":"PMID: 32068099","page":"108086","source":"PubMed","title":"Mortality attributable to diabetes in 20-79 years old adults, 2019 estimates: Results from the International Diabetes Federation Diabetes Atlas, 9th edition","title-short":"Mortality attributable to diabetes in 20-79 years old adults, 2019 estimates","volume":"162","author":[{"family":"Saeedi","given":"Pouya"},{"family":"Salpea","given":"Paraskevi"},{"family":"Karuranga","given":"Suvi"},{"family":"Petersohn","given":"Inga"},{"family":"Malanda","given":"Belma"},{"family":"Gregg","given":"Edward W."},{"family":"Unwin","given":"Nigel"},{"family":"Wild","given":"Sarah H."},{"family":"Williams","given":"Rhys"}],"issued":{"date-parts":[["2020",4]]}},"label":"page"}],"schema":"https://github.com/citation-style-language/schema/raw/master/csl-citation.json"} </w:instrText>
      </w:r>
      <w:r w:rsidR="00EB137B">
        <w:fldChar w:fldCharType="separate"/>
      </w:r>
      <w:r w:rsidR="00EB137B" w:rsidRPr="00EB137B">
        <w:t>[4,5]</w:t>
      </w:r>
      <w:r w:rsidR="00EB137B">
        <w:fldChar w:fldCharType="end"/>
      </w:r>
      <w:r w:rsidR="00EB137B">
        <w:t xml:space="preserve">. </w:t>
      </w:r>
    </w:p>
    <w:p w14:paraId="2A5B53E4" w14:textId="134FE882" w:rsidR="00174B7D" w:rsidRDefault="006F1055" w:rsidP="0001162A">
      <w:pPr>
        <w:ind w:firstLine="709"/>
      </w:pPr>
      <w:r>
        <w:t>СД 2</w:t>
      </w:r>
      <w:r w:rsidR="00E96829">
        <w:t xml:space="preserve"> </w:t>
      </w:r>
      <w:r w:rsidR="00B74BC4" w:rsidRPr="00026D0D">
        <w:t>–</w:t>
      </w:r>
      <w:r w:rsidR="00B74BC4">
        <w:t xml:space="preserve"> </w:t>
      </w:r>
      <w:r>
        <w:t>нарушение углеводного обмена, вызванное преимущественной инсулинорезистентностью и относительной инсулиновой недостаточностью или преимущественным нарушением секреции инсулина с инсулинорезистентностью или без нее</w:t>
      </w:r>
      <w:r w:rsidR="00EB137B">
        <w:t xml:space="preserve"> </w:t>
      </w:r>
      <w:r w:rsidR="00EB137B">
        <w:fldChar w:fldCharType="begin"/>
      </w:r>
      <w:r w:rsidR="00EB137B">
        <w:instrText xml:space="preserve"> ADDIN ZOTERO_ITEM CSL_CITATION {"citationID":"fHaJQnK7","properties":{"formattedCitation":"[3]","plainCitation":"[3]","noteIndex":0},"citationItems":[{"id":2945,"uris":["http://zotero.org/users/5483459/items/9AF4E2X5"],"itemData":{"id":2945,"type":"document","title":"Министерство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2022."}}],"schema":"https://github.com/citation-style-language/schema/raw/master/csl-citation.json"} </w:instrText>
      </w:r>
      <w:r w:rsidR="00EB137B">
        <w:fldChar w:fldCharType="separate"/>
      </w:r>
      <w:r w:rsidR="00EB137B" w:rsidRPr="00EB137B">
        <w:t>[3]</w:t>
      </w:r>
      <w:r w:rsidR="00EB137B">
        <w:fldChar w:fldCharType="end"/>
      </w:r>
      <w:r w:rsidR="00EB137B">
        <w:t>.</w:t>
      </w:r>
    </w:p>
    <w:p w14:paraId="327362B2" w14:textId="334E80D0" w:rsidR="00266F20" w:rsidRDefault="00174B7D" w:rsidP="0001162A">
      <w:pPr>
        <w:ind w:firstLine="709"/>
      </w:pPr>
      <w:r>
        <w:t xml:space="preserve">Особенностью заболевания является длительное бессимптомное течение. Выявление </w:t>
      </w:r>
      <w:r w:rsidR="00EB137B">
        <w:t>СД 2 чаще</w:t>
      </w:r>
      <w:r>
        <w:t xml:space="preserve"> всего происходит либо случайно, либо в ходе диспансерного обследования пациентов с заболеваниями, часто сочетающимися с СД 2: ожирение, ишемическая болезнь сердца (ИБС), артериальная гипертензия (АГ), подагра, поликистоз </w:t>
      </w:r>
      <w:r>
        <w:lastRenderedPageBreak/>
        <w:t>яичников. При отсутствии скрининга установление диагноза может отдаляться на 7-9 лет от начала заболевания</w:t>
      </w:r>
      <w:r w:rsidR="00293E09">
        <w:t xml:space="preserve"> </w:t>
      </w:r>
      <w:r w:rsidR="00266F20">
        <w:fldChar w:fldCharType="begin"/>
      </w:r>
      <w:r w:rsidR="00C4292D">
        <w:instrText xml:space="preserve"> ADDIN ZOTERO_ITEM CSL_CITATION {"citationID":"s2ZuY8Ru","properties":{"formattedCitation":"[3]","plainCitation":"[3]","noteIndex":0},"citationItems":[{"id":2945,"uris":["http://zotero.org/users/5483459/items/9AF4E2X5"],"itemData":{"id":2945,"type":"document","title":"Министерство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2022."}}],"schema":"https://github.com/citation-style-language/schema/raw/master/csl-citation.json"} </w:instrText>
      </w:r>
      <w:r w:rsidR="00266F20">
        <w:fldChar w:fldCharType="separate"/>
      </w:r>
      <w:r w:rsidR="00266F20" w:rsidRPr="00EB137B">
        <w:t>[3]</w:t>
      </w:r>
      <w:r w:rsidR="00266F20">
        <w:fldChar w:fldCharType="end"/>
      </w:r>
      <w:r w:rsidR="00266F20">
        <w:t>.</w:t>
      </w:r>
    </w:p>
    <w:p w14:paraId="4FEAC4D4" w14:textId="00ED219C" w:rsidR="006F1055" w:rsidRDefault="00B35568" w:rsidP="0001162A">
      <w:pPr>
        <w:ind w:firstLine="709"/>
      </w:pPr>
      <w:r>
        <w:t xml:space="preserve">Абдоминальное ожирение служит основным фактором </w:t>
      </w:r>
      <w:r w:rsidR="00956902">
        <w:t>риска СД 2 и во многом причиной</w:t>
      </w:r>
      <w:r w:rsidR="001C31BE">
        <w:t>,</w:t>
      </w:r>
      <w:r>
        <w:t xml:space="preserve"> наблюдаемой инсулинорезистентности. Однако клиническая манифестация СД 2 возникает тогда, когда к существующей инсулинорезистентности присоединяется дисфункция β-клеток. Аутоантитела к β-клетк</w:t>
      </w:r>
      <w:r w:rsidR="005255C4">
        <w:t>ам</w:t>
      </w:r>
      <w:r>
        <w:t xml:space="preserve"> при СД 2 отсутствуют. Инсулинорезистентность при СД 2 проявляется как в отношении эндогенного, так и экзогенного инсулина. Эндогенный инсулин, как правило, вырабатывается в нормальном или повышенном количестве. Обычно этого хватает для предотвращения диабетического кетоацидоза и пациенты с СД 2 не подвержены ему, за исключением случаев острых состояний, сопровождающихся повышенной потребностью в инсулине (острые воспалительные состояния, оперативные вмешательства, острый инфаркт миокарда</w:t>
      </w:r>
      <w:r w:rsidR="00B1158A">
        <w:t xml:space="preserve"> (ИМ),</w:t>
      </w:r>
      <w:r>
        <w:t xml:space="preserve"> инсульт и др.) </w:t>
      </w:r>
      <w:r>
        <w:fldChar w:fldCharType="begin"/>
      </w:r>
      <w:r w:rsidR="00C4292D">
        <w:instrText xml:space="preserve"> ADDIN ZOTERO_ITEM CSL_CITATION {"citationID":"MYNJvnrl","properties":{"formattedCitation":"[3,4,6]","plainCitation":"[3,4,6]","noteIndex":0},"citationItems":[{"id":2945,"uris":["http://zotero.org/users/5483459/items/9AF4E2X5"],"itemData":{"id":2945,"type":"document","title":"Министерство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2022."},"label":"page"},{"id":2946,"uris":["http://zotero.org/users/5483459/items/SNKK4SQ8"],"itemData":{"id":2946,"type":"article-journal","abstract":"International trends in traditional diabetes complications (cardiovascular, renal, peripheral vascular, ophthalmic, hepatic or neurological diseases) and mortality rates are poorly characterised. An earlier review of studies published up to 2015 demonstrated that most data come from a dozen high-income countries (HICs) in North America, Europe or the Asia–Pacific region and that, in these countries at least, rates of acute glycaemic fluctuations needing medical attention and amputations, myocardial infarction and mortality were all declining over the period. Here, we provide an updated review of published literature on trends in type 2 diabetes complications and mortality in adults since 2015. We also discuss issues related to data collection, analysis and reporting that have influenced global trends in type 2 diabetes and its complications. We found that most data on trends in type 2 diabetes, its complications and mortality come from a small number of HICs with comprehensive surveillance systems, though at least some low- and middle-income countries (LMICs) from Africa and Latin America are represented in this review. The published data suggest that HICs have experienced declines in cardiovascular complication rates and all-cause mortality in people with diabetes. In parallel, cardiovascular complications and mortality rates in people with diabetes have increased over time in LMICs. However, caution is warranted in interpreting trends from LMICs due to extremely sparse data or data that are not comparable across countries. We noted that approaches to case ascertainment and definitions of complications and mortality (numerators) and type 2 diabetes (the denominator) vary widely and influence the interpretation of international data. We offer four key recommendations to more rigorously document trends in rates of type 2 diabetes complications and mortality, over time and worldwide: (1) increasing investments in data collection systems; (2) standardising case definitions and approaches to ascertainment; (3) strengthening analytical capacity; and (4) developing and implementing structured guidelines for reporting of data.","container-title":"Diabetologia","DOI":"10.1007/s00125-021-05585-2","ISSN":"0012-186X","issue":"1","journalAbbreviation":"Diabetologia","note":"PMID: 34837505\nPMCID: PMC8660730","page":"3-13","source":"PubMed Central","title":"Interpreting global trends in type 2 diabetes complications and mortality","volume":"65","author":[{"family":"Ali","given":"Mohammed K."},{"family":"Pearson-Stuttard","given":"Jonathan"},{"family":"Selvin","given":"Elizabeth"},{"family":"Gregg","given":"Edward W."}],"issued":{"date-parts":[["2022"]]}},"label":"page"},{"id":2952,"uris":["http://zotero.org/users/5483459/items/W2MVWRPI"],"itemData":{"id":2952,"type":"article-journal","abstract":"The American Diabetes Association and the European Association for the Study of Diabetes convened a panel to update the prior position statements, published in 2012 and 2015, on the management of type 2 diabetes in adults. A systematic evaluation of the literature since 2014 informed new recommendations. These include additional focus on lifestyle management and diabetes self-management education and support. For those with obesity, efforts targeting weight loss, including lifestyle, medication, and surgical interventions, are recommended. With regards to medication management, for patients with clinical cardiovascular disease, a sodium-glucose cotransporter 2 (SGLT2) inhibitor or a glucagon-like peptide 1 (GLP-1) receptor agonist with proven cardiovascular benefit is recommended. For patients with chronic kidney disease or clinical heart failure and atherosclerotic cardiovascular disease, an SGLT2 inhibitor with proven benefit is recommended. GLP-1 receptor agonists are generally recommended as the first injectable medication.","container-title":"Diabetes Care","DOI":"10.2337/dci18-0033","ISSN":"1935-5548","issue":"12","journalAbbreviation":"Diabetes Care","language":"eng","note":"PMID: 30291106\nPMCID: PMC6245208","page":"2669-2701","source":"PubMed","title":"Management of Hyperglycemia in Type 2 Diabetes, 2018. A Consensus Report by the American Diabetes Association (ADA) and the European Association for the Study of Diabetes (EASD)","volume":"41","author":[{"family":"Davies","given":"Melanie J."},{"family":"D'Alessio","given":"David A."},{"family":"Fradkin","given":"Judith"},{"family":"Kernan","given":"Walter N."},{"family":"Mathieu","given":"Chantal"},{"family":"Mingrone","given":"Geltrude"},{"family":"Rossing","given":"Peter"},{"family":"Tsapas","given":"Apostolos"},{"family":"Wexler","given":"Deborah J."},{"family":"Buse","given":"John B."}],"issued":{"date-parts":[["2018",12]]}},"label":"page"}],"schema":"https://github.com/citation-style-language/schema/raw/master/csl-citation.json"} </w:instrText>
      </w:r>
      <w:r>
        <w:fldChar w:fldCharType="separate"/>
      </w:r>
      <w:r w:rsidR="00C4292D" w:rsidRPr="00C4292D">
        <w:t>[3,4,6]</w:t>
      </w:r>
      <w:r>
        <w:fldChar w:fldCharType="end"/>
      </w:r>
      <w:r w:rsidR="00C4292D">
        <w:t>.</w:t>
      </w:r>
    </w:p>
    <w:p w14:paraId="1FA9460F" w14:textId="7307C8F0" w:rsidR="00724085" w:rsidRDefault="00724085" w:rsidP="0001162A">
      <w:pPr>
        <w:ind w:firstLine="709"/>
      </w:pPr>
      <w:r>
        <w:t>Как правило, у пациентов с СД 2 наряду с избыточной массой тела (или ожирением) имеются различные проявления метаболического синдрома: АГ, атерогенная дислипидемия, гиперурикемия, микроальбуминурия, нарушение свертываемости крови.</w:t>
      </w:r>
    </w:p>
    <w:p w14:paraId="7AF67BC0" w14:textId="0F0F0885" w:rsidR="00724085" w:rsidRDefault="00724085" w:rsidP="0001162A">
      <w:pPr>
        <w:ind w:firstLine="709"/>
      </w:pPr>
      <w:r>
        <w:t>У 20–30% пациентов первым проявлением СД 2 могут быть ИМ, инсульт, потеря зрения и другие осложнения.</w:t>
      </w:r>
      <w:r w:rsidR="00134580">
        <w:t xml:space="preserve"> </w:t>
      </w:r>
      <w:r>
        <w:t xml:space="preserve">Неблагоприятный прогноз у пациентов с СД 2 определяется развитием макро- и микрососудистых осложнений. Основная причина смерти пациентов с СД 2 </w:t>
      </w:r>
      <w:r w:rsidR="000C2E6C">
        <w:t xml:space="preserve">– </w:t>
      </w:r>
      <w:r>
        <w:t xml:space="preserve">это </w:t>
      </w:r>
      <w:r w:rsidR="00B1158A">
        <w:t>сердечно-сосудистые заболевания (</w:t>
      </w:r>
      <w:r>
        <w:t>ССЗ</w:t>
      </w:r>
      <w:r w:rsidR="00B1158A">
        <w:t>)</w:t>
      </w:r>
      <w:r>
        <w:t xml:space="preserve">, распространенность которых среди пациентов СД 2 в 2–4 раза превышает </w:t>
      </w:r>
      <w:r w:rsidR="00B1158A">
        <w:t>распространённость у</w:t>
      </w:r>
      <w:r>
        <w:t xml:space="preserve"> лиц без СД </w:t>
      </w:r>
      <w:r>
        <w:fldChar w:fldCharType="begin"/>
      </w:r>
      <w:r w:rsidR="00D34551">
        <w:instrText xml:space="preserve"> ADDIN ZOTERO_ITEM CSL_CITATION {"citationID":"pSWwNtgW","properties":{"formattedCitation":"[3,4,6]","plainCitation":"[3,4,6]","noteIndex":0},"citationItems":[{"id":2945,"uris":["http://zotero.org/users/5483459/items/9AF4E2X5"],"itemData":{"id":2945,"type":"document","title":"Министерство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2022."},"label":"page"},{"id":2946,"uris":["http://zotero.org/users/5483459/items/SNKK4SQ8"],"itemData":{"id":2946,"type":"article-journal","abstract":"International trends in traditional diabetes complications (cardiovascular, renal, peripheral vascular, ophthalmic, hepatic or neurological diseases) and mortality rates are poorly characterised. An earlier review of studies published up to 2015 demonstrated that most data come from a dozen high-income countries (HICs) in North America, Europe or the Asia–Pacific region and that, in these countries at least, rates of acute glycaemic fluctuations needing medical attention and amputations, myocardial infarction and mortality were all declining over the period. Here, we provide an updated review of published literature on trends in type 2 diabetes complications and mortality in adults since 2015. We also discuss issues related to data collection, analysis and reporting that have influenced global trends in type 2 diabetes and its complications. We found that most data on trends in type 2 diabetes, its complications and mortality come from a small number of HICs with comprehensive surveillance systems, though at least some low- and middle-income countries (LMICs) from Africa and Latin America are represented in this review. The published data suggest that HICs have experienced declines in cardiovascular complication rates and all-cause mortality in people with diabetes. In parallel, cardiovascular complications and mortality rates in people with diabetes have increased over time in LMICs. However, caution is warranted in interpreting trends from LMICs due to extremely sparse data or data that are not comparable across countries. We noted that approaches to case ascertainment and definitions of complications and mortality (numerators) and type 2 diabetes (the denominator) vary widely and influence the interpretation of international data. We offer four key recommendations to more rigorously document trends in rates of type 2 diabetes complications and mortality, over time and worldwide: (1) increasing investments in data collection systems; (2) standardising case definitions and approaches to ascertainment; (3) strengthening analytical capacity; and (4) developing and implementing structured guidelines for reporting of data.","container-title":"Diabetologia","DOI":"10.1007/s00125-021-05585-2","ISSN":"0012-186X","issue":"1","journalAbbreviation":"Diabetologia","note":"PMID: 34837505\nPMCID: PMC8660730","page":"3-13","source":"PubMed Central","title":"Interpreting global trends in type 2 diabetes complications and mortality","volume":"65","author":[{"family":"Ali","given":"Mohammed K."},{"family":"Pearson-Stuttard","given":"Jonathan"},{"family":"Selvin","given":"Elizabeth"},{"family":"Gregg","given":"Edward W."}],"issued":{"date-parts":[["2022"]]}},"label":"page"},{"id":2952,"uris":["http://zotero.org/users/5483459/items/W2MVWRPI"],"itemData":{"id":2952,"type":"article-journal","abstract":"The American Diabetes Association and the European Association for the Study of Diabetes convened a panel to update the prior position statements, published in 2012 and 2015, on the management of type 2 diabetes in adults. A systematic evaluation of the literature since 2014 informed new recommendations. These include additional focus on lifestyle management and diabetes self-management education and support. For those with obesity, efforts targeting weight loss, including lifestyle, medication, and surgical interventions, are recommended. With regards to medication management, for patients with clinical cardiovascular disease, a sodium-glucose cotransporter 2 (SGLT2) inhibitor or a glucagon-like peptide 1 (GLP-1) receptor agonist with proven cardiovascular benefit is recommended. For patients with chronic kidney disease or clinical heart failure and atherosclerotic cardiovascular disease, an SGLT2 inhibitor with proven benefit is recommended. GLP-1 receptor agonists are generally recommended as the first injectable medication.","container-title":"Diabetes Care","DOI":"10.2337/dci18-0033","ISSN":"1935-5548","issue":"12","journalAbbreviation":"Diabetes Care","language":"eng","note":"PMID: 30291106\nPMCID: PMC6245208","page":"2669-2701","source":"PubMed","title":"Management of Hyperglycemia in Type 2 Diabetes, 2018. A Consensus Report by the American Diabetes Association (ADA) and the European Association for the Study of Diabetes (EASD)","volume":"41","author":[{"family":"Davies","given":"Melanie J."},{"family":"D'Alessio","given":"David A."},{"family":"Fradkin","given":"Judith"},{"family":"Kernan","given":"Walter N."},{"family":"Mathieu","given":"Chantal"},{"family":"Mingrone","given":"Geltrude"},{"family":"Rossing","given":"Peter"},{"family":"Tsapas","given":"Apostolos"},{"family":"Wexler","given":"Deborah J."},{"family":"Buse","given":"John B."}],"issued":{"date-parts":[["2018",12]]}},"label":"page"}],"schema":"https://github.com/citation-style-language/schema/raw/master/csl-citation.json"} </w:instrText>
      </w:r>
      <w:r>
        <w:fldChar w:fldCharType="separate"/>
      </w:r>
      <w:r w:rsidRPr="00C4292D">
        <w:t>[3,4,6]</w:t>
      </w:r>
      <w:r>
        <w:fldChar w:fldCharType="end"/>
      </w:r>
      <w:r>
        <w:t>.</w:t>
      </w:r>
    </w:p>
    <w:p w14:paraId="6A1A538F" w14:textId="120D7EDE" w:rsidR="00295007" w:rsidRDefault="00295007" w:rsidP="00B44502">
      <w:pPr>
        <w:pStyle w:val="111"/>
      </w:pPr>
      <w:bookmarkStart w:id="37" w:name="_Toc139361927"/>
      <w:r w:rsidRPr="006A2AD7">
        <w:t xml:space="preserve">1.7.2. </w:t>
      </w:r>
      <w:r w:rsidR="00247791">
        <w:t xml:space="preserve"> </w:t>
      </w:r>
      <w:bookmarkStart w:id="38" w:name="_Toc395011863"/>
      <w:r w:rsidRPr="006A2AD7">
        <w:t>Существующие варианты терапии</w:t>
      </w:r>
      <w:bookmarkStart w:id="39" w:name="_Hlk521882537"/>
      <w:bookmarkEnd w:id="37"/>
      <w:bookmarkEnd w:id="38"/>
    </w:p>
    <w:p w14:paraId="3B744495" w14:textId="1DE6A317" w:rsidR="00D80BD5" w:rsidRPr="0001162A" w:rsidRDefault="00D80BD5" w:rsidP="005E7154">
      <w:pPr>
        <w:ind w:firstLine="709"/>
      </w:pPr>
      <w:r w:rsidRPr="00D80BD5">
        <w:t>При лечении СД 2 необходимо придерживаться стратегии многофакторного воздействия и, помимо адекватного контроля углеводного обмена, стремиться достигать целевых показателей АД</w:t>
      </w:r>
      <w:r w:rsidR="000B69EF">
        <w:t>,</w:t>
      </w:r>
      <w:r w:rsidRPr="00D80BD5">
        <w:t xml:space="preserve"> липидного обмена</w:t>
      </w:r>
      <w:r w:rsidR="000B69EF">
        <w:t>,</w:t>
      </w:r>
      <w:r w:rsidRPr="00D80BD5">
        <w:t xml:space="preserve"> использовать препараты, влияющие на снижение сердечно-сосудистого риска</w:t>
      </w:r>
      <w:r w:rsidR="000B69EF">
        <w:t>,</w:t>
      </w:r>
      <w:r w:rsidRPr="00D80BD5">
        <w:t xml:space="preserve"> модифицировать образ жизни (включая физическую активность, снижение массы тела при необходимости, отказ от курения и др.). Многофакторные вмешательства могут не только значительно снижать риск </w:t>
      </w:r>
      <w:r w:rsidRPr="0001162A">
        <w:t xml:space="preserve">микрососудистых осложнений и сердечно-сосудистые риски, но и, возможно, приводить к значимому снижению смертности у пациентов с СД 2 </w:t>
      </w:r>
      <w:r w:rsidR="00D9173C" w:rsidRPr="0001162A">
        <w:fldChar w:fldCharType="begin"/>
      </w:r>
      <w:r w:rsidR="00D9173C" w:rsidRPr="0001162A">
        <w:instrText xml:space="preserve"> ADDIN ZOTERO_ITEM CSL_CITATION {"citationID":"5ZCqdrhG","properties":{"formattedCitation":"[3]","plainCitation":"[3]","noteIndex":0},"citationItems":[{"id":2945,"uris":["http://zotero.org/users/5483459/items/9AF4E2X5"],"itemData":{"id":2945,"type":"document","title":"Министерство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2022."}}],"schema":"https://github.com/citation-style-language/schema/raw/master/csl-citation.json"} </w:instrText>
      </w:r>
      <w:r w:rsidR="00D9173C" w:rsidRPr="0001162A">
        <w:fldChar w:fldCharType="separate"/>
      </w:r>
      <w:r w:rsidR="00D9173C" w:rsidRPr="0001162A">
        <w:t>[3]</w:t>
      </w:r>
      <w:r w:rsidR="00D9173C" w:rsidRPr="0001162A">
        <w:fldChar w:fldCharType="end"/>
      </w:r>
      <w:r w:rsidR="00D9173C" w:rsidRPr="0001162A">
        <w:t>.</w:t>
      </w:r>
    </w:p>
    <w:p w14:paraId="0A525822" w14:textId="71580FCC" w:rsidR="006E7706" w:rsidRPr="0001162A" w:rsidRDefault="00C5247A" w:rsidP="005E7154">
      <w:pPr>
        <w:pStyle w:val="OT"/>
        <w:spacing w:after="0"/>
        <w:ind w:firstLine="709"/>
        <w:rPr>
          <w:sz w:val="24"/>
          <w:szCs w:val="24"/>
        </w:rPr>
      </w:pPr>
      <w:r w:rsidRPr="0001162A">
        <w:rPr>
          <w:sz w:val="24"/>
          <w:szCs w:val="24"/>
        </w:rPr>
        <w:t>Комплексное л</w:t>
      </w:r>
      <w:r w:rsidR="006E7706" w:rsidRPr="0001162A">
        <w:rPr>
          <w:sz w:val="24"/>
          <w:szCs w:val="24"/>
        </w:rPr>
        <w:t xml:space="preserve">ечение СД 2 включает в себя: </w:t>
      </w:r>
    </w:p>
    <w:p w14:paraId="0743ADDE" w14:textId="77777777" w:rsidR="0001162A" w:rsidRPr="0001162A" w:rsidRDefault="0001162A" w:rsidP="0001162A">
      <w:pPr>
        <w:pStyle w:val="af3"/>
        <w:numPr>
          <w:ilvl w:val="0"/>
          <w:numId w:val="40"/>
        </w:numPr>
        <w:autoSpaceDE w:val="0"/>
        <w:autoSpaceDN w:val="0"/>
        <w:adjustRightInd w:val="0"/>
        <w:rPr>
          <w:rFonts w:eastAsia="TimesNewRomanPSMT"/>
          <w:lang w:eastAsia="en-US"/>
        </w:rPr>
      </w:pPr>
      <w:r w:rsidRPr="0001162A">
        <w:rPr>
          <w:rFonts w:eastAsia="TimesNewRomanPSMT"/>
          <w:lang w:eastAsia="en-US"/>
        </w:rPr>
        <w:t>коррекцию питания;</w:t>
      </w:r>
    </w:p>
    <w:p w14:paraId="4A71CE34" w14:textId="77777777" w:rsidR="0001162A" w:rsidRPr="0001162A" w:rsidRDefault="0001162A" w:rsidP="0001162A">
      <w:pPr>
        <w:pStyle w:val="af3"/>
        <w:numPr>
          <w:ilvl w:val="0"/>
          <w:numId w:val="40"/>
        </w:numPr>
        <w:autoSpaceDE w:val="0"/>
        <w:autoSpaceDN w:val="0"/>
        <w:adjustRightInd w:val="0"/>
        <w:rPr>
          <w:rFonts w:eastAsia="TimesNewRomanPSMT"/>
          <w:lang w:eastAsia="en-US"/>
        </w:rPr>
      </w:pPr>
      <w:r w:rsidRPr="0001162A">
        <w:rPr>
          <w:rFonts w:eastAsia="TimesNewRomanPSMT"/>
          <w:lang w:eastAsia="en-US"/>
        </w:rPr>
        <w:t>коррекцию физической активности;</w:t>
      </w:r>
    </w:p>
    <w:p w14:paraId="2ABC3D44" w14:textId="77777777" w:rsidR="0001162A" w:rsidRPr="0001162A" w:rsidRDefault="0001162A" w:rsidP="0001162A">
      <w:pPr>
        <w:pStyle w:val="af3"/>
        <w:numPr>
          <w:ilvl w:val="0"/>
          <w:numId w:val="40"/>
        </w:numPr>
        <w:autoSpaceDE w:val="0"/>
        <w:autoSpaceDN w:val="0"/>
        <w:adjustRightInd w:val="0"/>
        <w:rPr>
          <w:rFonts w:eastAsia="TimesNewRomanPSMT"/>
          <w:lang w:eastAsia="en-US"/>
        </w:rPr>
      </w:pPr>
      <w:r w:rsidRPr="0001162A">
        <w:rPr>
          <w:rFonts w:eastAsia="TimesNewRomanPSMT"/>
          <w:lang w:eastAsia="en-US"/>
        </w:rPr>
        <w:t>самоконтроль гликемии;</w:t>
      </w:r>
    </w:p>
    <w:p w14:paraId="41C0A6A5" w14:textId="77777777" w:rsidR="000B1920" w:rsidRPr="0001162A" w:rsidRDefault="000B1920" w:rsidP="000B1920">
      <w:pPr>
        <w:pStyle w:val="af3"/>
        <w:numPr>
          <w:ilvl w:val="0"/>
          <w:numId w:val="40"/>
        </w:numPr>
        <w:autoSpaceDE w:val="0"/>
        <w:autoSpaceDN w:val="0"/>
        <w:adjustRightInd w:val="0"/>
        <w:rPr>
          <w:rFonts w:eastAsia="TimesNewRomanPSMT"/>
          <w:lang w:eastAsia="en-US"/>
        </w:rPr>
      </w:pPr>
      <w:r w:rsidRPr="0001162A">
        <w:rPr>
          <w:rFonts w:eastAsia="TimesNewRomanPSMT"/>
          <w:lang w:eastAsia="en-US"/>
        </w:rPr>
        <w:t>сахароснижающие препараты;</w:t>
      </w:r>
    </w:p>
    <w:p w14:paraId="205ECDCB" w14:textId="77777777" w:rsidR="000B1920" w:rsidRDefault="0001162A" w:rsidP="000B1920">
      <w:pPr>
        <w:pStyle w:val="af3"/>
        <w:numPr>
          <w:ilvl w:val="0"/>
          <w:numId w:val="40"/>
        </w:numPr>
        <w:autoSpaceDE w:val="0"/>
        <w:autoSpaceDN w:val="0"/>
        <w:adjustRightInd w:val="0"/>
        <w:rPr>
          <w:rFonts w:eastAsia="TimesNewRomanPSMT"/>
          <w:lang w:eastAsia="en-US"/>
        </w:rPr>
      </w:pPr>
      <w:r w:rsidRPr="0001162A">
        <w:rPr>
          <w:rFonts w:eastAsia="TimesNewRomanPSMT"/>
          <w:lang w:eastAsia="en-US"/>
        </w:rPr>
        <w:t>хирургическое лечение (метаболическая хирургия) при ожирении</w:t>
      </w:r>
      <w:r w:rsidR="000B1920">
        <w:rPr>
          <w:rFonts w:eastAsia="TimesNewRomanPSMT"/>
          <w:lang w:eastAsia="en-US"/>
        </w:rPr>
        <w:t>;</w:t>
      </w:r>
      <w:r w:rsidRPr="0001162A">
        <w:rPr>
          <w:rFonts w:eastAsia="TimesNewRomanPSMT"/>
          <w:lang w:eastAsia="en-US"/>
        </w:rPr>
        <w:t xml:space="preserve"> </w:t>
      </w:r>
    </w:p>
    <w:p w14:paraId="2C534DA8" w14:textId="7BFE606F" w:rsidR="00662B89" w:rsidRPr="000B1920" w:rsidRDefault="000B1920" w:rsidP="000B1920">
      <w:pPr>
        <w:pStyle w:val="af3"/>
        <w:numPr>
          <w:ilvl w:val="0"/>
          <w:numId w:val="40"/>
        </w:numPr>
        <w:autoSpaceDE w:val="0"/>
        <w:autoSpaceDN w:val="0"/>
        <w:adjustRightInd w:val="0"/>
        <w:rPr>
          <w:rFonts w:eastAsia="TimesNewRomanPSMT"/>
          <w:lang w:eastAsia="en-US"/>
        </w:rPr>
      </w:pPr>
      <w:r w:rsidRPr="0001162A">
        <w:rPr>
          <w:rFonts w:eastAsia="TimesNewRomanPSMT"/>
          <w:lang w:eastAsia="en-US"/>
        </w:rPr>
        <w:t>обучение пр</w:t>
      </w:r>
      <w:r>
        <w:rPr>
          <w:rFonts w:eastAsia="TimesNewRomanPSMT"/>
          <w:lang w:eastAsia="en-US"/>
        </w:rPr>
        <w:t xml:space="preserve">инципам управления заболеванием </w:t>
      </w:r>
      <w:r w:rsidR="00D9173C" w:rsidRPr="000B1920">
        <w:fldChar w:fldCharType="begin"/>
      </w:r>
      <w:r w:rsidR="00D9173C" w:rsidRPr="000B1920">
        <w:instrText xml:space="preserve"> ADDIN ZOTERO_ITEM CSL_CITATION {"citationID":"YFF1VWj6","properties":{"formattedCitation":"[2,3,6,7]","plainCitation":"[2,3,6,7]","noteIndex":0},"citationItems":[{"id":2944,"uris":["http://zotero.org/users/5483459/items/WVT73AHU"],"itemData":{"id":2944,"type":"document","title":"International Diabetes Federation. IDF Diabetes Atlas. 10th ed. 2021"},"label":"page"},{"id":2945,"uris":["http://zotero.org/users/5483459/items/9AF4E2X5"],"itemData":{"id":2945,"type":"document","title":"Министерство здравоохранения Российской Федерации. Клинические рекомендации сахарный диабет 2 типа. 2022."},"label":"page"},{"id":2952,"uris":["http://zotero.org/users/5483459/items/W2MVWRPI"],"itemData":{"id":2952,"type":"article-journal","abstract":"The American Diabetes Association and the European Association for the Study of Diabetes convened a panel to update the prior position statements, published in 2012 and 2015, on the management of type 2 diabetes in adults. A systematic evaluation of the literature since 2014 informed new recommendations. These include additional focus on lifestyle management and diabetes self-management education and support. For those with obesity, efforts targeting weight loss, including lifestyle, medication, and surgical interventions, are recommended. With regards to medication management, for patients with clinical cardiovascular disease, a sodium-glucose cotransporter 2 (SGLT2) inhibitor or a glucagon-like peptide 1 (GLP-1) receptor agonist with proven cardiovascular benefit is recommended. For patients with chronic kidney disease or clinical heart failure and atherosclerotic cardiovascular disease, an SGLT2 inhibitor with proven benefit is recommended. GLP-1 receptor agonists are generally recommended as the first injectable medication.","container-title":"Diabetes Care","DOI":"10.2337/dci18-0033","ISSN":"1935-5548","issue":"12","journalAbbreviation":"Diabetes Care","language":"eng","note":"PMID: 30291106\nPMCID: PMC6245208","page":"2669-2701","source":"PubMed","title":"Management of Hyperglycemia in Type 2 Diabetes, 2018. A Consensus Report by the American Diabetes Association (ADA) and the European Association for the Study of Diabetes (EASD)","volume":"41","author":[{"family":"Davies","given":"Melanie J."},{"family":"D'Alessio","given":"David A."},{"family":"Fradkin","given":"Judith"},{"family":"Kernan","given":"Walter N."},{"family":"Mathieu","given":"Chantal"},{"family":"Mingrone","given":"Geltrude"},{"family":"Rossing","given":"Peter"},{"family":"Tsapas","given":"Apostolos"},{"family":"Wexler","given":"Deborah J."},{"family":"Buse","given":"John B."}],"issued":{"date-parts":[["2018",12]]}},"label":"page"},{"id":2939,"uris":["http://zotero.org/users/5483459/items/SJBZ4HU2"],"itemData":{"id":2939,"type":"document","title":"European  Medicines Agency.Assessment report Trajenta (linagliptin). Procedure No.: EMEA/H/C/002110/0000"},"label":"page"}],"schema":"https://github.com/citation-style-language/schema/raw/master/csl-citation.json"} </w:instrText>
      </w:r>
      <w:r w:rsidR="00D9173C" w:rsidRPr="000B1920">
        <w:fldChar w:fldCharType="separate"/>
      </w:r>
      <w:r w:rsidR="00D9173C" w:rsidRPr="000B1920">
        <w:t>[2,3,6,7]</w:t>
      </w:r>
      <w:r w:rsidR="00D9173C" w:rsidRPr="000B1920">
        <w:fldChar w:fldCharType="end"/>
      </w:r>
      <w:r w:rsidR="00D9173C" w:rsidRPr="000B1920">
        <w:t>.</w:t>
      </w:r>
    </w:p>
    <w:p w14:paraId="208A0C88" w14:textId="77777777" w:rsidR="005E7154" w:rsidRDefault="005E7154" w:rsidP="005E7154">
      <w:pPr>
        <w:pStyle w:val="OT"/>
        <w:spacing w:after="0"/>
        <w:rPr>
          <w:b/>
          <w:bCs/>
          <w:sz w:val="24"/>
          <w:szCs w:val="24"/>
        </w:rPr>
      </w:pPr>
    </w:p>
    <w:p w14:paraId="286FA82F" w14:textId="6DA6514E" w:rsidR="00472062" w:rsidRPr="0001162A" w:rsidRDefault="005E7154" w:rsidP="005E7154">
      <w:pPr>
        <w:pStyle w:val="OT"/>
        <w:spacing w:after="0"/>
        <w:rPr>
          <w:b/>
          <w:bCs/>
          <w:sz w:val="24"/>
          <w:szCs w:val="24"/>
        </w:rPr>
      </w:pPr>
      <w:r>
        <w:rPr>
          <w:b/>
          <w:bCs/>
          <w:sz w:val="24"/>
          <w:szCs w:val="24"/>
        </w:rPr>
        <w:t>Коррекция п</w:t>
      </w:r>
      <w:r w:rsidR="00472062" w:rsidRPr="0001162A">
        <w:rPr>
          <w:b/>
          <w:bCs/>
          <w:sz w:val="24"/>
          <w:szCs w:val="24"/>
        </w:rPr>
        <w:t>итани</w:t>
      </w:r>
      <w:r>
        <w:rPr>
          <w:b/>
          <w:bCs/>
          <w:sz w:val="24"/>
          <w:szCs w:val="24"/>
        </w:rPr>
        <w:t>я</w:t>
      </w:r>
    </w:p>
    <w:p w14:paraId="26D3B5B7" w14:textId="77777777" w:rsidR="005E7154" w:rsidRDefault="005E7154" w:rsidP="005E7154">
      <w:pPr>
        <w:ind w:firstLine="709"/>
      </w:pPr>
    </w:p>
    <w:p w14:paraId="60EB8BAE" w14:textId="4048FFA4" w:rsidR="000039A0" w:rsidRDefault="000039A0" w:rsidP="005E7154">
      <w:pPr>
        <w:ind w:firstLine="709"/>
      </w:pPr>
      <w:r w:rsidRPr="000039A0">
        <w:t xml:space="preserve">Рекомендуется рассматривать питание как часть терапевтического плана у всех пациентов </w:t>
      </w:r>
      <w:r w:rsidR="0077386B">
        <w:t xml:space="preserve">с </w:t>
      </w:r>
      <w:r w:rsidRPr="000039A0">
        <w:t>СД 2 при любом варианте медикаментозной сахароснижающей терапии для достижения метаболических целей</w:t>
      </w:r>
      <w:r w:rsidR="001A6A0B">
        <w:t xml:space="preserve">. </w:t>
      </w:r>
    </w:p>
    <w:p w14:paraId="0B8AA823" w14:textId="08A05B13" w:rsidR="00D9173C" w:rsidRDefault="001A6A0B" w:rsidP="005E7154">
      <w:pPr>
        <w:ind w:firstLine="709"/>
      </w:pPr>
      <w:r w:rsidRPr="00E713C6">
        <w:t>Рекомендуется ограничение калорийности рациона всем пациентам СД 2 с избыточной массой тела/ожирением с целью умеренного снижения массы тела</w:t>
      </w:r>
      <w:r w:rsidR="00E713C6" w:rsidRPr="00E713C6">
        <w:t xml:space="preserve">. Снижение массы тела обеспечивает положительный эффект в отношении гликемического контроля, </w:t>
      </w:r>
      <w:r w:rsidR="000B69EF">
        <w:lastRenderedPageBreak/>
        <w:t xml:space="preserve">контроля уровня </w:t>
      </w:r>
      <w:r w:rsidR="00E713C6" w:rsidRPr="00E713C6">
        <w:t>липидов и АД, особенно в ранний период заболевания. Процесс снижения массы тела наиболее эффективен при одновременном применении физических нагрузок и обучающих программ. Резкие, нефизиологические ограничения в питании и голодание противопоказаны.</w:t>
      </w:r>
      <w:r w:rsidR="000B69EF">
        <w:t xml:space="preserve"> </w:t>
      </w:r>
      <w:r w:rsidR="00E713C6" w:rsidRPr="000B69EF">
        <w:t>Не рекомендуется определение процентного соотношения калорий из белков, жиров и углеводов у пациентов с СД 2 ввиду отсутствия значимых преимуществ для снижения массы тела и улучшения гликемического контроля</w:t>
      </w:r>
      <w:r w:rsidR="00E713C6" w:rsidRPr="00E713C6">
        <w:t xml:space="preserve"> </w:t>
      </w:r>
      <w:r w:rsidR="00D9173C">
        <w:fldChar w:fldCharType="begin"/>
      </w:r>
      <w:r w:rsidR="00006D23">
        <w:instrText xml:space="preserve"> ADDIN ZOTERO_ITEM CSL_CITATION {"citationID":"xWwfzHba","properties":{"formattedCitation":"[2,3,6,7]","plainCitation":"[2,3,6,7]","noteIndex":0},"citationItems":[{"id":2944,"uris":["http://zotero.org/users/5483459/items/WVT73AHU"],"itemData":{"id":2944,"type":"document","title":"International Diabetes Federation. IDF Diabetes Atlas. 10th ed. 2021"},"label":"page"},{"id":2945,"uris":["http://zotero.org/users/5483459/items/9AF4E2X5"],"itemData":{"id":2945,"type":"document","title":"Министерство здравоохранения Российской Федерации. Клинические рекомендации сахарный диабет 2 типа. 2022."},"label":"page"},{"id":2952,"uris":["http://zotero.org/users/5483459/items/W2MVWRPI"],"itemData":{"id":2952,"type":"article-journal","abstract":"The American Diabetes Association and the European Association for the Study of Diabetes convened a panel to update the prior position statements, published in 2012 and 2015, on the management of type 2 diabetes in adults. A systematic evaluation of the literature since 2014 informed new recommendations. These include additional focus on lifestyle management and diabetes self-management education and support. For those with obesity, efforts targeting weight loss, including lifestyle, medication, and surgical interventions, are recommended. With regards to medication management, for patients with clinical cardiovascular disease, a sodium-glucose cotransporter 2 (SGLT2) inhibitor or a glucagon-like peptide 1 (GLP-1) receptor agonist with proven cardiovascular benefit is recommended. For patients with chronic kidney disease or clinical heart failure and atherosclerotic cardiovascular disease, an SGLT2 inhibitor with proven benefit is recommended. GLP-1 receptor agonists are generally recommended as the first injectable medication.","container-title":"Diabetes Care","DOI":"10.2337/dci18-0033","ISSN":"1935-5548","issue":"12","journalAbbreviation":"Diabetes Care","language":"eng","note":"PMID: 30291106\nPMCID: PMC6245208","page":"2669-2701","source":"PubMed","title":"Management of Hyperglycemia in Type 2 Diabetes, 2018. A Consensus Report by the American Diabetes Association (ADA) and the European Association for the Study of Diabetes (EASD)","volume":"41","author":[{"family":"Davies","given":"Melanie J."},{"family":"D'Alessio","given":"David A."},{"family":"Fradkin","given":"Judith"},{"family":"Kernan","given":"Walter N."},{"family":"Mathieu","given":"Chantal"},{"family":"Mingrone","given":"Geltrude"},{"family":"Rossing","given":"Peter"},{"family":"Tsapas","given":"Apostolos"},{"family":"Wexler","given":"Deborah J."},{"family":"Buse","given":"John B."}],"issued":{"date-parts":[["2018",12]]}},"label":"page"},{"id":2939,"uris":["http://zotero.org/users/5483459/items/SJBZ4HU2"],"itemData":{"id":2939,"type":"document","title":"European  Medicines Agency.Assessment report Trajenta (linagliptin). Procedure No.: EMEA/H/C/002110/0000"},"label":"page"}],"schema":"https://github.com/citation-style-language/schema/raw/master/csl-citation.json"} </w:instrText>
      </w:r>
      <w:r w:rsidR="00D9173C">
        <w:fldChar w:fldCharType="separate"/>
      </w:r>
      <w:r w:rsidR="00D9173C" w:rsidRPr="00D9173C">
        <w:t>[2,3,6,7]</w:t>
      </w:r>
      <w:r w:rsidR="00D9173C">
        <w:fldChar w:fldCharType="end"/>
      </w:r>
      <w:r w:rsidR="00D9173C">
        <w:t>.</w:t>
      </w:r>
    </w:p>
    <w:p w14:paraId="4F640F50" w14:textId="77777777" w:rsidR="0077386B" w:rsidRDefault="0077386B" w:rsidP="005E7154">
      <w:pPr>
        <w:pStyle w:val="OT"/>
        <w:spacing w:after="0"/>
        <w:rPr>
          <w:b/>
          <w:bCs/>
          <w:sz w:val="24"/>
          <w:szCs w:val="24"/>
        </w:rPr>
      </w:pPr>
    </w:p>
    <w:p w14:paraId="6C7FD5BE" w14:textId="300D7F79" w:rsidR="00472566" w:rsidRPr="00472566" w:rsidRDefault="0074499F" w:rsidP="005E7154">
      <w:pPr>
        <w:pStyle w:val="OT"/>
        <w:spacing w:after="0"/>
        <w:rPr>
          <w:b/>
          <w:bCs/>
          <w:sz w:val="24"/>
          <w:szCs w:val="24"/>
        </w:rPr>
      </w:pPr>
      <w:r>
        <w:rPr>
          <w:b/>
          <w:bCs/>
          <w:sz w:val="24"/>
          <w:szCs w:val="24"/>
        </w:rPr>
        <w:t>Коррекция ф</w:t>
      </w:r>
      <w:r w:rsidR="00472566" w:rsidRPr="00472566">
        <w:rPr>
          <w:b/>
          <w:bCs/>
          <w:sz w:val="24"/>
          <w:szCs w:val="24"/>
        </w:rPr>
        <w:t>изическ</w:t>
      </w:r>
      <w:r>
        <w:rPr>
          <w:b/>
          <w:bCs/>
          <w:sz w:val="24"/>
          <w:szCs w:val="24"/>
        </w:rPr>
        <w:t>ой</w:t>
      </w:r>
      <w:r w:rsidR="00472566" w:rsidRPr="00472566">
        <w:rPr>
          <w:b/>
          <w:bCs/>
          <w:sz w:val="24"/>
          <w:szCs w:val="24"/>
        </w:rPr>
        <w:t xml:space="preserve"> активност</w:t>
      </w:r>
      <w:r>
        <w:rPr>
          <w:b/>
          <w:bCs/>
          <w:sz w:val="24"/>
          <w:szCs w:val="24"/>
        </w:rPr>
        <w:t>и</w:t>
      </w:r>
    </w:p>
    <w:p w14:paraId="5A6A8937" w14:textId="77777777" w:rsidR="0077386B" w:rsidRDefault="0077386B" w:rsidP="005E7154">
      <w:pPr>
        <w:ind w:firstLine="709"/>
      </w:pPr>
    </w:p>
    <w:p w14:paraId="39CF7478" w14:textId="08E1D30F" w:rsidR="006E7706" w:rsidRPr="00D80BD5" w:rsidRDefault="006E7706" w:rsidP="005E7154">
      <w:pPr>
        <w:ind w:firstLine="709"/>
      </w:pPr>
      <w:r w:rsidRPr="00D80BD5">
        <w:t>Изменение образа жизни является основой терапии СД 2 и должно продолжаться на всем протяжении заболевания.</w:t>
      </w:r>
      <w:r w:rsidR="00662B89" w:rsidRPr="00D80BD5">
        <w:t xml:space="preserve"> </w:t>
      </w:r>
      <w:r w:rsidRPr="00D80BD5">
        <w:t>Обучение принципам управления заболеванием и мотивация пациента должны начинаться незамедлительно и сопровождать лечение на всем его протяжении</w:t>
      </w:r>
      <w:r w:rsidR="00662B89" w:rsidRPr="00D80BD5">
        <w:t xml:space="preserve"> </w:t>
      </w:r>
      <w:r w:rsidR="00D34551" w:rsidRPr="00D80BD5">
        <w:fldChar w:fldCharType="begin"/>
      </w:r>
      <w:r w:rsidR="00D9173C">
        <w:instrText xml:space="preserve"> ADDIN ZOTERO_ITEM CSL_CITATION {"citationID":"zJxyjs6i","properties":{"formattedCitation":"[3,6,8]","plainCitation":"[3,6,8]","noteIndex":0},"citationItems":[{"id":2945,"uris":["http://zotero.org/users/5483459/items/9AF4E2X5"],"itemData":{"id":2945,"type":"document","title":"Министерство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2022."},"label":"page"},{"id":2955,"uris":["http://zotero.org/users/5483459/items/PINKQXGM"],"itemData":{"id":2955,"type":"article-journal","container-title":"European Heart Journal","DOI":"10.1093/eurheartj/ehz486","ISSN":"1522-9645","issue":"2","journalAbbreviation":"Eur Heart J","language":"eng","note":"PMID: 31497854","page":"255-323","source":"PubMed","title":"2019 ESC Guidelines on diabetes, pre-diabetes, and cardiovascular diseases developed in collaboration with the EASD","volume":"41","author":[{"family":"Cosentino","given":"Francesco"},{"family":"Grant","given":"Peter J."},{"family":"Aboyans","given":"Victor"},{"family":"Bailey","given":"Clifford J."},{"family":"Ceriello","given":"Antonio"},{"family":"Delgado","given":"Victoria"},{"family":"Federici","given":"Massimo"},{"family":"Filippatos","given":"Gerasimos"},{"family":"Grobbee","given":"Diederick E."},{"family":"Hansen","given":"Tina Birgitte"},{"family":"Huikuri","given":"Heikki V."},{"family":"Johansson","given":"Isabelle"},{"family":"Jüni","given":"Peter"},{"family":"Lettino","given":"Maddalena"},{"family":"Marx","given":"Nikolaus"},{"family":"Mellbin","given":"Linda G."},{"family":"Östgren","given":"Carl J."},{"family":"Rocca","given":"Bianca"},{"family":"Roffi","given":"Marco"},{"family":"Sattar","given":"Naveed"},{"family":"Seferović","given":"Petar M."},{"family":"Sousa-Uva","given":"Miguel"},{"family":"Valensi","given":"Paul"},{"family":"Wheeler","given":"David C."},{"literal":"ESC Scientific Document Group"}],"issued":{"date-parts":[["2020",1,7]]}},"label":"page"},{"id":2952,"uris":["http://zotero.org/users/5483459/items/W2MVWRPI"],"itemData":{"id":2952,"type":"article-journal","abstract":"The American Diabetes Association and the European Association for the Study of Diabetes convened a panel to update the prior position statements, published in 2012 and 2015, on the management of type 2 diabetes in adults. A systematic evaluation of the literature since 2014 informed new recommendations. These include additional focus on lifestyle management and diabetes self-management education and support. For those with obesity, efforts targeting weight loss, including lifestyle, medication, and surgical interventions, are recommended. With regards to medication management, for patients with clinical cardiovascular disease, a sodium-glucose cotransporter 2 (SGLT2) inhibitor or a glucagon-like peptide 1 (GLP-1) receptor agonist with proven cardiovascular benefit is recommended. For patients with chronic kidney disease or clinical heart failure and atherosclerotic cardiovascular disease, an SGLT2 inhibitor with proven benefit is recommended. GLP-1 receptor agonists are generally recommended as the first injectable medication.","container-title":"Diabetes Care","DOI":"10.2337/dci18-0033","ISSN":"1935-5548","issue":"12","journalAbbreviation":"Diabetes Care","language":"eng","note":"PMID: 30291106\nPMCID: PMC6245208","page":"2669-2701","source":"PubMed","title":"Management of Hyperglycemia in Type 2 Diabetes, 2018. A Consensus Report by the American Diabetes Association (ADA) and the European Association for the Study of Diabetes (EASD)","volume":"41","author":[{"family":"Davies","given":"Melanie J."},{"family":"D'Alessio","given":"David A."},{"family":"Fradkin","given":"Judith"},{"family":"Kernan","given":"Walter N."},{"family":"Mathieu","given":"Chantal"},{"family":"Mingrone","given":"Geltrude"},{"family":"Rossing","given":"Peter"},{"family":"Tsapas","given":"Apostolos"},{"family":"Wexler","given":"Deborah J."},{"family":"Buse","given":"John B."}],"issued":{"date-parts":[["2018",12]]}},"label":"page"}],"schema":"https://github.com/citation-style-language/schema/raw/master/csl-citation.json"} </w:instrText>
      </w:r>
      <w:r w:rsidR="00D34551" w:rsidRPr="00D80BD5">
        <w:fldChar w:fldCharType="separate"/>
      </w:r>
      <w:r w:rsidR="00D9173C" w:rsidRPr="00D9173C">
        <w:t>[3,6,8]</w:t>
      </w:r>
      <w:r w:rsidR="00D34551" w:rsidRPr="00D80BD5">
        <w:fldChar w:fldCharType="end"/>
      </w:r>
      <w:r w:rsidR="00D34551" w:rsidRPr="00D80BD5">
        <w:t xml:space="preserve">. </w:t>
      </w:r>
    </w:p>
    <w:p w14:paraId="2FF57971" w14:textId="155F2124" w:rsidR="00625866" w:rsidRDefault="00D34551" w:rsidP="005E7154">
      <w:pPr>
        <w:ind w:firstLine="709"/>
      </w:pPr>
      <w:r w:rsidRPr="00D80BD5">
        <w:t xml:space="preserve">Рекомендуется регулярная </w:t>
      </w:r>
      <w:r w:rsidR="00290B05">
        <w:t xml:space="preserve">физическая активность </w:t>
      </w:r>
      <w:r w:rsidRPr="00D80BD5">
        <w:t>для улучшения гликемического контроля, снижения и поддержания массы тела, уменьшения инсулинорезистентности и степени абдоминального ожирения, улучшения дислипидемии, повышения сердечно-сосудистой тренированности</w:t>
      </w:r>
      <w:r w:rsidR="00AF6CB0" w:rsidRPr="00D80BD5">
        <w:t xml:space="preserve">. </w:t>
      </w:r>
      <w:r w:rsidRPr="00D80BD5">
        <w:t xml:space="preserve">Физическая активность подбирается </w:t>
      </w:r>
      <w:r w:rsidRPr="00472062">
        <w:t xml:space="preserve">индивидуально, с </w:t>
      </w:r>
      <w:r w:rsidR="00290B05" w:rsidRPr="00472062">
        <w:t>учетом возраста</w:t>
      </w:r>
      <w:r w:rsidRPr="00472062">
        <w:t xml:space="preserve"> пациента, осложнений СД, сопутствующих заболеваний, а также переносимости. </w:t>
      </w:r>
      <w:r w:rsidR="00E103E4">
        <w:t>Пациентам</w:t>
      </w:r>
      <w:r w:rsidRPr="00472062">
        <w:t xml:space="preserve"> с наличием выраженных осложнений и сопутствующих заболеваний, особенно</w:t>
      </w:r>
      <w:r w:rsidR="000B69EF">
        <w:t xml:space="preserve"> с </w:t>
      </w:r>
      <w:r w:rsidR="000B69EF" w:rsidRPr="00472062">
        <w:t>атеросклеротически</w:t>
      </w:r>
      <w:r w:rsidR="00E103E4">
        <w:t>ми</w:t>
      </w:r>
      <w:r w:rsidR="000B69EF" w:rsidRPr="00472062">
        <w:t xml:space="preserve"> сердечно-сосудисты</w:t>
      </w:r>
      <w:r w:rsidR="00E103E4">
        <w:t>ми</w:t>
      </w:r>
      <w:r w:rsidR="000B69EF" w:rsidRPr="00472062">
        <w:t xml:space="preserve"> заболевани</w:t>
      </w:r>
      <w:r w:rsidR="00E103E4">
        <w:t>ями</w:t>
      </w:r>
      <w:r w:rsidR="000B69EF" w:rsidRPr="00472062">
        <w:t xml:space="preserve"> (АССЗ)</w:t>
      </w:r>
      <w:r w:rsidRPr="00472062">
        <w:t>, ограничивающи</w:t>
      </w:r>
      <w:r w:rsidR="00E103E4">
        <w:t>ми</w:t>
      </w:r>
      <w:r w:rsidRPr="00472062">
        <w:t xml:space="preserve"> физическую активность, может быть рекомендована лечебная физкультура </w:t>
      </w:r>
      <w:r w:rsidR="00323D89" w:rsidRPr="00472062">
        <w:fldChar w:fldCharType="begin"/>
      </w:r>
      <w:r w:rsidR="00D9173C">
        <w:instrText xml:space="preserve"> ADDIN ZOTERO_ITEM CSL_CITATION {"citationID":"v0BKCoRC","properties":{"formattedCitation":"[3,8]","plainCitation":"[3,8]","noteIndex":0},"citationItems":[{"id":2945,"uris":["http://zotero.org/users/5483459/items/9AF4E2X5"],"itemData":{"id":2945,"type":"document","title":"Министерство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2022."},"label":"page"},{"id":2955,"uris":["http://zotero.org/users/5483459/items/PINKQXGM"],"itemData":{"id":2955,"type":"article-journal","container-title":"European Heart Journal","DOI":"10.1093/eurheartj/ehz486","ISSN":"1522-9645","issue":"2","journalAbbreviation":"Eur Heart J","language":"eng","note":"PMID: 31497854","page":"255-323","source":"PubMed","title":"2019 ESC Guidelines on diabetes, pre-diabetes, and cardiovascular diseases developed in collaboration with the EASD","volume":"41","author":[{"family":"Cosentino","given":"Francesco"},{"family":"Grant","given":"Peter J."},{"family":"Aboyans","given":"Victor"},{"family":"Bailey","given":"Clifford J."},{"family":"Ceriello","given":"Antonio"},{"family":"Delgado","given":"Victoria"},{"family":"Federici","given":"Massimo"},{"family":"Filippatos","given":"Gerasimos"},{"family":"Grobbee","given":"Diederick E."},{"family":"Hansen","given":"Tina Birgitte"},{"family":"Huikuri","given":"Heikki V."},{"family":"Johansson","given":"Isabelle"},{"family":"Jüni","given":"Peter"},{"family":"Lettino","given":"Maddalena"},{"family":"Marx","given":"Nikolaus"},{"family":"Mellbin","given":"Linda G."},{"family":"Östgren","given":"Carl J."},{"family":"Rocca","given":"Bianca"},{"family":"Roffi","given":"Marco"},{"family":"Sattar","given":"Naveed"},{"family":"Seferović","given":"Petar M."},{"family":"Sousa-Uva","given":"Miguel"},{"family":"Valensi","given":"Paul"},{"family":"Wheeler","given":"David C."},{"literal":"ESC Scientific Document Group"}],"issued":{"date-parts":[["2020",1,7]]}},"label":"page"}],"schema":"https://github.com/citation-style-language/schema/raw/master/csl-citation.json"} </w:instrText>
      </w:r>
      <w:r w:rsidR="00323D89" w:rsidRPr="00472062">
        <w:fldChar w:fldCharType="separate"/>
      </w:r>
      <w:r w:rsidR="00D9173C" w:rsidRPr="00D9173C">
        <w:t>[3,8]</w:t>
      </w:r>
      <w:r w:rsidR="00323D89" w:rsidRPr="00472062">
        <w:fldChar w:fldCharType="end"/>
      </w:r>
      <w:r w:rsidR="00323D89" w:rsidRPr="00472062">
        <w:t>.</w:t>
      </w:r>
    </w:p>
    <w:p w14:paraId="7D870E0F" w14:textId="77777777" w:rsidR="005E2290" w:rsidRDefault="005E2290" w:rsidP="005E7154">
      <w:pPr>
        <w:ind w:firstLine="709"/>
      </w:pPr>
    </w:p>
    <w:p w14:paraId="35A33F60" w14:textId="3AF4C706" w:rsidR="00472062" w:rsidRPr="00472062" w:rsidRDefault="00472062" w:rsidP="005E7154">
      <w:pPr>
        <w:rPr>
          <w:b/>
          <w:bCs/>
        </w:rPr>
      </w:pPr>
      <w:r w:rsidRPr="00472062">
        <w:rPr>
          <w:b/>
          <w:bCs/>
        </w:rPr>
        <w:t>Гликемический контроль</w:t>
      </w:r>
    </w:p>
    <w:p w14:paraId="3DF803C4" w14:textId="77777777" w:rsidR="005E2290" w:rsidRDefault="005E2290" w:rsidP="005E7154">
      <w:pPr>
        <w:ind w:firstLine="709"/>
      </w:pPr>
    </w:p>
    <w:p w14:paraId="54E8CC3D" w14:textId="496276FB" w:rsidR="003D27E5" w:rsidRDefault="00A252AA" w:rsidP="005E7154">
      <w:pPr>
        <w:ind w:firstLine="709"/>
      </w:pPr>
      <w:r w:rsidRPr="00472062">
        <w:t>Рекомендуется выбор индивидуальных целей гликемического контроля не реже 1 раза в год</w:t>
      </w:r>
      <w:r w:rsidR="0037134C">
        <w:t xml:space="preserve">, которые зависят </w:t>
      </w:r>
      <w:r w:rsidRPr="00472062">
        <w:t>от возраста пациента, ожидаемой продолжительности жизни, АССЗ и риска тяжелой гипогликемии</w:t>
      </w:r>
      <w:r w:rsidR="0037134C">
        <w:t xml:space="preserve"> для</w:t>
      </w:r>
      <w:r w:rsidRPr="00472062">
        <w:t xml:space="preserve"> безопасной терапии, обеспечивающей профилактику или замедление прогрессирования осложнений СД. Для большинства пациентов с СД 2 адекватным является целевой уровень </w:t>
      </w:r>
      <w:r w:rsidR="00E566B9" w:rsidRPr="00624A7C">
        <w:t>гликированного гемоглобина</w:t>
      </w:r>
      <w:r w:rsidR="00E566B9">
        <w:t xml:space="preserve"> (</w:t>
      </w:r>
      <w:r w:rsidRPr="00472062">
        <w:t>HbA1c</w:t>
      </w:r>
      <w:r w:rsidR="00E566B9">
        <w:t>)</w:t>
      </w:r>
      <w:r w:rsidRPr="00472062">
        <w:t xml:space="preserve"> менее 7,0%</w:t>
      </w:r>
      <w:r w:rsidR="003D27E5" w:rsidRPr="00472062">
        <w:t xml:space="preserve"> </w:t>
      </w:r>
      <w:r w:rsidR="003D27E5" w:rsidRPr="00472062">
        <w:fldChar w:fldCharType="begin"/>
      </w:r>
      <w:r w:rsidR="00D9173C">
        <w:instrText xml:space="preserve"> ADDIN ZOTERO_ITEM CSL_CITATION {"citationID":"JZ7J98tq","properties":{"formattedCitation":"[3,8]","plainCitation":"[3,8]","noteIndex":0},"citationItems":[{"id":2945,"uris":["http://zotero.org/users/5483459/items/9AF4E2X5"],"itemData":{"id":2945,"type":"document","title":"Министерство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2022."},"label":"page"},{"id":2955,"uris":["http://zotero.org/users/5483459/items/PINKQXGM"],"itemData":{"id":2955,"type":"article-journal","container-title":"European Heart Journal","DOI":"10.1093/eurheartj/ehz486","ISSN":"1522-9645","issue":"2","journalAbbreviation":"Eur Heart J","language":"eng","note":"PMID: 31497854","page":"255-323","source":"PubMed","title":"2019 ESC Guidelines on diabetes, pre-diabetes, and cardiovascular diseases developed in collaboration with the EASD","volume":"41","author":[{"family":"Cosentino","given":"Francesco"},{"family":"Grant","given":"Peter J."},{"family":"Aboyans","given":"Victor"},{"family":"Bailey","given":"Clifford J."},{"family":"Ceriello","given":"Antonio"},{"family":"Delgado","given":"Victoria"},{"family":"Federici","given":"Massimo"},{"family":"Filippatos","given":"Gerasimos"},{"family":"Grobbee","given":"Diederick E."},{"family":"Hansen","given":"Tina Birgitte"},{"family":"Huikuri","given":"Heikki V."},{"family":"Johansson","given":"Isabelle"},{"family":"Jüni","given":"Peter"},{"family":"Lettino","given":"Maddalena"},{"family":"Marx","given":"Nikolaus"},{"family":"Mellbin","given":"Linda G."},{"family":"Östgren","given":"Carl J."},{"family":"Rocca","given":"Bianca"},{"family":"Roffi","given":"Marco"},{"family":"Sattar","given":"Naveed"},{"family":"Seferović","given":"Petar M."},{"family":"Sousa-Uva","given":"Miguel"},{"family":"Valensi","given":"Paul"},{"family":"Wheeler","given":"David C."},{"literal":"ESC Scientific Document Group"}],"issued":{"date-parts":[["2020",1,7]]}},"label":"page"}],"schema":"https://github.com/citation-style-language/schema/raw/master/csl-citation.json"} </w:instrText>
      </w:r>
      <w:r w:rsidR="003D27E5" w:rsidRPr="00472062">
        <w:fldChar w:fldCharType="separate"/>
      </w:r>
      <w:r w:rsidR="00D9173C" w:rsidRPr="00D9173C">
        <w:t>[3,8]</w:t>
      </w:r>
      <w:r w:rsidR="003D27E5" w:rsidRPr="00472062">
        <w:fldChar w:fldCharType="end"/>
      </w:r>
      <w:r w:rsidR="003D27E5" w:rsidRPr="00472062">
        <w:t>.</w:t>
      </w:r>
    </w:p>
    <w:p w14:paraId="617B5851" w14:textId="77777777" w:rsidR="005E2290" w:rsidRPr="00472062" w:rsidRDefault="005E2290" w:rsidP="005E7154">
      <w:pPr>
        <w:ind w:firstLine="709"/>
      </w:pPr>
    </w:p>
    <w:p w14:paraId="0A04CFCA" w14:textId="041839C1" w:rsidR="00727E1C" w:rsidRDefault="00727E1C" w:rsidP="005E7154">
      <w:pPr>
        <w:pStyle w:val="OT"/>
        <w:spacing w:after="0"/>
        <w:rPr>
          <w:b/>
          <w:bCs/>
          <w:sz w:val="24"/>
          <w:szCs w:val="24"/>
        </w:rPr>
      </w:pPr>
      <w:r w:rsidRPr="00727E1C">
        <w:rPr>
          <w:b/>
          <w:bCs/>
          <w:sz w:val="24"/>
          <w:szCs w:val="24"/>
        </w:rPr>
        <w:t>Медикаментозная терапия</w:t>
      </w:r>
    </w:p>
    <w:p w14:paraId="1A85E558" w14:textId="77777777" w:rsidR="005E2290" w:rsidRDefault="005E2290" w:rsidP="005E7154">
      <w:pPr>
        <w:ind w:firstLine="709"/>
      </w:pPr>
    </w:p>
    <w:p w14:paraId="306C521E" w14:textId="4CCAC8CB" w:rsidR="006120EB" w:rsidRPr="006120EB" w:rsidRDefault="006120EB" w:rsidP="005E7154">
      <w:pPr>
        <w:ind w:firstLine="709"/>
      </w:pPr>
      <w:r w:rsidRPr="006120EB">
        <w:t xml:space="preserve">Тактика медикаментозной терапии определяется в зависимости от </w:t>
      </w:r>
      <w:r w:rsidR="0096794E">
        <w:t>преобладающих</w:t>
      </w:r>
      <w:r w:rsidRPr="006120EB">
        <w:t xml:space="preserve"> </w:t>
      </w:r>
      <w:r w:rsidR="00DD58E7">
        <w:t>симптомов и осложнений СД</w:t>
      </w:r>
      <w:r w:rsidRPr="006120EB">
        <w:t xml:space="preserve"> пациента и с учетом исходного уровня гликемического контроля</w:t>
      </w:r>
      <w:r>
        <w:t>.</w:t>
      </w:r>
      <w:r w:rsidRPr="006120EB">
        <w:t xml:space="preserve"> </w:t>
      </w:r>
    </w:p>
    <w:p w14:paraId="620814FA" w14:textId="14AFF4C7" w:rsidR="00323D89" w:rsidRDefault="00727E1C" w:rsidP="005E7154">
      <w:pPr>
        <w:pStyle w:val="OT"/>
        <w:spacing w:after="0"/>
        <w:ind w:firstLine="709"/>
        <w:rPr>
          <w:sz w:val="24"/>
          <w:szCs w:val="24"/>
        </w:rPr>
      </w:pPr>
      <w:r w:rsidRPr="00811E20">
        <w:rPr>
          <w:sz w:val="24"/>
          <w:szCs w:val="24"/>
        </w:rPr>
        <w:t xml:space="preserve">В таблице 1-1 приведены </w:t>
      </w:r>
      <w:r w:rsidR="00DD58E7">
        <w:rPr>
          <w:sz w:val="24"/>
          <w:szCs w:val="24"/>
        </w:rPr>
        <w:t>гипогликемические</w:t>
      </w:r>
      <w:r w:rsidRPr="00811E20">
        <w:rPr>
          <w:sz w:val="24"/>
          <w:szCs w:val="24"/>
        </w:rPr>
        <w:t xml:space="preserve"> препараты, используемые в РФ для лечения СД 2, их классификация по </w:t>
      </w:r>
      <w:r w:rsidR="00DD58E7">
        <w:rPr>
          <w:sz w:val="24"/>
          <w:szCs w:val="24"/>
        </w:rPr>
        <w:t>а</w:t>
      </w:r>
      <w:r w:rsidR="00DD58E7" w:rsidRPr="00DD58E7">
        <w:rPr>
          <w:sz w:val="24"/>
          <w:szCs w:val="24"/>
        </w:rPr>
        <w:t>натомо-терапевтическо-химическ</w:t>
      </w:r>
      <w:r w:rsidR="00DD58E7">
        <w:rPr>
          <w:sz w:val="24"/>
          <w:szCs w:val="24"/>
        </w:rPr>
        <w:t>ой</w:t>
      </w:r>
      <w:r w:rsidR="00DD58E7" w:rsidRPr="00DD58E7">
        <w:rPr>
          <w:sz w:val="24"/>
          <w:szCs w:val="24"/>
        </w:rPr>
        <w:t xml:space="preserve"> классификаци</w:t>
      </w:r>
      <w:r w:rsidR="00DD58E7">
        <w:rPr>
          <w:sz w:val="24"/>
          <w:szCs w:val="24"/>
        </w:rPr>
        <w:t>и</w:t>
      </w:r>
      <w:r w:rsidR="00DD58E7" w:rsidRPr="00DD58E7">
        <w:rPr>
          <w:sz w:val="24"/>
          <w:szCs w:val="24"/>
        </w:rPr>
        <w:t xml:space="preserve"> </w:t>
      </w:r>
      <w:r w:rsidRPr="00811E20">
        <w:rPr>
          <w:sz w:val="24"/>
          <w:szCs w:val="24"/>
        </w:rPr>
        <w:t>(АТХ) и механизм их действия</w:t>
      </w:r>
      <w:r w:rsidR="00FE3F2F">
        <w:rPr>
          <w:sz w:val="24"/>
          <w:szCs w:val="24"/>
        </w:rPr>
        <w:t xml:space="preserve"> </w:t>
      </w:r>
      <w:r w:rsidR="00FE3F2F">
        <w:rPr>
          <w:sz w:val="24"/>
          <w:szCs w:val="24"/>
        </w:rPr>
        <w:fldChar w:fldCharType="begin"/>
      </w:r>
      <w:r w:rsidR="00FE3F2F">
        <w:rPr>
          <w:sz w:val="24"/>
          <w:szCs w:val="24"/>
        </w:rPr>
        <w:instrText xml:space="preserve"> ADDIN ZOTERO_ITEM CSL_CITATION {"citationID":"DDR8dAkU","properties":{"formattedCitation":"[3]","plainCitation":"[3]","noteIndex":0},"citationItems":[{"id":2945,"uris":["http://zotero.org/users/5483459/items/9AF4E2X5"],"itemData":{"id":2945,"type":"document","title":"Министерство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2022."}}],"schema":"https://github.com/citation-style-language/schema/raw/master/csl-citation.json"} </w:instrText>
      </w:r>
      <w:r w:rsidR="00FE3F2F">
        <w:rPr>
          <w:sz w:val="24"/>
          <w:szCs w:val="24"/>
        </w:rPr>
        <w:fldChar w:fldCharType="separate"/>
      </w:r>
      <w:r w:rsidR="00FE3F2F" w:rsidRPr="00FE3F2F">
        <w:rPr>
          <w:sz w:val="24"/>
        </w:rPr>
        <w:t>[3]</w:t>
      </w:r>
      <w:r w:rsidR="00FE3F2F">
        <w:rPr>
          <w:sz w:val="24"/>
          <w:szCs w:val="24"/>
        </w:rPr>
        <w:fldChar w:fldCharType="end"/>
      </w:r>
      <w:r w:rsidRPr="00811E20">
        <w:rPr>
          <w:sz w:val="24"/>
          <w:szCs w:val="24"/>
        </w:rPr>
        <w:t xml:space="preserve">. </w:t>
      </w:r>
    </w:p>
    <w:p w14:paraId="3D4E3229" w14:textId="77777777" w:rsidR="005E2290" w:rsidRPr="00811E20" w:rsidRDefault="005E2290" w:rsidP="005E7154">
      <w:pPr>
        <w:pStyle w:val="OT"/>
        <w:spacing w:after="0"/>
        <w:ind w:firstLine="709"/>
        <w:rPr>
          <w:sz w:val="24"/>
          <w:szCs w:val="24"/>
        </w:rPr>
      </w:pPr>
    </w:p>
    <w:p w14:paraId="5F92D1AE" w14:textId="5AB9C9FA" w:rsidR="00B35DFB" w:rsidRDefault="00811E20" w:rsidP="00EF23EF">
      <w:pPr>
        <w:pStyle w:val="OT"/>
        <w:spacing w:after="0"/>
        <w:rPr>
          <w:sz w:val="24"/>
          <w:szCs w:val="24"/>
        </w:rPr>
      </w:pPr>
      <w:r>
        <w:rPr>
          <w:rStyle w:val="tlid-translation"/>
          <w:b/>
          <w:sz w:val="24"/>
          <w:szCs w:val="24"/>
        </w:rPr>
        <w:t>Т</w:t>
      </w:r>
      <w:r w:rsidR="00727E1C" w:rsidRPr="00811E20">
        <w:rPr>
          <w:rStyle w:val="tlid-translation"/>
          <w:b/>
          <w:sz w:val="24"/>
          <w:szCs w:val="24"/>
        </w:rPr>
        <w:t xml:space="preserve">аблица 1-1. </w:t>
      </w:r>
      <w:r w:rsidR="00727E1C" w:rsidRPr="00EF23EF">
        <w:rPr>
          <w:sz w:val="24"/>
          <w:szCs w:val="24"/>
          <w:lang w:eastAsia="en-US"/>
        </w:rPr>
        <w:t xml:space="preserve">Группы </w:t>
      </w:r>
      <w:r w:rsidR="00DD58E7" w:rsidRPr="00EF23EF">
        <w:rPr>
          <w:bCs/>
          <w:sz w:val="24"/>
          <w:szCs w:val="24"/>
        </w:rPr>
        <w:t>гипогликемических</w:t>
      </w:r>
      <w:r w:rsidR="00DD58E7" w:rsidRPr="00EF23EF">
        <w:rPr>
          <w:sz w:val="24"/>
          <w:szCs w:val="24"/>
        </w:rPr>
        <w:t xml:space="preserve"> </w:t>
      </w:r>
      <w:r w:rsidR="00727E1C" w:rsidRPr="00EF23EF">
        <w:rPr>
          <w:sz w:val="24"/>
          <w:szCs w:val="24"/>
          <w:lang w:eastAsia="en-US"/>
        </w:rPr>
        <w:t>препаратов и механизм их действия</w:t>
      </w:r>
      <w:r w:rsidRPr="00EF23EF">
        <w:rPr>
          <w:rStyle w:val="tlid-translation"/>
          <w:sz w:val="24"/>
          <w:szCs w:val="24"/>
        </w:rPr>
        <w:t xml:space="preserve"> </w:t>
      </w:r>
      <w:r w:rsidR="00FE3F2F" w:rsidRPr="00EF23EF">
        <w:rPr>
          <w:sz w:val="24"/>
          <w:szCs w:val="24"/>
        </w:rPr>
        <w:fldChar w:fldCharType="begin"/>
      </w:r>
      <w:r w:rsidR="00971255" w:rsidRPr="00EF23EF">
        <w:rPr>
          <w:sz w:val="24"/>
          <w:szCs w:val="24"/>
        </w:rPr>
        <w:instrText xml:space="preserve"> ADDIN ZOTERO_ITEM CSL_CITATION {"citationID":"16G3hxxE","properties":{"formattedCitation":"[3]","plainCitation":"[3]","noteIndex":0},"citationItems":[{"id":2945,"uris":["http://zotero.org/users/5483459/items/9AF4E2X5"],"itemData":{"id":2945,"type":"document","title":"Министерство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2022."}}],"schema":"https://github.com/citation-style-language/schema/raw/master/csl-citation.json"} </w:instrText>
      </w:r>
      <w:r w:rsidR="00FE3F2F" w:rsidRPr="00EF23EF">
        <w:rPr>
          <w:sz w:val="24"/>
          <w:szCs w:val="24"/>
        </w:rPr>
        <w:fldChar w:fldCharType="separate"/>
      </w:r>
      <w:r w:rsidR="00FE3F2F" w:rsidRPr="00EF23EF">
        <w:rPr>
          <w:sz w:val="24"/>
        </w:rPr>
        <w:t>[3]</w:t>
      </w:r>
      <w:r w:rsidR="00FE3F2F" w:rsidRPr="00EF23EF">
        <w:rPr>
          <w:sz w:val="24"/>
          <w:szCs w:val="24"/>
        </w:rPr>
        <w:fldChar w:fldCharType="end"/>
      </w:r>
      <w:r w:rsidR="00EF23EF">
        <w:rPr>
          <w:sz w:val="24"/>
          <w:szCs w:val="24"/>
        </w:rPr>
        <w:t>.</w:t>
      </w:r>
    </w:p>
    <w:tbl>
      <w:tblPr>
        <w:tblStyle w:val="a8"/>
        <w:tblW w:w="9356" w:type="dxa"/>
        <w:tblInd w:w="-5" w:type="dxa"/>
        <w:tblLayout w:type="fixed"/>
        <w:tblLook w:val="04A0" w:firstRow="1" w:lastRow="0" w:firstColumn="1" w:lastColumn="0" w:noHBand="0" w:noVBand="1"/>
      </w:tblPr>
      <w:tblGrid>
        <w:gridCol w:w="3374"/>
        <w:gridCol w:w="5982"/>
      </w:tblGrid>
      <w:tr w:rsidR="00EF23EF" w:rsidRPr="00B15C28" w14:paraId="1F763786" w14:textId="77777777" w:rsidTr="00C97EF5">
        <w:trPr>
          <w:trHeight w:val="592"/>
          <w:tblHeader/>
        </w:trPr>
        <w:tc>
          <w:tcPr>
            <w:tcW w:w="3374" w:type="dxa"/>
            <w:shd w:val="clear" w:color="auto" w:fill="D9D9D9" w:themeFill="background1" w:themeFillShade="D9"/>
            <w:vAlign w:val="center"/>
            <w:hideMark/>
          </w:tcPr>
          <w:p w14:paraId="044FC571" w14:textId="77777777" w:rsidR="00EF23EF" w:rsidRPr="00B15C28" w:rsidRDefault="00EF23EF" w:rsidP="00C97EF5">
            <w:pPr>
              <w:autoSpaceDE w:val="0"/>
              <w:autoSpaceDN w:val="0"/>
              <w:adjustRightInd w:val="0"/>
              <w:contextualSpacing/>
              <w:rPr>
                <w:b/>
                <w:bCs/>
                <w:lang w:eastAsia="en-US"/>
              </w:rPr>
            </w:pPr>
            <w:r w:rsidRPr="00B15C28">
              <w:rPr>
                <w:b/>
                <w:bCs/>
                <w:lang w:eastAsia="en-US"/>
              </w:rPr>
              <w:t>АТХ-классификация</w:t>
            </w:r>
          </w:p>
        </w:tc>
        <w:tc>
          <w:tcPr>
            <w:tcW w:w="5982" w:type="dxa"/>
            <w:shd w:val="clear" w:color="auto" w:fill="D9D9D9" w:themeFill="background1" w:themeFillShade="D9"/>
            <w:vAlign w:val="center"/>
            <w:hideMark/>
          </w:tcPr>
          <w:p w14:paraId="035643DD" w14:textId="77777777" w:rsidR="00EF23EF" w:rsidRPr="00B15C28" w:rsidRDefault="00EF23EF" w:rsidP="00C97EF5">
            <w:pPr>
              <w:autoSpaceDE w:val="0"/>
              <w:autoSpaceDN w:val="0"/>
              <w:adjustRightInd w:val="0"/>
              <w:contextualSpacing/>
              <w:rPr>
                <w:b/>
                <w:bCs/>
                <w:lang w:eastAsia="en-US"/>
              </w:rPr>
            </w:pPr>
            <w:r w:rsidRPr="00B15C28">
              <w:rPr>
                <w:b/>
                <w:bCs/>
                <w:lang w:eastAsia="en-US"/>
              </w:rPr>
              <w:t>Механизм действия</w:t>
            </w:r>
          </w:p>
        </w:tc>
      </w:tr>
      <w:tr w:rsidR="00EF23EF" w:rsidRPr="00B15C28" w14:paraId="31EA621A" w14:textId="77777777" w:rsidTr="00C97EF5">
        <w:trPr>
          <w:trHeight w:val="640"/>
        </w:trPr>
        <w:tc>
          <w:tcPr>
            <w:tcW w:w="3374" w:type="dxa"/>
            <w:hideMark/>
          </w:tcPr>
          <w:p w14:paraId="153CD90A" w14:textId="77777777" w:rsidR="00EF23EF" w:rsidRPr="00B15C28" w:rsidRDefault="00EF23EF" w:rsidP="00C97EF5">
            <w:pPr>
              <w:autoSpaceDE w:val="0"/>
              <w:autoSpaceDN w:val="0"/>
              <w:adjustRightInd w:val="0"/>
              <w:contextualSpacing/>
              <w:rPr>
                <w:lang w:eastAsia="en-US"/>
              </w:rPr>
            </w:pPr>
            <w:r w:rsidRPr="00B15C28">
              <w:rPr>
                <w:lang w:eastAsia="en-US"/>
              </w:rPr>
              <w:t>Производные</w:t>
            </w:r>
          </w:p>
          <w:p w14:paraId="5A5F0170" w14:textId="77777777" w:rsidR="00EF23EF" w:rsidRPr="00B15C28" w:rsidRDefault="00EF23EF" w:rsidP="00C97EF5">
            <w:pPr>
              <w:autoSpaceDE w:val="0"/>
              <w:autoSpaceDN w:val="0"/>
              <w:adjustRightInd w:val="0"/>
              <w:contextualSpacing/>
              <w:rPr>
                <w:lang w:eastAsia="en-US"/>
              </w:rPr>
            </w:pPr>
            <w:r w:rsidRPr="00B15C28">
              <w:rPr>
                <w:lang w:eastAsia="en-US"/>
              </w:rPr>
              <w:t>сульфонилмочевины</w:t>
            </w:r>
          </w:p>
          <w:p w14:paraId="09C7175B" w14:textId="77777777" w:rsidR="00EF23EF" w:rsidRPr="00B15C28" w:rsidRDefault="00EF23EF" w:rsidP="00C97EF5">
            <w:pPr>
              <w:tabs>
                <w:tab w:val="left" w:pos="1855"/>
              </w:tabs>
              <w:autoSpaceDE w:val="0"/>
              <w:autoSpaceDN w:val="0"/>
              <w:adjustRightInd w:val="0"/>
              <w:contextualSpacing/>
              <w:rPr>
                <w:lang w:eastAsia="en-US"/>
              </w:rPr>
            </w:pPr>
            <w:r w:rsidRPr="00B15C28">
              <w:rPr>
                <w:lang w:eastAsia="en-US"/>
              </w:rPr>
              <w:t>(ПСМ)</w:t>
            </w:r>
          </w:p>
        </w:tc>
        <w:tc>
          <w:tcPr>
            <w:tcW w:w="5982" w:type="dxa"/>
            <w:hideMark/>
          </w:tcPr>
          <w:p w14:paraId="35D7C697" w14:textId="77777777" w:rsidR="00EF23EF" w:rsidRPr="00B15C28" w:rsidRDefault="00EF23EF" w:rsidP="00C97EF5">
            <w:pPr>
              <w:autoSpaceDE w:val="0"/>
              <w:autoSpaceDN w:val="0"/>
              <w:adjustRightInd w:val="0"/>
              <w:contextualSpacing/>
              <w:rPr>
                <w:lang w:eastAsia="en-US"/>
              </w:rPr>
            </w:pPr>
            <w:r w:rsidRPr="00B15C28">
              <w:rPr>
                <w:lang w:eastAsia="en-US"/>
              </w:rPr>
              <w:t>Стимуляция секреции инсулина</w:t>
            </w:r>
          </w:p>
        </w:tc>
      </w:tr>
      <w:tr w:rsidR="00EF23EF" w:rsidRPr="00B15C28" w14:paraId="7206C53B" w14:textId="77777777" w:rsidTr="00C97EF5">
        <w:tc>
          <w:tcPr>
            <w:tcW w:w="3374" w:type="dxa"/>
            <w:hideMark/>
          </w:tcPr>
          <w:p w14:paraId="07C251B8" w14:textId="77777777" w:rsidR="00EF23EF" w:rsidRPr="00B15C28" w:rsidRDefault="00EF23EF" w:rsidP="00C97EF5">
            <w:pPr>
              <w:autoSpaceDE w:val="0"/>
              <w:autoSpaceDN w:val="0"/>
              <w:adjustRightInd w:val="0"/>
              <w:contextualSpacing/>
              <w:rPr>
                <w:rStyle w:val="tlid-translation"/>
                <w:rFonts w:eastAsia="MS Mincho"/>
              </w:rPr>
            </w:pPr>
            <w:r w:rsidRPr="00B15C28">
              <w:rPr>
                <w:lang w:eastAsia="en-US"/>
              </w:rPr>
              <w:lastRenderedPageBreak/>
              <w:t>Прочие гипогликемические препараты (репаглинид)</w:t>
            </w:r>
          </w:p>
        </w:tc>
        <w:tc>
          <w:tcPr>
            <w:tcW w:w="5982" w:type="dxa"/>
            <w:hideMark/>
          </w:tcPr>
          <w:p w14:paraId="44C5C441" w14:textId="77777777" w:rsidR="00EF23EF" w:rsidRPr="00B15C28" w:rsidRDefault="00EF23EF" w:rsidP="00C97EF5">
            <w:pPr>
              <w:contextualSpacing/>
              <w:rPr>
                <w:rStyle w:val="tlid-translation"/>
              </w:rPr>
            </w:pPr>
            <w:r w:rsidRPr="00B15C28">
              <w:rPr>
                <w:lang w:eastAsia="en-US"/>
              </w:rPr>
              <w:t>Стимуляция секреции инсулина</w:t>
            </w:r>
          </w:p>
        </w:tc>
      </w:tr>
      <w:tr w:rsidR="00EF23EF" w:rsidRPr="00B15C28" w14:paraId="445CAAAA" w14:textId="77777777" w:rsidTr="00C97EF5">
        <w:tc>
          <w:tcPr>
            <w:tcW w:w="3374" w:type="dxa"/>
            <w:hideMark/>
          </w:tcPr>
          <w:p w14:paraId="08C95D8D" w14:textId="77777777" w:rsidR="00EF23EF" w:rsidRPr="00B15C28" w:rsidRDefault="00EF23EF" w:rsidP="00C97EF5">
            <w:pPr>
              <w:autoSpaceDE w:val="0"/>
              <w:autoSpaceDN w:val="0"/>
              <w:adjustRightInd w:val="0"/>
              <w:contextualSpacing/>
              <w:rPr>
                <w:rStyle w:val="tlid-translation"/>
                <w:rFonts w:eastAsia="MS Mincho"/>
              </w:rPr>
            </w:pPr>
            <w:r w:rsidRPr="00B15C28">
              <w:rPr>
                <w:lang w:eastAsia="en-US"/>
              </w:rPr>
              <w:t>Бигуаниды (метформин) (Мет)</w:t>
            </w:r>
          </w:p>
        </w:tc>
        <w:tc>
          <w:tcPr>
            <w:tcW w:w="5982" w:type="dxa"/>
            <w:hideMark/>
          </w:tcPr>
          <w:p w14:paraId="30169A1A" w14:textId="77777777" w:rsidR="00EF23EF" w:rsidRPr="00B15C28" w:rsidRDefault="00EF23EF" w:rsidP="00C97EF5">
            <w:pPr>
              <w:autoSpaceDE w:val="0"/>
              <w:autoSpaceDN w:val="0"/>
              <w:adjustRightInd w:val="0"/>
              <w:contextualSpacing/>
              <w:rPr>
                <w:lang w:eastAsia="en-US"/>
              </w:rPr>
            </w:pPr>
            <w:r w:rsidRPr="00B15C28">
              <w:rPr>
                <w:lang w:eastAsia="en-US"/>
              </w:rPr>
              <w:t>Снижение продукции глюкозы печенью</w:t>
            </w:r>
          </w:p>
          <w:p w14:paraId="6E22B3E8" w14:textId="77777777" w:rsidR="00EF23EF" w:rsidRPr="00B15C28" w:rsidRDefault="00EF23EF" w:rsidP="00C97EF5">
            <w:pPr>
              <w:autoSpaceDE w:val="0"/>
              <w:autoSpaceDN w:val="0"/>
              <w:adjustRightInd w:val="0"/>
              <w:contextualSpacing/>
              <w:rPr>
                <w:rStyle w:val="tlid-translation"/>
              </w:rPr>
            </w:pPr>
            <w:r w:rsidRPr="00B15C28">
              <w:rPr>
                <w:lang w:eastAsia="en-US"/>
              </w:rPr>
              <w:t>Снижение инсулинорезистентности мышечной и жировой ткани</w:t>
            </w:r>
          </w:p>
        </w:tc>
      </w:tr>
      <w:tr w:rsidR="00EF23EF" w:rsidRPr="00B15C28" w14:paraId="3F912784" w14:textId="77777777" w:rsidTr="00C97EF5">
        <w:tc>
          <w:tcPr>
            <w:tcW w:w="3374" w:type="dxa"/>
            <w:hideMark/>
          </w:tcPr>
          <w:p w14:paraId="320C1E71" w14:textId="77777777" w:rsidR="00EF23EF" w:rsidRPr="00B15C28" w:rsidRDefault="00EF23EF" w:rsidP="00C97EF5">
            <w:pPr>
              <w:autoSpaceDE w:val="0"/>
              <w:autoSpaceDN w:val="0"/>
              <w:adjustRightInd w:val="0"/>
              <w:contextualSpacing/>
              <w:rPr>
                <w:rStyle w:val="tlid-translation"/>
              </w:rPr>
            </w:pPr>
            <w:r w:rsidRPr="00B15C28">
              <w:rPr>
                <w:lang w:eastAsia="en-US"/>
              </w:rPr>
              <w:t>Тиазолидиндионы (ТЗД)</w:t>
            </w:r>
          </w:p>
        </w:tc>
        <w:tc>
          <w:tcPr>
            <w:tcW w:w="5982" w:type="dxa"/>
            <w:hideMark/>
          </w:tcPr>
          <w:p w14:paraId="15F890FF" w14:textId="77777777" w:rsidR="00EF23EF" w:rsidRPr="00B15C28" w:rsidRDefault="00EF23EF" w:rsidP="00C97EF5">
            <w:pPr>
              <w:autoSpaceDE w:val="0"/>
              <w:autoSpaceDN w:val="0"/>
              <w:adjustRightInd w:val="0"/>
              <w:contextualSpacing/>
              <w:rPr>
                <w:lang w:eastAsia="en-US"/>
              </w:rPr>
            </w:pPr>
            <w:r w:rsidRPr="00B15C28">
              <w:rPr>
                <w:lang w:eastAsia="en-US"/>
              </w:rPr>
              <w:t>Снижение инсулинорезистентности мышечной и жировой ткани</w:t>
            </w:r>
          </w:p>
          <w:p w14:paraId="7BDF4619" w14:textId="77777777" w:rsidR="00EF23EF" w:rsidRPr="00B15C28" w:rsidRDefault="00EF23EF" w:rsidP="00C97EF5">
            <w:pPr>
              <w:contextualSpacing/>
              <w:rPr>
                <w:rStyle w:val="tlid-translation"/>
              </w:rPr>
            </w:pPr>
            <w:r w:rsidRPr="00B15C28">
              <w:rPr>
                <w:lang w:eastAsia="en-US"/>
              </w:rPr>
              <w:t>Снижение продукции глюкозы печенью</w:t>
            </w:r>
          </w:p>
        </w:tc>
      </w:tr>
      <w:tr w:rsidR="00EF23EF" w:rsidRPr="00B15C28" w14:paraId="1D27DA32" w14:textId="77777777" w:rsidTr="00C97EF5">
        <w:tc>
          <w:tcPr>
            <w:tcW w:w="3374" w:type="dxa"/>
            <w:hideMark/>
          </w:tcPr>
          <w:p w14:paraId="3EA5C54D" w14:textId="77777777" w:rsidR="00EF23EF" w:rsidRPr="00B15C28" w:rsidRDefault="00EF23EF" w:rsidP="00C97EF5">
            <w:pPr>
              <w:autoSpaceDE w:val="0"/>
              <w:autoSpaceDN w:val="0"/>
              <w:adjustRightInd w:val="0"/>
              <w:contextualSpacing/>
              <w:rPr>
                <w:rStyle w:val="tlid-translation"/>
              </w:rPr>
            </w:pPr>
            <w:r w:rsidRPr="00B15C28">
              <w:rPr>
                <w:lang w:eastAsia="en-US"/>
              </w:rPr>
              <w:t>Альфа-глюкозидазы ингибиторы</w:t>
            </w:r>
          </w:p>
        </w:tc>
        <w:tc>
          <w:tcPr>
            <w:tcW w:w="5982" w:type="dxa"/>
            <w:hideMark/>
          </w:tcPr>
          <w:p w14:paraId="788EE659" w14:textId="77777777" w:rsidR="00EF23EF" w:rsidRPr="00B15C28" w:rsidRDefault="00EF23EF" w:rsidP="00C97EF5">
            <w:pPr>
              <w:contextualSpacing/>
              <w:rPr>
                <w:rStyle w:val="tlid-translation"/>
              </w:rPr>
            </w:pPr>
            <w:r w:rsidRPr="00B15C28">
              <w:rPr>
                <w:lang w:eastAsia="en-US"/>
              </w:rPr>
              <w:t>Замедление всасывания углеводов в кишечнике</w:t>
            </w:r>
          </w:p>
        </w:tc>
      </w:tr>
      <w:tr w:rsidR="00EF23EF" w:rsidRPr="00B15C28" w14:paraId="65A3B735" w14:textId="77777777" w:rsidTr="00C97EF5">
        <w:tc>
          <w:tcPr>
            <w:tcW w:w="3374" w:type="dxa"/>
            <w:hideMark/>
          </w:tcPr>
          <w:p w14:paraId="1CEA7F5E" w14:textId="77777777" w:rsidR="00EF23EF" w:rsidRPr="00B15C28" w:rsidRDefault="00EF23EF" w:rsidP="00C97EF5">
            <w:pPr>
              <w:autoSpaceDE w:val="0"/>
              <w:autoSpaceDN w:val="0"/>
              <w:adjustRightInd w:val="0"/>
              <w:contextualSpacing/>
              <w:rPr>
                <w:lang w:eastAsia="en-US"/>
              </w:rPr>
            </w:pPr>
            <w:r w:rsidRPr="00B15C28">
              <w:rPr>
                <w:lang w:eastAsia="en-US"/>
              </w:rPr>
              <w:t>Прочие гипогликемические</w:t>
            </w:r>
          </w:p>
          <w:p w14:paraId="6B24EC66" w14:textId="77777777" w:rsidR="00EF23EF" w:rsidRPr="00B15C28" w:rsidRDefault="00EF23EF" w:rsidP="00C97EF5">
            <w:pPr>
              <w:autoSpaceDE w:val="0"/>
              <w:autoSpaceDN w:val="0"/>
              <w:adjustRightInd w:val="0"/>
              <w:contextualSpacing/>
              <w:rPr>
                <w:rStyle w:val="tlid-translation"/>
                <w:rFonts w:eastAsia="MS Mincho"/>
              </w:rPr>
            </w:pPr>
            <w:r w:rsidRPr="00B15C28">
              <w:rPr>
                <w:lang w:eastAsia="en-US"/>
              </w:rPr>
              <w:t>препараты (эксенатид, лираглутид, ликсисенатид, дулаглутид, семаглутид)</w:t>
            </w:r>
          </w:p>
        </w:tc>
        <w:tc>
          <w:tcPr>
            <w:tcW w:w="5982" w:type="dxa"/>
            <w:hideMark/>
          </w:tcPr>
          <w:p w14:paraId="028DE830" w14:textId="77777777" w:rsidR="00EF23EF" w:rsidRPr="00B15C28" w:rsidRDefault="00EF23EF" w:rsidP="00C97EF5">
            <w:pPr>
              <w:autoSpaceDE w:val="0"/>
              <w:autoSpaceDN w:val="0"/>
              <w:adjustRightInd w:val="0"/>
              <w:contextualSpacing/>
              <w:rPr>
                <w:lang w:eastAsia="en-US"/>
              </w:rPr>
            </w:pPr>
            <w:r w:rsidRPr="00B15C28">
              <w:rPr>
                <w:lang w:eastAsia="en-US"/>
              </w:rPr>
              <w:t>Глюкозозависимая стимуляция секреции инсулина</w:t>
            </w:r>
          </w:p>
          <w:p w14:paraId="191138E8" w14:textId="77777777" w:rsidR="00EF23EF" w:rsidRPr="00B15C28" w:rsidRDefault="00EF23EF" w:rsidP="00C97EF5">
            <w:pPr>
              <w:autoSpaceDE w:val="0"/>
              <w:autoSpaceDN w:val="0"/>
              <w:adjustRightInd w:val="0"/>
              <w:contextualSpacing/>
              <w:rPr>
                <w:lang w:eastAsia="en-US"/>
              </w:rPr>
            </w:pPr>
            <w:r w:rsidRPr="00B15C28">
              <w:rPr>
                <w:lang w:eastAsia="en-US"/>
              </w:rPr>
              <w:t>Глюкозозависимое снижение секреции глюкагона и уменьшение продукции глюкозы печенью</w:t>
            </w:r>
          </w:p>
          <w:p w14:paraId="44C0C9FD" w14:textId="77777777" w:rsidR="00EF23EF" w:rsidRPr="00B15C28" w:rsidRDefault="00EF23EF" w:rsidP="00C97EF5">
            <w:pPr>
              <w:autoSpaceDE w:val="0"/>
              <w:autoSpaceDN w:val="0"/>
              <w:adjustRightInd w:val="0"/>
              <w:contextualSpacing/>
              <w:rPr>
                <w:lang w:eastAsia="en-US"/>
              </w:rPr>
            </w:pPr>
            <w:r w:rsidRPr="00B15C28">
              <w:rPr>
                <w:lang w:eastAsia="en-US"/>
              </w:rPr>
              <w:t>Замедление опорожнения желудка</w:t>
            </w:r>
          </w:p>
          <w:p w14:paraId="3311D81C" w14:textId="77777777" w:rsidR="00EF23EF" w:rsidRPr="00B15C28" w:rsidRDefault="00EF23EF" w:rsidP="00C97EF5">
            <w:pPr>
              <w:autoSpaceDE w:val="0"/>
              <w:autoSpaceDN w:val="0"/>
              <w:adjustRightInd w:val="0"/>
              <w:contextualSpacing/>
              <w:rPr>
                <w:lang w:eastAsia="en-US"/>
              </w:rPr>
            </w:pPr>
            <w:r w:rsidRPr="00B15C28">
              <w:rPr>
                <w:lang w:eastAsia="en-US"/>
              </w:rPr>
              <w:t>Уменьшение потребления пищи</w:t>
            </w:r>
          </w:p>
          <w:p w14:paraId="4E9C84E9" w14:textId="77777777" w:rsidR="00EF23EF" w:rsidRPr="00B15C28" w:rsidRDefault="00EF23EF" w:rsidP="00C97EF5">
            <w:pPr>
              <w:contextualSpacing/>
              <w:rPr>
                <w:rStyle w:val="tlid-translation"/>
              </w:rPr>
            </w:pPr>
            <w:r w:rsidRPr="00B15C28">
              <w:rPr>
                <w:lang w:eastAsia="en-US"/>
              </w:rPr>
              <w:t>Снижение массы тела</w:t>
            </w:r>
          </w:p>
        </w:tc>
      </w:tr>
      <w:tr w:rsidR="00EF23EF" w:rsidRPr="00B15C28" w14:paraId="0CA0C559" w14:textId="77777777" w:rsidTr="00C97EF5">
        <w:tc>
          <w:tcPr>
            <w:tcW w:w="3374" w:type="dxa"/>
            <w:hideMark/>
          </w:tcPr>
          <w:p w14:paraId="54B860EB" w14:textId="77777777" w:rsidR="00EF23EF" w:rsidRPr="00B15C28" w:rsidRDefault="00EF23EF" w:rsidP="00C97EF5">
            <w:pPr>
              <w:autoSpaceDE w:val="0"/>
              <w:autoSpaceDN w:val="0"/>
              <w:adjustRightInd w:val="0"/>
              <w:contextualSpacing/>
              <w:rPr>
                <w:lang w:eastAsia="en-US"/>
              </w:rPr>
            </w:pPr>
            <w:r w:rsidRPr="00B15C28">
              <w:rPr>
                <w:lang w:eastAsia="en-US"/>
              </w:rPr>
              <w:t>Ингибиторы дипептидилпептидазы-4 (ситаглиптин, вилдаглиптин, саксаглиптин, алоглиптин, линаглиптин, гемиглиптин, гозоглиптин, эвоглиптин)</w:t>
            </w:r>
          </w:p>
        </w:tc>
        <w:tc>
          <w:tcPr>
            <w:tcW w:w="5982" w:type="dxa"/>
            <w:hideMark/>
          </w:tcPr>
          <w:p w14:paraId="406AEA18" w14:textId="77777777" w:rsidR="00EF23EF" w:rsidRPr="00B15C28" w:rsidRDefault="00EF23EF" w:rsidP="00C97EF5">
            <w:pPr>
              <w:autoSpaceDE w:val="0"/>
              <w:autoSpaceDN w:val="0"/>
              <w:adjustRightInd w:val="0"/>
              <w:contextualSpacing/>
              <w:rPr>
                <w:lang w:eastAsia="en-US"/>
              </w:rPr>
            </w:pPr>
            <w:r w:rsidRPr="00B15C28">
              <w:rPr>
                <w:lang w:eastAsia="en-US"/>
              </w:rPr>
              <w:t>Глюкозозависимая стимуляция секреции</w:t>
            </w:r>
          </w:p>
          <w:p w14:paraId="60A36293" w14:textId="77777777" w:rsidR="00EF23EF" w:rsidRPr="00B15C28" w:rsidRDefault="00EF23EF" w:rsidP="00C97EF5">
            <w:pPr>
              <w:autoSpaceDE w:val="0"/>
              <w:autoSpaceDN w:val="0"/>
              <w:adjustRightInd w:val="0"/>
              <w:contextualSpacing/>
              <w:rPr>
                <w:lang w:eastAsia="en-US"/>
              </w:rPr>
            </w:pPr>
            <w:r w:rsidRPr="00B15C28">
              <w:rPr>
                <w:lang w:eastAsia="en-US"/>
              </w:rPr>
              <w:t>инсулина</w:t>
            </w:r>
          </w:p>
          <w:p w14:paraId="770982A8" w14:textId="77777777" w:rsidR="00EF23EF" w:rsidRPr="00B15C28" w:rsidRDefault="00EF23EF" w:rsidP="00C97EF5">
            <w:pPr>
              <w:autoSpaceDE w:val="0"/>
              <w:autoSpaceDN w:val="0"/>
              <w:adjustRightInd w:val="0"/>
              <w:contextualSpacing/>
              <w:rPr>
                <w:lang w:eastAsia="en-US"/>
              </w:rPr>
            </w:pPr>
            <w:r w:rsidRPr="00B15C28">
              <w:rPr>
                <w:lang w:eastAsia="en-US"/>
              </w:rPr>
              <w:t>Глюкозозависимое подавление секреции</w:t>
            </w:r>
          </w:p>
          <w:p w14:paraId="42E65E64" w14:textId="77777777" w:rsidR="00EF23EF" w:rsidRPr="00B15C28" w:rsidRDefault="00EF23EF" w:rsidP="00C97EF5">
            <w:pPr>
              <w:autoSpaceDE w:val="0"/>
              <w:autoSpaceDN w:val="0"/>
              <w:adjustRightInd w:val="0"/>
              <w:contextualSpacing/>
              <w:rPr>
                <w:lang w:eastAsia="en-US"/>
              </w:rPr>
            </w:pPr>
            <w:r w:rsidRPr="00B15C28">
              <w:rPr>
                <w:lang w:eastAsia="en-US"/>
              </w:rPr>
              <w:t>глюкагона</w:t>
            </w:r>
          </w:p>
          <w:p w14:paraId="1AC009CF" w14:textId="77777777" w:rsidR="00EF23EF" w:rsidRPr="00B15C28" w:rsidRDefault="00EF23EF" w:rsidP="00C97EF5">
            <w:pPr>
              <w:autoSpaceDE w:val="0"/>
              <w:autoSpaceDN w:val="0"/>
              <w:adjustRightInd w:val="0"/>
              <w:contextualSpacing/>
              <w:rPr>
                <w:lang w:eastAsia="en-US"/>
              </w:rPr>
            </w:pPr>
            <w:r w:rsidRPr="00B15C28">
              <w:rPr>
                <w:lang w:eastAsia="en-US"/>
              </w:rPr>
              <w:t>Снижение продукции глюкозы печенью</w:t>
            </w:r>
          </w:p>
          <w:p w14:paraId="5444F7C1" w14:textId="77777777" w:rsidR="00EF23EF" w:rsidRPr="00B15C28" w:rsidRDefault="00EF23EF" w:rsidP="00C97EF5">
            <w:pPr>
              <w:autoSpaceDE w:val="0"/>
              <w:autoSpaceDN w:val="0"/>
              <w:adjustRightInd w:val="0"/>
              <w:contextualSpacing/>
              <w:rPr>
                <w:lang w:eastAsia="en-US"/>
              </w:rPr>
            </w:pPr>
            <w:r w:rsidRPr="00B15C28">
              <w:rPr>
                <w:lang w:eastAsia="en-US"/>
              </w:rPr>
              <w:t>Не вызывают замедления опорожнения желудка</w:t>
            </w:r>
          </w:p>
          <w:p w14:paraId="74E191BC" w14:textId="77777777" w:rsidR="00EF23EF" w:rsidRPr="00B15C28" w:rsidRDefault="00EF23EF" w:rsidP="00C97EF5">
            <w:pPr>
              <w:autoSpaceDE w:val="0"/>
              <w:autoSpaceDN w:val="0"/>
              <w:adjustRightInd w:val="0"/>
              <w:contextualSpacing/>
              <w:rPr>
                <w:lang w:eastAsia="en-US"/>
              </w:rPr>
            </w:pPr>
            <w:r w:rsidRPr="00B15C28">
              <w:rPr>
                <w:lang w:eastAsia="en-US"/>
              </w:rPr>
              <w:t>Нейтральное действие на массу тела</w:t>
            </w:r>
          </w:p>
        </w:tc>
      </w:tr>
      <w:tr w:rsidR="00EF23EF" w:rsidRPr="00B15C28" w14:paraId="7CCCB168" w14:textId="77777777" w:rsidTr="00C97EF5">
        <w:tc>
          <w:tcPr>
            <w:tcW w:w="3374" w:type="dxa"/>
            <w:hideMark/>
          </w:tcPr>
          <w:p w14:paraId="0EBF981D" w14:textId="77777777" w:rsidR="00EF23EF" w:rsidRPr="00B15C28" w:rsidRDefault="00EF23EF" w:rsidP="00C97EF5">
            <w:pPr>
              <w:autoSpaceDE w:val="0"/>
              <w:autoSpaceDN w:val="0"/>
              <w:adjustRightInd w:val="0"/>
              <w:contextualSpacing/>
              <w:rPr>
                <w:lang w:eastAsia="en-US"/>
              </w:rPr>
            </w:pPr>
            <w:r w:rsidRPr="00B15C28">
              <w:rPr>
                <w:lang w:eastAsia="en-US"/>
              </w:rPr>
              <w:t>Прочие гипогликемические препараты (дапаглифлозин, канаглифлозин, эмпаглифлозин, ипраглифлозин, эртуглифлозин)</w:t>
            </w:r>
          </w:p>
        </w:tc>
        <w:tc>
          <w:tcPr>
            <w:tcW w:w="5982" w:type="dxa"/>
            <w:hideMark/>
          </w:tcPr>
          <w:p w14:paraId="673B4D86" w14:textId="77777777" w:rsidR="00EF23EF" w:rsidRPr="00B15C28" w:rsidRDefault="00EF23EF" w:rsidP="00C97EF5">
            <w:pPr>
              <w:autoSpaceDE w:val="0"/>
              <w:autoSpaceDN w:val="0"/>
              <w:adjustRightInd w:val="0"/>
              <w:contextualSpacing/>
              <w:rPr>
                <w:lang w:eastAsia="en-US"/>
              </w:rPr>
            </w:pPr>
            <w:r w:rsidRPr="00B15C28">
              <w:rPr>
                <w:lang w:eastAsia="en-US"/>
              </w:rPr>
              <w:t>Снижение реабсорбции глюкозы в почках</w:t>
            </w:r>
          </w:p>
          <w:p w14:paraId="691A0856" w14:textId="77777777" w:rsidR="00EF23EF" w:rsidRPr="00B15C28" w:rsidRDefault="00EF23EF" w:rsidP="00C97EF5">
            <w:pPr>
              <w:autoSpaceDE w:val="0"/>
              <w:autoSpaceDN w:val="0"/>
              <w:adjustRightInd w:val="0"/>
              <w:contextualSpacing/>
              <w:rPr>
                <w:lang w:eastAsia="en-US"/>
              </w:rPr>
            </w:pPr>
            <w:r w:rsidRPr="00B15C28">
              <w:rPr>
                <w:lang w:eastAsia="en-US"/>
              </w:rPr>
              <w:t>Снижение массы тела</w:t>
            </w:r>
          </w:p>
          <w:p w14:paraId="26BEB258" w14:textId="77777777" w:rsidR="00EF23EF" w:rsidRPr="00B15C28" w:rsidRDefault="00EF23EF" w:rsidP="00C97EF5">
            <w:pPr>
              <w:autoSpaceDE w:val="0"/>
              <w:autoSpaceDN w:val="0"/>
              <w:adjustRightInd w:val="0"/>
              <w:contextualSpacing/>
              <w:rPr>
                <w:lang w:eastAsia="en-US"/>
              </w:rPr>
            </w:pPr>
            <w:r w:rsidRPr="00B15C28">
              <w:rPr>
                <w:lang w:eastAsia="en-US"/>
              </w:rPr>
              <w:t>Инсулиннезависимый механизм действия</w:t>
            </w:r>
          </w:p>
        </w:tc>
      </w:tr>
    </w:tbl>
    <w:p w14:paraId="757C97A7" w14:textId="7FF58C39" w:rsidR="00634D57" w:rsidRDefault="00634D57" w:rsidP="00571F9D"/>
    <w:p w14:paraId="0032D98F" w14:textId="602298B1" w:rsidR="00634D57" w:rsidRPr="00AD0C11" w:rsidRDefault="00634D57" w:rsidP="00634D57">
      <w:pPr>
        <w:ind w:firstLine="851"/>
      </w:pPr>
      <w:r>
        <w:t>Метформин является основным препаратом для инициации медикаментозной терапии у большинства пациентов с СД 2. Следует использовать метформин в составе сахароснижающей терапии на всем протяжении лечения при условии переносимости препарата и отсутствии противопоказаний.</w:t>
      </w:r>
      <w:r w:rsidR="0096794E">
        <w:t xml:space="preserve"> </w:t>
      </w:r>
      <w:r>
        <w:t xml:space="preserve">На любом этапе лечения необходимо оценивать индивидуальные характеристики пациента (особенно указания на высокий риск АССЗ или уже имеющиеся АССЗ, </w:t>
      </w:r>
      <w:bookmarkStart w:id="40" w:name="_Hlk121476188"/>
      <w:r>
        <w:t>хроническая сердечная недостаточность (ХСН), хроническая болезнь почек (ХБП)</w:t>
      </w:r>
      <w:bookmarkEnd w:id="40"/>
      <w:r>
        <w:t xml:space="preserve">, ожирение, высокий риск гипогликемий) и </w:t>
      </w:r>
      <w:r w:rsidR="00223B37">
        <w:t>выбирать гипогликемическую терапию</w:t>
      </w:r>
      <w:r>
        <w:t xml:space="preserve"> </w:t>
      </w:r>
      <w:r w:rsidR="0096794E" w:rsidRPr="006120EB">
        <w:t xml:space="preserve">в зависимости от </w:t>
      </w:r>
      <w:r w:rsidR="0096794E">
        <w:t>преобладающих</w:t>
      </w:r>
      <w:r w:rsidR="0096794E" w:rsidRPr="006120EB">
        <w:t xml:space="preserve"> </w:t>
      </w:r>
      <w:r w:rsidR="0096794E">
        <w:t>симптомов и осложнений СД</w:t>
      </w:r>
      <w:r w:rsidR="0096794E" w:rsidRPr="006120EB">
        <w:t xml:space="preserve"> </w:t>
      </w:r>
      <w:r w:rsidR="00AD0C11">
        <w:fldChar w:fldCharType="begin"/>
      </w:r>
      <w:r w:rsidR="00971255">
        <w:instrText xml:space="preserve"> ADDIN ZOTERO_ITEM CSL_CITATION {"citationID":"1oxpLyBa","properties":{"formattedCitation":"[3]","plainCitation":"[3]","noteIndex":0},"citationItems":[{"id":2945,"uris":["http://zotero.org/users/5483459/items/9AF4E2X5"],"itemData":{"id":2945,"type":"document","title":"Министерство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2022."}}],"schema":"https://github.com/citation-style-language/schema/raw/master/csl-citation.json"} </w:instrText>
      </w:r>
      <w:r w:rsidR="00AD0C11">
        <w:fldChar w:fldCharType="separate"/>
      </w:r>
      <w:r w:rsidR="00AD0C11" w:rsidRPr="00FE3F2F">
        <w:t>[3]</w:t>
      </w:r>
      <w:r w:rsidR="00AD0C11">
        <w:fldChar w:fldCharType="end"/>
      </w:r>
      <w:r w:rsidR="00AD0C11" w:rsidRPr="00811E20">
        <w:t>.</w:t>
      </w:r>
    </w:p>
    <w:p w14:paraId="54AC33CC" w14:textId="4CB0805D" w:rsidR="00283229" w:rsidRPr="00236EE3" w:rsidRDefault="00236EE3" w:rsidP="00236EE3">
      <w:pPr>
        <w:ind w:firstLine="709"/>
      </w:pPr>
      <w:r w:rsidRPr="00B15C28">
        <w:t xml:space="preserve">Среди приведенных в Таблице 1-1 групп сахаропонижающих препаратов отдельно следует выделить группу ингибиторов дипептидилпептидазы-4 (ДПП-4), так называемых глиптинов. Лекарственные препараты этой группы не вызывают нежелательных эффектов, характерных для других сахароснижающих препаратов (например, замедление опорожнения желудка, снижение массы тела), не имеют ограничений по применению при наличии большинства сопутствующих заболеваний, а также могут применяться как в виде </w:t>
      </w:r>
      <w:r w:rsidRPr="00B15C28">
        <w:rPr>
          <w:bCs/>
        </w:rPr>
        <w:t xml:space="preserve">монотерапии на ранних стадиях СД типа 2, так и в комбинации с любым </w:t>
      </w:r>
      <w:r w:rsidRPr="00B15C28">
        <w:rPr>
          <w:bCs/>
        </w:rPr>
        <w:lastRenderedPageBreak/>
        <w:t>сахароснижающими лекарственными средствами на более поздних стадиях.</w:t>
      </w:r>
      <w:r w:rsidRPr="00B15C28">
        <w:t xml:space="preserve">  Препараты этой группы были одобрены американским регулятором (</w:t>
      </w:r>
      <w:r w:rsidRPr="00B15C28">
        <w:rPr>
          <w:lang w:val="en-US"/>
        </w:rPr>
        <w:t>FDA</w:t>
      </w:r>
      <w:r w:rsidRPr="00B15C28">
        <w:t>), Европейским агентством лекарственных средств, а также зарегистрированы в РФ: ситаглиптин под торговым наименованием Янувия</w:t>
      </w:r>
      <w:r w:rsidRPr="00B15C28">
        <w:rPr>
          <w:vertAlign w:val="superscript"/>
        </w:rPr>
        <w:t>®</w:t>
      </w:r>
      <w:r w:rsidRPr="00B15C28">
        <w:t xml:space="preserve"> в 2007 г., вилдаглиптин под торговым наименованием Галвус</w:t>
      </w:r>
      <w:r w:rsidRPr="00B15C28">
        <w:rPr>
          <w:vertAlign w:val="superscript"/>
        </w:rPr>
        <w:t>®</w:t>
      </w:r>
      <w:r w:rsidRPr="00B15C28">
        <w:t xml:space="preserve"> в 2008 г., саксаглиптин под торговым наименованием Онглиза</w:t>
      </w:r>
      <w:r w:rsidRPr="00B15C28">
        <w:rPr>
          <w:vertAlign w:val="superscript"/>
        </w:rPr>
        <w:t>®</w:t>
      </w:r>
      <w:r w:rsidRPr="00B15C28">
        <w:t xml:space="preserve"> в 2010 г., алоглиптин под торговым наименованием Випидия</w:t>
      </w:r>
      <w:r w:rsidRPr="00B15C28">
        <w:rPr>
          <w:vertAlign w:val="superscript"/>
        </w:rPr>
        <w:t>®</w:t>
      </w:r>
      <w:r w:rsidRPr="00B15C28">
        <w:t xml:space="preserve"> в 2014 г., линаглиптин под торговым наименованием Тражента</w:t>
      </w:r>
      <w:r w:rsidRPr="00B15C28">
        <w:rPr>
          <w:vertAlign w:val="superscript"/>
        </w:rPr>
        <w:t>®</w:t>
      </w:r>
      <w:r w:rsidRPr="00B15C28">
        <w:t xml:space="preserve"> в 2012 г., гемиглиптин под торговым наименованием Земигло</w:t>
      </w:r>
      <w:r w:rsidRPr="00B15C28">
        <w:rPr>
          <w:vertAlign w:val="superscript"/>
        </w:rPr>
        <w:t>®</w:t>
      </w:r>
      <w:r w:rsidRPr="00B15C28">
        <w:t xml:space="preserve"> в 2018 г., гозоглиптин под торговым наименованием Сатерекс</w:t>
      </w:r>
      <w:r w:rsidRPr="00B15C28">
        <w:rPr>
          <w:vertAlign w:val="superscript"/>
        </w:rPr>
        <w:t>®</w:t>
      </w:r>
      <w:r w:rsidRPr="00B15C28">
        <w:t xml:space="preserve"> в 2016 г., эвоглиптин под торговым наименованием Эводин</w:t>
      </w:r>
      <w:r w:rsidRPr="00B15C28">
        <w:rPr>
          <w:vertAlign w:val="superscript"/>
        </w:rPr>
        <w:t>®</w:t>
      </w:r>
      <w:r w:rsidRPr="00B15C28">
        <w:t xml:space="preserve"> в 2019 г.</w:t>
      </w:r>
      <w:r>
        <w:t xml:space="preserve"> </w:t>
      </w:r>
      <w:r w:rsidRPr="00236EE3">
        <w:t>[9-16].</w:t>
      </w:r>
    </w:p>
    <w:p w14:paraId="792C5629" w14:textId="77777777" w:rsidR="00236EE3" w:rsidRPr="00236EE3" w:rsidRDefault="00236EE3" w:rsidP="00236EE3">
      <w:pPr>
        <w:ind w:firstLine="709"/>
        <w:rPr>
          <w:b/>
          <w:bCs/>
        </w:rPr>
      </w:pPr>
    </w:p>
    <w:p w14:paraId="5D0E113D" w14:textId="464EB616" w:rsidR="003B04AB" w:rsidRPr="003B04AB" w:rsidRDefault="003B04AB" w:rsidP="00283229">
      <w:pPr>
        <w:rPr>
          <w:b/>
          <w:bCs/>
        </w:rPr>
      </w:pPr>
      <w:r>
        <w:rPr>
          <w:b/>
          <w:bCs/>
          <w:lang w:val="en-US"/>
        </w:rPr>
        <w:t>X</w:t>
      </w:r>
      <w:r w:rsidRPr="003B04AB">
        <w:rPr>
          <w:b/>
          <w:bCs/>
        </w:rPr>
        <w:t>ирургическое лечение (метаболическая хирургия) при ожирении</w:t>
      </w:r>
    </w:p>
    <w:p w14:paraId="1E80EC42" w14:textId="77777777" w:rsidR="00283229" w:rsidRDefault="00283229" w:rsidP="00283229">
      <w:pPr>
        <w:ind w:firstLine="851"/>
      </w:pPr>
    </w:p>
    <w:p w14:paraId="29960114" w14:textId="661A6AD2" w:rsidR="00634D57" w:rsidRDefault="003B04AB" w:rsidP="0069689E">
      <w:pPr>
        <w:ind w:firstLine="709"/>
      </w:pPr>
      <w:r>
        <w:t xml:space="preserve">Рекомендуется метаболическая (бариатрическая) хирургия пациентам с СД 2 с ИМТ </w:t>
      </w:r>
      <w:r w:rsidR="008332B9">
        <w:sym w:font="Symbol" w:char="F0B3"/>
      </w:r>
      <w:r w:rsidR="008332B9">
        <w:t xml:space="preserve"> </w:t>
      </w:r>
      <w:r>
        <w:t>35 кг/м</w:t>
      </w:r>
      <w:r w:rsidRPr="003B04AB">
        <w:rPr>
          <w:vertAlign w:val="superscript"/>
        </w:rPr>
        <w:t>2</w:t>
      </w:r>
      <w:r w:rsidR="008332B9">
        <w:rPr>
          <w:vertAlign w:val="superscript"/>
        </w:rPr>
        <w:t xml:space="preserve"> </w:t>
      </w:r>
      <w:r>
        <w:t>(</w:t>
      </w:r>
      <w:r w:rsidR="008332B9">
        <w:sym w:font="Symbol" w:char="F0B3"/>
      </w:r>
      <w:r>
        <w:t xml:space="preserve"> 32,5 кг/м</w:t>
      </w:r>
      <w:r w:rsidRPr="008332B9">
        <w:rPr>
          <w:vertAlign w:val="superscript"/>
        </w:rPr>
        <w:t>2</w:t>
      </w:r>
      <w:r>
        <w:t xml:space="preserve"> для азиатской популяции), не достигающим целевого гликемического контроля на фоне оптимальной сахароснижающей терапии после нескольких попыток нехирургического лечения ожирения (изменения образа жизни и медикаментозной терапии) для лечения заболевания</w:t>
      </w:r>
      <w:r w:rsidR="008332B9">
        <w:t xml:space="preserve"> </w:t>
      </w:r>
      <w:r w:rsidR="002D22C9">
        <w:fldChar w:fldCharType="begin"/>
      </w:r>
      <w:r w:rsidR="00971255">
        <w:instrText xml:space="preserve"> ADDIN ZOTERO_ITEM CSL_CITATION {"citationID":"WP4hvWCQ","properties":{"formattedCitation":"[3]","plainCitation":"[3]","noteIndex":0},"citationItems":[{"id":2945,"uris":["http://zotero.org/users/5483459/items/9AF4E2X5"],"itemData":{"id":2945,"type":"document","title":"Министерство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2022."}}],"schema":"https://github.com/citation-style-language/schema/raw/master/csl-citation.json"} </w:instrText>
      </w:r>
      <w:r w:rsidR="002D22C9">
        <w:fldChar w:fldCharType="separate"/>
      </w:r>
      <w:r w:rsidR="002D22C9" w:rsidRPr="00FE3F2F">
        <w:t>[3]</w:t>
      </w:r>
      <w:r w:rsidR="002D22C9">
        <w:fldChar w:fldCharType="end"/>
      </w:r>
      <w:r w:rsidR="002D22C9" w:rsidRPr="00811E20">
        <w:t>.</w:t>
      </w:r>
    </w:p>
    <w:p w14:paraId="07645F06" w14:textId="77777777" w:rsidR="00283229" w:rsidRDefault="00283229" w:rsidP="00283229">
      <w:pPr>
        <w:rPr>
          <w:b/>
          <w:bCs/>
        </w:rPr>
      </w:pPr>
    </w:p>
    <w:p w14:paraId="4312DDBF" w14:textId="258556EC" w:rsidR="00BA7669" w:rsidRPr="002D22C9" w:rsidRDefault="00BA7669" w:rsidP="00283229">
      <w:pPr>
        <w:rPr>
          <w:b/>
          <w:bCs/>
        </w:rPr>
      </w:pPr>
      <w:r w:rsidRPr="002D22C9">
        <w:rPr>
          <w:b/>
          <w:bCs/>
        </w:rPr>
        <w:t>Терапевтическое обучение</w:t>
      </w:r>
    </w:p>
    <w:p w14:paraId="4D6076D5" w14:textId="77777777" w:rsidR="00283229" w:rsidRDefault="00283229" w:rsidP="00283229">
      <w:pPr>
        <w:ind w:firstLine="851"/>
      </w:pPr>
    </w:p>
    <w:p w14:paraId="4BD49794" w14:textId="79FEE1CD" w:rsidR="00BA7669" w:rsidRDefault="00BA7669" w:rsidP="0069689E">
      <w:pPr>
        <w:ind w:firstLine="709"/>
      </w:pPr>
      <w:r>
        <w:t xml:space="preserve">Согласно решению </w:t>
      </w:r>
      <w:r w:rsidR="00D03B11">
        <w:t>ВОЗ</w:t>
      </w:r>
      <w:r w:rsidR="00283229">
        <w:t>,</w:t>
      </w:r>
      <w:r w:rsidR="00D03B11">
        <w:t xml:space="preserve"> </w:t>
      </w:r>
      <w:r>
        <w:t>терапевтическое обучение пациентов является самостоятельным разделом медицины и важнейшей составляющей лечения хронических заболеваний, прежде всего СД</w:t>
      </w:r>
      <w:r w:rsidR="002D22C9">
        <w:t>.</w:t>
      </w:r>
      <w:r>
        <w:t xml:space="preserve"> Обучение является неотъемлемой частью комплекса терапевтических мероприятий при СД 2 и должно продолжаться на всем протяжении заболевания. Лечение СД 2 обязательно включает обучение самоконтролю гликемии и принципам управления заболеванием</w:t>
      </w:r>
      <w:r w:rsidR="002D22C9">
        <w:t xml:space="preserve"> </w:t>
      </w:r>
      <w:r w:rsidR="002D22C9">
        <w:fldChar w:fldCharType="begin"/>
      </w:r>
      <w:r w:rsidR="00006D23">
        <w:instrText xml:space="preserve"> ADDIN ZOTERO_ITEM CSL_CITATION {"citationID":"wgcwhmTi","properties":{"formattedCitation":"[3,9\\uc0\\u8211{}11]","plainCitation":"[3,9–11]","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2022."},"label":"page"},{"id":2965,"uris":["http://zotero.org/users/5483459/items/3EFDGNAV"],"itemData":{"id":2965,"type":"article-journal","abstract":"Therapeutic patient education is a patient-centred approach, focussed on patients' needs, resources, values and strategies. It allows patients to improve their knowledge and skills not only concerning their illness but also their treatment. It brings a better quality of life, a greater therapeutic compliance and a reduction in complications. The most difficult part of therapeutic patient education occurs when patients must change their behaviour. Motivational interviewing and cognitive-behavioural approaches contribute greatly here and allow both the preparation and support of patients during progressive 'step by step' change. The work on resistance to change is fundamental, and ambivalence when faced with the choice of a new way of life must be measured, discussed and negotiated. Patients become partners and we become 'coaches'. The negotiation of objectives must allow patients to choose their own strategies, which normally should cost them the least possible, psychologically, and bring them the maximum benefit. The efficiency of therapeutic patient education no longer needs to be proved: 80% less amputations over 10 years in diabetic patients; 50% maintenance of weight loss over 5 years, etc. In conclusion, therapeutic education is part of a humanistic medical approach centred on patients; it allows them to be active participants in their own treatment with the aim of improving their quality of life and therapeutic compliance, as well as reducing potential complications. Thus, health care professionals teach, inform, train, negotiate with, motivate and accompany patients in the long-term follow-up of their illness.","container-title":"Diabetes/Metabolism Research and Reviews","DOI":"10.1002/dmrr.798","ISSN":"1520-7552","issue":"3","journalAbbreviation":"Diabetes Metab Res Rev","language":"eng","note":"PMID: 18229887","page":"192-196","source":"PubMed","title":"Therapeutic education of diabetic patients","volume":"24","author":[{"family":"Golay","given":"A."},{"family":"Lagger","given":"G."},{"family":"Chambouleyron","given":"M."},{"family":"Carrard","given":"I."},{"family":"Lasserre-Moutet","given":"A."}],"issued":{"date-parts":[["2008"]]}},"label":"page"},{"id":2967,"uris":["http://zotero.org/users/5483459/items/86RGAX53"],"itemData":{"id":2967,"type":"article-journal","abstract":"The glycemic index (GI) has been included in the Canadian clinical practice guidelines for type 2 diabetes (T2D) management since 2003, and even longer in other parts of the world (e.g., Australia). Despite this, dietitians have reported that GI is \"too difficult for patients to understand and apply.\" They have called for diverse GI-utility data and evidence-informed education materials. To address these concerns, we developed and evaluated a GI education workshop and supporting materials, using the Kirkpatrick Model, for a T2D population. Participants (n = 29) with T2D attended a dietitian-facilitated workshop and received education materials. A mixed-form questionnaire (GIQ) and 3-day-diet-record were used to capture patient demographics, satisfaction, knowledge, and application, prior to and immediately after the workshop, 1-week, and 4-weeks post-education. Dietary GI was significantly lower at 1 and 4 weeks post-education (mean ± SEM; both 54 ± 1), compared to pre-education (58 ± 1; p ≤ 0.001). Participants (28/29) were satisfied with the intervention. The GI knowledge score was significantly higher post-education at baseline (83.5 ± 3.4%; p ≤ 0.001), week one (87.5 ± 2.6%; p = 0.035), and week four (87.6 ± 3.8%; p = 0.011) when compared to pre-education (53.6 ± 5.1%). A significant reduction in dietary GI was achieved by participants living with T2D, after completing the workshop, and they were able to acquire and apply GI knowledge in a relatively short period.","container-title":"Nutrients","DOI":"10.3390/nu12082416","ISSN":"2072-6643","issue":"8","journalAbbreviation":"Nutrients","language":"eng","note":"PMID: 32806563\nPMCID: PMC7469042","page":"2416","source":"PubMed","title":"Evaluation of Glycemic Index Education in People Living with Type 2 Diabetes: Participant Satisfaction, Knowledge Uptake, and Application","title-short":"Evaluation of Glycemic Index Education in People Living with Type 2 Diabetes","volume":"12","author":[{"family":"M Grant","given":"Shannan"},{"family":"J Glenn","given":"Andrea"},{"family":"M S Wolever","given":"Thomas"},{"family":"G Josse","given":"Robert"},{"family":"L O'Connor","given":"Deborah"},{"family":"Thompson","given":"Alexandra"},{"family":"D Noseworthy","given":"Rebecca"},{"family":"Seider","given":"Maxine"},{"family":"Sobie","given":"Melissa"},{"family":"Bhatti","given":"Gurita"},{"family":"Cavanagh","given":"Julianne"},{"family":"Jones","given":"Emily"},{"family":"B Darling","given":"Pauline"}],"issued":{"date-parts":[["2020",8,12]]}},"label":"page"},{"id":2963,"uris":["http://zotero.org/users/5483459/items/KJF92X44"],"itemData":{"id":2963,"type":"article-journal","abstract":"IntroductionTherapeutic education is an essential part in the management of type 2 diabetes mellitus","container-title":"Endocrinología, Diabetes y Nutrición (English ed.)","DOI":"10.1016/j.endien.2021.11.022","ISSN":"2530-0180","issue":"9","journalAbbreviation":"Endocrinol Diabetes Nutr","language":"en","note":"publisher: Elsevier","page":"628-635","source":"www.elsevier.es","title":"A therapeutic education program with a diabetes specialist nurse for type 2 diabetes patients using insulin in a primary care setting. A diabetes education program with a diabetes specialist nurse in a primary care setting","volume":"68","author":[{"family":"Cabré Font","given":"Carla"},{"family":"Colungo Francia","given":"Cristina"},{"family":"Vinagre Torres","given":"Irene"},{"family":"Jansà i Morató","given":"Marga"},{"family":"Conget Donlo","given":"Ignacio"}],"issued":{"date-parts":[["2021",11,1]]}},"label":"page"}],"schema":"https://github.com/citation-style-language/schema/raw/master/csl-citation.json"} </w:instrText>
      </w:r>
      <w:r w:rsidR="002D22C9">
        <w:fldChar w:fldCharType="separate"/>
      </w:r>
      <w:r w:rsidR="00006D23" w:rsidRPr="00006D23">
        <w:t>[3,</w:t>
      </w:r>
      <w:r w:rsidR="00B31A78">
        <w:t xml:space="preserve"> </w:t>
      </w:r>
      <w:r w:rsidR="00236EE3" w:rsidRPr="00537BF5">
        <w:t>17-</w:t>
      </w:r>
      <w:r w:rsidR="007B136F" w:rsidRPr="00537BF5">
        <w:t>19</w:t>
      </w:r>
      <w:r w:rsidR="00006D23" w:rsidRPr="00006D23">
        <w:t>]</w:t>
      </w:r>
      <w:r w:rsidR="002D22C9">
        <w:fldChar w:fldCharType="end"/>
      </w:r>
      <w:r w:rsidR="002D22C9" w:rsidRPr="00811E20">
        <w:t>.</w:t>
      </w:r>
    </w:p>
    <w:p w14:paraId="6E050364" w14:textId="483446E9" w:rsidR="00247791" w:rsidRDefault="00B44502" w:rsidP="00B44502">
      <w:pPr>
        <w:pStyle w:val="3"/>
        <w:spacing w:after="240"/>
        <w:rPr>
          <w:rFonts w:ascii="Times New Roman" w:hAnsi="Times New Roman"/>
          <w:color w:val="000000" w:themeColor="text1"/>
          <w:szCs w:val="24"/>
        </w:rPr>
      </w:pPr>
      <w:bookmarkStart w:id="41" w:name="_Toc139361928"/>
      <w:r>
        <w:rPr>
          <w:rFonts w:ascii="Times New Roman" w:hAnsi="Times New Roman"/>
          <w:color w:val="000000" w:themeColor="text1"/>
          <w:szCs w:val="24"/>
        </w:rPr>
        <w:t xml:space="preserve">1.7.3. </w:t>
      </w:r>
      <w:r w:rsidR="00247791" w:rsidRPr="006C20D3">
        <w:rPr>
          <w:rFonts w:ascii="Times New Roman" w:hAnsi="Times New Roman"/>
          <w:color w:val="000000" w:themeColor="text1"/>
          <w:szCs w:val="24"/>
        </w:rPr>
        <w:t>Вводная информация по исследуемой терапии</w:t>
      </w:r>
      <w:bookmarkEnd w:id="41"/>
    </w:p>
    <w:p w14:paraId="2C5BFC78" w14:textId="6B9FA335" w:rsidR="00624A7C" w:rsidRDefault="00624A7C" w:rsidP="0069689E">
      <w:pPr>
        <w:ind w:firstLine="709"/>
      </w:pPr>
      <w:r>
        <w:t>И</w:t>
      </w:r>
      <w:r w:rsidRPr="00624A7C">
        <w:t xml:space="preserve">нгибиторы ДПП-4 или глиптины относятся к классу миметиков инкретина. Эти препараты </w:t>
      </w:r>
      <w:r>
        <w:t>применяются</w:t>
      </w:r>
      <w:r w:rsidRPr="00624A7C">
        <w:t xml:space="preserve"> для лечения СД2 уже более десяти лет</w:t>
      </w:r>
      <w:r w:rsidR="00DB6987">
        <w:t xml:space="preserve"> с 2006 года</w:t>
      </w:r>
      <w:r w:rsidRPr="00624A7C">
        <w:t xml:space="preserve">. Ситаглиптин, линаглиптин, вилдаглиптин, саксаглиптин и алоглиптин широко доступны во всем мире, в то время как анаглиптин, гемиглиптин и тенелиптин используются в основном в странах Азии. Гликемический контроль, обеспечиваемый ингибиторами ДПП-4, варьирует </w:t>
      </w:r>
      <w:r>
        <w:t>у отдельных препаратов этой группы</w:t>
      </w:r>
      <w:r w:rsidRPr="00624A7C">
        <w:t xml:space="preserve"> со средним снижением HbA1</w:t>
      </w:r>
      <w:r w:rsidR="00866D83" w:rsidRPr="00624A7C">
        <w:t>c</w:t>
      </w:r>
      <w:r w:rsidR="00866D83">
        <w:t xml:space="preserve"> </w:t>
      </w:r>
      <w:r w:rsidR="00866D83" w:rsidRPr="00624A7C">
        <w:t>в</w:t>
      </w:r>
      <w:r w:rsidRPr="00624A7C">
        <w:t xml:space="preserve"> пределах от -0,5 до -1,0% при монотерапии. Аддитивное влияние на снижение уровня HbA1c может быть результатом комбинированной терапии с другими противодиабетическими средствами</w:t>
      </w:r>
      <w:r w:rsidR="007221F3">
        <w:t xml:space="preserve"> </w:t>
      </w:r>
      <w:r w:rsidR="007221F3">
        <w:fldChar w:fldCharType="begin"/>
      </w:r>
      <w:r w:rsidR="007221F3">
        <w:instrText xml:space="preserve"> ADDIN ZOTERO_ITEM CSL_CITATION {"citationID":"4lZ6Vm11","properties":{"formattedCitation":"[12]","plainCitation":"[12]","noteIndex":0},"citationItems":[{"id":2970,"uris":["http://zotero.org/users/5483459/items/CXWFHJNZ"],"itemData":{"id":2970,"type":"article-journal","abstract":"Dipeptidyl peptidase-4 (DPP-4) inhibitors or gliptins belong to the class of incretin mimetics. These drugs have been available on the market for the management of type 2 diabetes mellitus (T2DM) for over a decade. Sitagliptin, linagliptin, vildagliptin, saxagliptin and alogliptin are widely available globally, whilst anagliptin, gemigliptin and teneliptin are used mainly in the Asian countries. The glycemic control conferred by DPP-4 inhibitors varies among individual molecules with an average reduction of glycated hemoglobin (HbA1c) ranging between -0.5 to -1.0% with monotherapy. Additive effects on HbA1c reduction may result from combination therapy with other antidiabetics. Weak evidence from various studies suggests that DPP-4 inhibitors may be useful in treating nonalcoholic fatty liver disease (NAFLD) and polycystic ovary syndrome (PCOS). DPP-4 inhibitors safety is not established in pregnancy, and there is only meagre evidence of its use in T2DM among children. In line with the United States Food and Drug Administration (US FDA) recommendations, sitagliptin, linagliptin, saxagliptin and alogliptin have undergone rigorous cardiovascular outcome trials (CVOTs) in recent years, and the safety data for vildagliptin is available through retrospective analysis of various studies in meta-analysis. Small clinical trial, and meta-analysis based data are available for the CV safety of other DPP-4 inhibitors. In general, the CVOTs and other safety data do not reveal serious warning signals except for saxagliptin (higher risk of hospitalization from heart failure [hHF]), although there is no robust data on the risk of hHF among patients with moderate to severe HF at baseline treated with other DPP-4 inhibitors. This review critically appraises the efficacy and cardiovascular safety of DPP-4 inhibitors to empower clinicians to use this class of antidiabetic medications judiciously.","container-title":"Current Drug Safety","DOI":"10.2174/1574886315999200819150544","ISSN":"2212-3911","issue":"2","journalAbbreviation":"Curr Drug Saf","language":"eng","note":"PMID: 32819262","page":"154-164","source":"PubMed","title":"Efficacy and Cardiovascular Safety of DPP-4 Inhibitors","volume":"16","author":[{"family":"Subrahmanyan","given":"Nikhila A."},{"family":"Koshy","given":"Rithika M."},{"family":"Jacob","given":"Koshy"},{"family":"Pappachan","given":"Joseph M."}],"issued":{"date-parts":[["2021"]]}}}],"schema":"https://github.com/citation-style-language/schema/raw/master/csl-citation.json"} </w:instrText>
      </w:r>
      <w:r w:rsidR="007221F3">
        <w:fldChar w:fldCharType="separate"/>
      </w:r>
      <w:r w:rsidR="007221F3" w:rsidRPr="007221F3">
        <w:t>[</w:t>
      </w:r>
      <w:r w:rsidR="007B136F" w:rsidRPr="00537BF5">
        <w:t>20</w:t>
      </w:r>
      <w:r w:rsidR="007221F3" w:rsidRPr="007221F3">
        <w:t>]</w:t>
      </w:r>
      <w:r w:rsidR="007221F3">
        <w:fldChar w:fldCharType="end"/>
      </w:r>
      <w:r w:rsidR="007221F3">
        <w:t>.</w:t>
      </w:r>
      <w:r w:rsidR="00DB6987">
        <w:t xml:space="preserve"> </w:t>
      </w:r>
      <w:r w:rsidR="00DB6987" w:rsidRPr="00DB6987">
        <w:t xml:space="preserve">В последнее время ингибиторы ДПП-4 все чаще заменяют сульфонилмочевину в качестве терапии второй линии после неэффективности метформина, и доступно множество комбинаций метформин/ингибитор </w:t>
      </w:r>
      <w:bookmarkStart w:id="42" w:name="_Hlk120370260"/>
      <w:r w:rsidR="00DB6987" w:rsidRPr="00DB6987">
        <w:t>ДПП-4</w:t>
      </w:r>
      <w:bookmarkEnd w:id="42"/>
      <w:r w:rsidR="00DB6987" w:rsidRPr="00DB6987">
        <w:t xml:space="preserve"> с фиксированными дозами. На более поздних стадиях диабета 2 типа ингибиторы ДПП-4 также рекомендуются в руководствах в составе тройной терапии с метформином и ингибиторами SGLT-2 или с метформином и инсулином</w:t>
      </w:r>
      <w:r w:rsidR="00DB6987">
        <w:t xml:space="preserve"> </w:t>
      </w:r>
      <w:r w:rsidR="00214EEE">
        <w:fldChar w:fldCharType="begin"/>
      </w:r>
      <w:r w:rsidR="00214EEE">
        <w:instrText xml:space="preserve"> ADDIN ZOTERO_ITEM CSL_CITATION {"citationID":"Ufu2lrP6","properties":{"formattedCitation":"[13]","plainCitation":"[13]","noteIndex":0},"citationItems":[{"id":2975,"uris":["http://zotero.org/users/5483459/items/YKR3IF52"],"itemData":{"id":2975,"type":"article-journal","abstract":"DPP-4 inhibitors were introduced for the treatment of type 2 diabetes in 2006. They stimulate insulin secretion and inhibit glucagon secretion by elevating endogenous GLP-1 concentrations without an intrinsic hypoglycaemia risk. Their efficacy potential to lower HbA1c is in the range between 0.5 and 1.0% and their safety profile is favorable. DPP-4 inhibitors are body weight neutral and they have demonstrated cardiovascular safety. Most compounds can be used in impaired renal function. Guidelines suggest the additional use of DPP-4 inhibitors after metformin failure in patients that do not require antidiabetic therapy with proven cardiovascular benefit. Recently, DPP-4 inhibitors have increasingly replaced sulfonylureas as second line therapy after metformin failure and many metformin/DPP-4 inhibitor fixed dose combinations are available. In later stages of type 2 diabetes, DPP-4 inhibitors are also recommended in the guidelines in triple therapies with metformin and SGLT-2 inhibitors or with metformin and insulin. A treatment with DPP-4 inhibitors should be stopped when GLP-1 receptor agonists are used. DPP-4 inhibitors can be used as monotherapy when metformin is contraindicated or not tolerated. Some studies have shown value of initial metformin-DPP-4 inhibitor combination therapy in special populations. This article gives an overview on the clinical use of DPP-4 inhibitors.","container-title":"Frontiers in Endocrinology","DOI":"10.3389/fendo.2019.00389","ISSN":"1664-2392","journalAbbreviation":"Front Endocrinol (Lausanne)","language":"eng","note":"PMID: 31275246\nPMCID: PMC6593043","page":"389","source":"PubMed","title":"Clinical Use of DPP-4 Inhibitors","volume":"10","author":[{"family":"Gallwitz","given":"Baptist"}],"issued":{"date-parts":[["2019"]]}}}],"schema":"https://github.com/citation-style-language/schema/raw/master/csl-citation.json"} </w:instrText>
      </w:r>
      <w:r w:rsidR="00214EEE">
        <w:fldChar w:fldCharType="separate"/>
      </w:r>
      <w:r w:rsidR="00214EEE" w:rsidRPr="00214EEE">
        <w:t>[</w:t>
      </w:r>
      <w:r w:rsidR="007B136F" w:rsidRPr="004F6002">
        <w:t>21</w:t>
      </w:r>
      <w:r w:rsidR="00214EEE" w:rsidRPr="00214EEE">
        <w:t>]</w:t>
      </w:r>
      <w:r w:rsidR="00214EEE">
        <w:fldChar w:fldCharType="end"/>
      </w:r>
      <w:r w:rsidR="00214EEE">
        <w:t>.</w:t>
      </w:r>
    </w:p>
    <w:p w14:paraId="2194D643" w14:textId="7C845B05" w:rsidR="00295007" w:rsidRDefault="00093D2F" w:rsidP="0069689E">
      <w:pPr>
        <w:ind w:firstLine="709"/>
        <w:rPr>
          <w:noProof/>
        </w:rPr>
      </w:pPr>
      <w:bookmarkStart w:id="43" w:name="_Hlk121101657"/>
      <w:bookmarkStart w:id="44" w:name="_Hlk521882563"/>
      <w:bookmarkEnd w:id="39"/>
      <w:r>
        <w:rPr>
          <w:noProof/>
        </w:rPr>
        <w:t xml:space="preserve">Линаглиптин участвует в инактивации гормонов инкретинов </w:t>
      </w:r>
      <w:r w:rsidR="00EF7CD8">
        <w:rPr>
          <w:noProof/>
        </w:rPr>
        <w:t xml:space="preserve">– </w:t>
      </w:r>
      <w:r w:rsidR="0080338C">
        <w:rPr>
          <w:noProof/>
        </w:rPr>
        <w:t>г</w:t>
      </w:r>
      <w:r>
        <w:rPr>
          <w:noProof/>
        </w:rPr>
        <w:t>люкагоноподобного пептида 1 типа (ГПП-</w:t>
      </w:r>
      <w:r w:rsidR="00A37E11">
        <w:rPr>
          <w:noProof/>
        </w:rPr>
        <w:t>1</w:t>
      </w:r>
      <w:r>
        <w:rPr>
          <w:noProof/>
        </w:rPr>
        <w:t xml:space="preserve">) и глюкозозависимого инсулинотропного полипептида (ГИП). Эти гормоны быстро разрушаются ферментом ДПП-4. Оба эти инкретина участвуют в поддержании концентрации глюкозы на физиологическом уровне. Базальные концентрации ГПП-1 и ГИП в течение суток низкие, они быстро повышаются в ответ на </w:t>
      </w:r>
      <w:r>
        <w:rPr>
          <w:noProof/>
        </w:rPr>
        <w:lastRenderedPageBreak/>
        <w:t>прием пищи. ГПП-1 и ГИП усиливают биосинтез инсулина и его секрецию бета-клетками поджелудочной железы при нормальной или повышенной концентрации глюкозы крови. Кроме того, ГПП-1 снижает секрецию глюкагона альфа-клетками поджелудочной железы, что приводит к уменьшению продукции глюкозы в печени. Линаглиптин активно связывается с ферментом ДПП-4 (связь обратимая), что вызывает устойчивое повышение концентрации инкретинов и длительное сохранение их активности</w:t>
      </w:r>
      <w:r w:rsidR="00E81DBB">
        <w:rPr>
          <w:noProof/>
        </w:rPr>
        <w:t xml:space="preserve"> </w:t>
      </w:r>
      <w:r w:rsidR="00971255">
        <w:rPr>
          <w:noProof/>
        </w:rPr>
        <w:fldChar w:fldCharType="begin"/>
      </w:r>
      <w:r w:rsidR="00214EEE">
        <w:rPr>
          <w:noProof/>
        </w:rPr>
        <w:instrText xml:space="preserve"> ADDIN ZOTERO_ITEM CSL_CITATION {"citationID":"OgwMN5cR","properties":{"formattedCitation":"[14]","plainCitation":"[14]","noteIndex":0},"citationItems":[{"id":2960,"uris":["http://zotero.org/users/5483459/items/ZIJ4ID3A"],"itemData":{"id":2960,"type":"document","title":"Министерство здравоохранения Российской Федерации. Инструкция по медицинскому применению  для препарата Тражента®, таблетки, покрытые пленочной оболочкой, 5 мг. Версия от 23.12.2019 Изменение №1 от 27.07.2022. Регистрационное удостоверение ЛП-001430 от 12.015.2012, Берингер Ингельхайм Интернешнл ГмбХ, Германия."}}],"schema":"https://github.com/citation-style-language/schema/raw/master/csl-citation.json"} </w:instrText>
      </w:r>
      <w:r w:rsidR="00971255">
        <w:rPr>
          <w:noProof/>
        </w:rPr>
        <w:fldChar w:fldCharType="separate"/>
      </w:r>
      <w:r w:rsidR="00214EEE" w:rsidRPr="00214EEE">
        <w:t>[</w:t>
      </w:r>
      <w:r w:rsidR="0069689E" w:rsidRPr="0069689E">
        <w:t>13</w:t>
      </w:r>
      <w:r w:rsidR="00214EEE" w:rsidRPr="00214EEE">
        <w:t>]</w:t>
      </w:r>
      <w:r w:rsidR="00971255">
        <w:rPr>
          <w:noProof/>
        </w:rPr>
        <w:fldChar w:fldCharType="end"/>
      </w:r>
      <w:r w:rsidR="00971255">
        <w:rPr>
          <w:noProof/>
        </w:rPr>
        <w:t>.</w:t>
      </w:r>
    </w:p>
    <w:p w14:paraId="090B34B7" w14:textId="1F3273A7" w:rsidR="0046364A" w:rsidRDefault="0046364A" w:rsidP="0069689E">
      <w:pPr>
        <w:ind w:firstLine="709"/>
        <w:rPr>
          <w:noProof/>
        </w:rPr>
      </w:pPr>
      <w:r w:rsidRPr="0046364A">
        <w:rPr>
          <w:noProof/>
        </w:rPr>
        <w:t xml:space="preserve">Линаглиптин был впервые </w:t>
      </w:r>
      <w:r>
        <w:rPr>
          <w:noProof/>
        </w:rPr>
        <w:t>зарегистрирован</w:t>
      </w:r>
      <w:r w:rsidRPr="0046364A">
        <w:rPr>
          <w:noProof/>
        </w:rPr>
        <w:t xml:space="preserve"> в США, Европе, Японии и других странах в 2011 году для улучшения гликемического контроля у взрослых с сахарным диабетом 2 типа.</w:t>
      </w:r>
      <w:r>
        <w:rPr>
          <w:noProof/>
        </w:rPr>
        <w:t xml:space="preserve"> В РФ препарат зарегистрирован</w:t>
      </w:r>
      <w:r w:rsidR="00685E08">
        <w:rPr>
          <w:noProof/>
        </w:rPr>
        <w:t xml:space="preserve">  2012 году.</w:t>
      </w:r>
      <w:r>
        <w:rPr>
          <w:noProof/>
        </w:rPr>
        <w:t xml:space="preserve"> </w:t>
      </w:r>
      <w:r w:rsidRPr="0046364A">
        <w:rPr>
          <w:noProof/>
        </w:rPr>
        <w:t xml:space="preserve"> Линаглиптин является первым и пока единственным ингибитором ДПП-4 и пероральным сахароснижающим препаратом в целом, одобренным в виде однократной дозы для приема один раз в сутки (5 мг). По сравнению с другими доступными ингибиторами ДПП-4, линаглиптин имеет уникальный фармакокинетический/фармакодинамический профиль, который характеризуется нелинейной фармакокинетикой, минимальным почечным клиренсом и отсутствием необходимости в коррекции дозы </w:t>
      </w:r>
      <w:r w:rsidR="00685E08">
        <w:rPr>
          <w:noProof/>
        </w:rPr>
        <w:t>из-за</w:t>
      </w:r>
      <w:r w:rsidRPr="0046364A">
        <w:rPr>
          <w:noProof/>
        </w:rPr>
        <w:t xml:space="preserve"> какого-либо внутреннего или внешнего фактора</w:t>
      </w:r>
      <w:r w:rsidR="00685E08">
        <w:rPr>
          <w:noProof/>
        </w:rPr>
        <w:t xml:space="preserve"> </w:t>
      </w:r>
      <w:r w:rsidR="00BB127B">
        <w:rPr>
          <w:noProof/>
        </w:rPr>
        <w:fldChar w:fldCharType="begin"/>
      </w:r>
      <w:r w:rsidR="00BB127B">
        <w:rPr>
          <w:noProof/>
        </w:rPr>
        <w:instrText xml:space="preserve"> ADDIN ZOTERO_ITEM CSL_CITATION {"citationID":"LZhdH7XF","properties":{"formattedCitation":"[15]","plainCitation":"[15]","noteIndex":0},"citationItems":[{"id":3033,"uris":["http://zotero.org/users/5483459/items/GRMYZFKL"],"itemData":{"id":3033,"type":"article-journal","abstract":"Linagliptin is an orally active small-molecule inhibitor of dipeptidyl peptidase (DPP)-4, which was first licensed in the US, Europe, Japan and other territories in 2011 to improve glycaemic control in adults with type 2 diabetes mellitus. Linagliptin is the first and thus far the only DPP-4 inhibitor, and oral antihyperglycaemic drug in general, to be approved as a single-strength once-daily dose (5 mg). Compared with other available DPP-4 inhibitors, linagliptin has a unique pharmacokinetic/pharmacodynamic profile that is characterized by target-mediated nonlinear pharmacokinetics, concentration-dependent protein binding, minimal renal clearance and no requirements for dose adjustment for any intrinsic or extrinsic factor. After single or multiple oral doses of 1-10 mg, linagliptin displays less than dose-proportional increases in maximum plasma concentration (C(max)) and area under the plasma concentration-time curve (AUC). Linagliptin is rapidly absorbed after oral administration, with C(max) occurring after approximately 90 minutes, and reaches steady-state concentrations within 4 days. With the therapeutic dose, steady-state C(max) (11-12 nmol/L) and AUC (</w:instrText>
      </w:r>
      <w:r w:rsidR="00BB127B">
        <w:rPr>
          <w:rFonts w:ascii="Cambria Math" w:hAnsi="Cambria Math" w:cs="Cambria Math"/>
          <w:noProof/>
        </w:rPr>
        <w:instrText>∼</w:instrText>
      </w:r>
      <w:r w:rsidR="00BB127B">
        <w:rPr>
          <w:noProof/>
        </w:rPr>
        <w:instrText xml:space="preserve">150 nmol · h/L) are approximately 1.3-fold greater than after a single dose, indicating little drug accumulation with repeat dosing. Linagliptin exhibits concentration-dependent protein binding in human plasma in vitro (99% at 1 nmol/L to 75-89% at &gt;30 nmol/L) and has a large apparent volume of distribution, demonstrating extensive distribution into tissues. The nonlinear pharmacokinetics of linagliptin are best described by a two-compartmental model that incorporates target-mediated drug disposition resulting from high-affinity, saturable binding to DPP-4. The oral bioavailability of linagliptin estimated with this model is approximately 30%. Linagliptin has a long terminal half-life (&gt;100 hours); however, its accumulation half-life is much shorter (approximately 10 hours), accounting for the rapid attainment of steady state. The majority of linagliptin is eliminated as parent compound, demonstrating that metabolism plays a minor role in the overall pharmacokinetics in humans. The main, pharmacologically inactive S-3-hydroxypiperidinyl metabolite accounted for approximately 17% of the total drug-related compounds in plasma. Linagliptin is eliminated primarily in faeces, with only around 5% of the oral therapeutic dose excreted in the urine at steady state. Linagliptin potently inhibits DPP-4 (inhibition constant 1 nmol/L), and trough drug concentrations achieved with therapeutic dosing inhibit &gt;80% of plasma DPP-4 activity, the threshold associated with maximal antihyperglycaemic effects in animal models. There are no clinically relevant alterations in linagliptin pharmacokinetics resulting from renal impairment, hepatic impairment, coadministration with food, race, body weight, sex or age. In vitro, linagliptin is a weak substrate and weak inhibitor of cytochrome P450 (CYP) 3A4 and permeability glycoprotein (P-gp) but not of other CYP isozymes or ATP-binding cassette transporters. Clinical studies have revealed no relevant drug interactions when coadministered with other drugs commonly prescribed to patients with type 2 diabetes, including the narrow therapeutic index drugs warfarin and digoxin. Linagliptin plasma exposure is reduced by potent inducers of CYP3A4 or P-gp. Linagliptin has demonstrated a large safety window (&gt;100-fold the recommended daily dose) and clinically relevant antihyperglycaemic effects in patients with type 2 diabetes.","container-title":"Clinical Pharmacokinetics","DOI":"10.2165/11630900-000000000-00000","ISSN":"1179-1926","issue":"7","journalAbbreviation":"Clin Pharmacokinet","language":"eng","note":"PMID: 22568694","page":"411-427","source":"PubMed","title":"Clinical pharmacokinetics and pharmacodynamics of linagliptin","volume":"51","author":[{"family":"Graefe-Mody","given":"Ulrike"},{"family":"Retlich","given":"Silke"},{"family":"Friedrich","given":"Christian"}],"issued":{"date-parts":[["2012",7,1]]}}}],"schema":"https://github.com/citation-style-language/schema/raw/master/csl-citation.json"} </w:instrText>
      </w:r>
      <w:r w:rsidR="00BB127B">
        <w:rPr>
          <w:noProof/>
        </w:rPr>
        <w:fldChar w:fldCharType="separate"/>
      </w:r>
      <w:r w:rsidR="00BB127B" w:rsidRPr="00BB127B">
        <w:t>[</w:t>
      </w:r>
      <w:r w:rsidR="00357D7E" w:rsidRPr="00537BF5">
        <w:t>23</w:t>
      </w:r>
      <w:r w:rsidR="00BB127B" w:rsidRPr="00BB127B">
        <w:t>]</w:t>
      </w:r>
      <w:r w:rsidR="00BB127B">
        <w:rPr>
          <w:noProof/>
        </w:rPr>
        <w:fldChar w:fldCharType="end"/>
      </w:r>
      <w:r w:rsidR="00BB127B">
        <w:rPr>
          <w:noProof/>
        </w:rPr>
        <w:t>.</w:t>
      </w:r>
    </w:p>
    <w:p w14:paraId="46847BAF" w14:textId="408BB657" w:rsidR="00C97EF5" w:rsidRPr="00F0091C" w:rsidRDefault="00A95041" w:rsidP="00F0091C">
      <w:pPr>
        <w:ind w:firstLine="709"/>
        <w:rPr>
          <w:noProof/>
        </w:rPr>
      </w:pPr>
      <w:r>
        <w:rPr>
          <w:noProof/>
        </w:rPr>
        <w:t xml:space="preserve">Клинические рекомендации по лечению СД 2 типа </w:t>
      </w:r>
      <w:r w:rsidR="00E13D11">
        <w:rPr>
          <w:noProof/>
        </w:rPr>
        <w:t xml:space="preserve">в последней редакции </w:t>
      </w:r>
      <w:r>
        <w:rPr>
          <w:noProof/>
        </w:rPr>
        <w:t>рекомен</w:t>
      </w:r>
      <w:r w:rsidR="00214EEE">
        <w:rPr>
          <w:noProof/>
        </w:rPr>
        <w:t>д</w:t>
      </w:r>
      <w:r>
        <w:rPr>
          <w:noProof/>
        </w:rPr>
        <w:t xml:space="preserve">уют </w:t>
      </w:r>
      <w:r w:rsidR="00CF3CFC">
        <w:rPr>
          <w:noProof/>
        </w:rPr>
        <w:t xml:space="preserve">раннее назначение ДПП-4, в том числе линаглиптин </w:t>
      </w:r>
      <w:r>
        <w:rPr>
          <w:noProof/>
        </w:rPr>
        <w:t>у пациентов в дебюте СД 2 типа без АССЗ, ХСН и ХБП</w:t>
      </w:r>
      <w:r w:rsidR="00CF3CFC">
        <w:rPr>
          <w:noProof/>
        </w:rPr>
        <w:t xml:space="preserve"> в сос</w:t>
      </w:r>
      <w:r w:rsidR="007629C5">
        <w:rPr>
          <w:noProof/>
        </w:rPr>
        <w:t>т</w:t>
      </w:r>
      <w:r w:rsidR="00CF3CFC">
        <w:rPr>
          <w:noProof/>
        </w:rPr>
        <w:t xml:space="preserve">аве </w:t>
      </w:r>
      <w:r>
        <w:rPr>
          <w:noProof/>
        </w:rPr>
        <w:t>комбинированной терапии</w:t>
      </w:r>
      <w:r w:rsidR="00CF3CFC">
        <w:rPr>
          <w:noProof/>
        </w:rPr>
        <w:t>. Комбинированная терапия</w:t>
      </w:r>
      <w:r>
        <w:rPr>
          <w:noProof/>
        </w:rPr>
        <w:t xml:space="preserve"> может иметь преимущества в отношении долгосрочного удержания гликемического контроля даже при незначительном превышении целевого уровня HbA1c</w:t>
      </w:r>
      <w:r w:rsidR="00E13D11">
        <w:rPr>
          <w:noProof/>
        </w:rPr>
        <w:t xml:space="preserve"> </w:t>
      </w:r>
      <w:r w:rsidR="007221F3">
        <w:rPr>
          <w:noProof/>
        </w:rPr>
        <w:fldChar w:fldCharType="begin"/>
      </w:r>
      <w:r w:rsidR="007221F3">
        <w:rPr>
          <w:noProof/>
        </w:rPr>
        <w:instrText xml:space="preserve"> ADDIN ZOTERO_ITEM CSL_CITATION {"citationID":"5UDVgpjc","properties":{"formattedCitation":"[3]","plainCitation":"[3]","noteIndex":0},"citationItems":[{"id":2945,"uris":["http://zotero.org/users/5483459/items/9AF4E2X5"],"itemData":{"id":2945,"type":"document","title":"Министерство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2022."}}],"schema":"https://github.com/citation-style-language/schema/raw/master/csl-citation.json"} </w:instrText>
      </w:r>
      <w:r w:rsidR="007221F3">
        <w:rPr>
          <w:noProof/>
        </w:rPr>
        <w:fldChar w:fldCharType="separate"/>
      </w:r>
      <w:r w:rsidR="007221F3" w:rsidRPr="007221F3">
        <w:t>[3]</w:t>
      </w:r>
      <w:r w:rsidR="007221F3">
        <w:rPr>
          <w:noProof/>
        </w:rPr>
        <w:fldChar w:fldCharType="end"/>
      </w:r>
      <w:r w:rsidR="007221F3">
        <w:rPr>
          <w:noProof/>
        </w:rPr>
        <w:t>.</w:t>
      </w:r>
      <w:bookmarkEnd w:id="43"/>
    </w:p>
    <w:p w14:paraId="3A0589E2" w14:textId="288C9614" w:rsidR="004F5B1B" w:rsidRPr="004F5B1B" w:rsidRDefault="00C97EF5" w:rsidP="00C97EF5">
      <w:pPr>
        <w:ind w:firstLine="709"/>
        <w:rPr>
          <w:color w:val="000000"/>
        </w:rPr>
      </w:pPr>
      <w:r w:rsidRPr="002561BB">
        <w:rPr>
          <w:bCs/>
          <w:lang w:val="en-US" w:eastAsia="ru-RU"/>
        </w:rPr>
        <w:t>D</w:t>
      </w:r>
      <w:r w:rsidRPr="002561BB">
        <w:rPr>
          <w:lang w:val="en-US"/>
        </w:rPr>
        <w:t>T</w:t>
      </w:r>
      <w:r w:rsidRPr="002561BB">
        <w:t>-</w:t>
      </w:r>
      <w:r w:rsidRPr="002561BB">
        <w:rPr>
          <w:lang w:val="en-US"/>
        </w:rPr>
        <w:t>LNG</w:t>
      </w:r>
      <w:r w:rsidRPr="002561BB">
        <w:rPr>
          <w:bCs/>
          <w:lang w:eastAsia="ru-RU"/>
        </w:rPr>
        <w:t xml:space="preserve">, таблетки, покрытыте пленочной оболочкой, 5 мг, </w:t>
      </w:r>
      <w:r w:rsidR="002458D4">
        <w:rPr>
          <w:bCs/>
          <w:lang w:eastAsia="ru-RU"/>
        </w:rPr>
        <w:t>–</w:t>
      </w:r>
      <w:r w:rsidRPr="002561BB">
        <w:rPr>
          <w:bCs/>
          <w:lang w:eastAsia="ru-RU"/>
        </w:rPr>
        <w:t xml:space="preserve"> воспроизведенный препарат линаглиптина, разработанный дочерним подразделением ГК «Р-Фарм», Россия – ООО «Технология лекарств», по заказу АО «Р-Фарм». </w:t>
      </w:r>
      <w:r w:rsidRPr="002561BB">
        <w:rPr>
          <w:color w:val="000000"/>
        </w:rPr>
        <w:t>Он полностью соответствует по качественному и количественному соста</w:t>
      </w:r>
      <w:r w:rsidR="005A70D0">
        <w:rPr>
          <w:color w:val="000000"/>
        </w:rPr>
        <w:t>ву действующего вещества и качест</w:t>
      </w:r>
      <w:r w:rsidRPr="002561BB">
        <w:rPr>
          <w:color w:val="000000"/>
        </w:rPr>
        <w:t xml:space="preserve">венному составу </w:t>
      </w:r>
      <w:r w:rsidRPr="004F5B1B">
        <w:rPr>
          <w:color w:val="000000"/>
        </w:rPr>
        <w:t xml:space="preserve">вспомогательных веществ, лекарственной форме и дозировке референтному препарату линаглиптина </w:t>
      </w:r>
      <w:r w:rsidRPr="004F5B1B">
        <w:t>Тражента</w:t>
      </w:r>
      <w:r w:rsidRPr="004F5B1B">
        <w:rPr>
          <w:vertAlign w:val="superscript"/>
          <w:lang w:eastAsia="ru-RU"/>
        </w:rPr>
        <w:t>®</w:t>
      </w:r>
      <w:r w:rsidRPr="004F5B1B">
        <w:rPr>
          <w:rFonts w:eastAsia="Calibri"/>
        </w:rPr>
        <w:t xml:space="preserve"> </w:t>
      </w:r>
      <w:r w:rsidRPr="004F5B1B">
        <w:rPr>
          <w:color w:val="000000"/>
        </w:rPr>
        <w:t xml:space="preserve">(владелец РУ </w:t>
      </w:r>
      <w:r w:rsidR="002458D4">
        <w:rPr>
          <w:color w:val="000000"/>
        </w:rPr>
        <w:t>–</w:t>
      </w:r>
      <w:r w:rsidRPr="004F5B1B">
        <w:rPr>
          <w:color w:val="000000"/>
        </w:rPr>
        <w:t xml:space="preserve"> </w:t>
      </w:r>
      <w:r w:rsidRPr="004F5B1B">
        <w:rPr>
          <w:rFonts w:eastAsia="Calibri"/>
          <w:bCs/>
        </w:rPr>
        <w:t>Берингер Ингельхайм Интернешнл ГмбХ, Германия</w:t>
      </w:r>
      <w:r w:rsidRPr="004F5B1B">
        <w:rPr>
          <w:color w:val="000000"/>
        </w:rPr>
        <w:t>), имея различия в кол</w:t>
      </w:r>
      <w:r w:rsidR="00EB3B24">
        <w:rPr>
          <w:color w:val="000000"/>
        </w:rPr>
        <w:t>ичественном составе вспомо</w:t>
      </w:r>
      <w:r w:rsidRPr="004F5B1B">
        <w:rPr>
          <w:color w:val="000000"/>
        </w:rPr>
        <w:t xml:space="preserve">гательных веществ и в составе пленочной оболочки. </w:t>
      </w:r>
      <w:r w:rsidR="00F0091C" w:rsidRPr="004F5B1B">
        <w:rPr>
          <w:color w:val="000000" w:themeColor="text1"/>
        </w:rPr>
        <w:t xml:space="preserve">Результаты теста сравнительной кинетики растворения, проведенного в нескольких средах с использованием </w:t>
      </w:r>
      <w:r w:rsidRPr="004F5B1B">
        <w:rPr>
          <w:bCs/>
          <w:lang w:val="en-US" w:eastAsia="ru-RU"/>
        </w:rPr>
        <w:t>D</w:t>
      </w:r>
      <w:r w:rsidRPr="004F5B1B">
        <w:rPr>
          <w:lang w:val="en-US"/>
        </w:rPr>
        <w:t>T</w:t>
      </w:r>
      <w:r w:rsidRPr="004F5B1B">
        <w:t>-</w:t>
      </w:r>
      <w:r w:rsidRPr="004F5B1B">
        <w:rPr>
          <w:lang w:val="en-US"/>
        </w:rPr>
        <w:t>LNG</w:t>
      </w:r>
      <w:r w:rsidRPr="004F5B1B">
        <w:rPr>
          <w:color w:val="000000" w:themeColor="text1"/>
        </w:rPr>
        <w:t xml:space="preserve"> </w:t>
      </w:r>
      <w:r w:rsidR="00F0091C" w:rsidRPr="004F5B1B">
        <w:rPr>
          <w:color w:val="000000" w:themeColor="text1"/>
        </w:rPr>
        <w:t>в дозировке 5 мг в сравнении с референтным препаратом</w:t>
      </w:r>
      <w:r w:rsidR="00D92F2A" w:rsidRPr="004F5B1B">
        <w:rPr>
          <w:color w:val="000000" w:themeColor="text1"/>
        </w:rPr>
        <w:t xml:space="preserve"> </w:t>
      </w:r>
      <w:r w:rsidR="00D92F2A" w:rsidRPr="004F5B1B">
        <w:t>Тражента</w:t>
      </w:r>
      <w:r w:rsidR="00D92F2A" w:rsidRPr="004F5B1B">
        <w:rPr>
          <w:vertAlign w:val="superscript"/>
          <w:lang w:eastAsia="ru-RU"/>
        </w:rPr>
        <w:t xml:space="preserve">® </w:t>
      </w:r>
      <w:r w:rsidR="00D92F2A" w:rsidRPr="004F5B1B">
        <w:rPr>
          <w:color w:val="000000" w:themeColor="text1"/>
        </w:rPr>
        <w:t xml:space="preserve">в дозировке 5 мг,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 </w:t>
      </w:r>
      <w:r w:rsidR="00D92F2A" w:rsidRPr="004F5B1B">
        <w:t>В связи с этим представляется целесообразным проведение клинического исследования биоэквивалентности</w:t>
      </w:r>
      <w:r w:rsidR="00D92F2A" w:rsidRPr="004F5B1B">
        <w:rPr>
          <w:bCs/>
          <w:lang w:eastAsia="ru-RU"/>
        </w:rPr>
        <w:t xml:space="preserve"> лекарственного препарата </w:t>
      </w:r>
      <w:r w:rsidR="00D92F2A" w:rsidRPr="004F5B1B">
        <w:rPr>
          <w:bCs/>
          <w:lang w:val="en-US" w:eastAsia="ru-RU"/>
        </w:rPr>
        <w:t>D</w:t>
      </w:r>
      <w:r w:rsidR="00D92F2A" w:rsidRPr="004F5B1B">
        <w:rPr>
          <w:lang w:val="en-US"/>
        </w:rPr>
        <w:t>T</w:t>
      </w:r>
      <w:r w:rsidR="00D92F2A" w:rsidRPr="004F5B1B">
        <w:t>-</w:t>
      </w:r>
      <w:r w:rsidR="00D92F2A" w:rsidRPr="004F5B1B">
        <w:rPr>
          <w:lang w:val="en-US"/>
        </w:rPr>
        <w:t>LNG</w:t>
      </w:r>
      <w:r w:rsidR="00D92F2A" w:rsidRPr="004F5B1B">
        <w:rPr>
          <w:bCs/>
          <w:lang w:eastAsia="ru-RU"/>
        </w:rPr>
        <w:t>, таблетки, покрытыте пленочной оболочкой, 5 мг</w:t>
      </w:r>
      <w:r w:rsidR="00D92F2A" w:rsidRPr="004F5B1B">
        <w:rPr>
          <w:color w:val="000000" w:themeColor="text1"/>
        </w:rPr>
        <w:t xml:space="preserve"> (</w:t>
      </w:r>
      <w:r w:rsidR="004F5B1B" w:rsidRPr="004F5B1B">
        <w:rPr>
          <w:lang w:eastAsia="ru-RU"/>
        </w:rPr>
        <w:t>(</w:t>
      </w:r>
      <w:r w:rsidR="004F5B1B" w:rsidRPr="004F5B1B">
        <w:rPr>
          <w:rFonts w:eastAsia="SimSun"/>
        </w:rPr>
        <w:t>АО «Р-Фарм», Россия</w:t>
      </w:r>
      <w:r w:rsidR="004F5B1B" w:rsidRPr="004F5B1B">
        <w:rPr>
          <w:lang w:eastAsia="ru-RU"/>
        </w:rPr>
        <w:t xml:space="preserve">) в сравнении с оригинальным препаратом </w:t>
      </w:r>
      <w:r w:rsidRPr="004F5B1B">
        <w:t>Тражента</w:t>
      </w:r>
      <w:r w:rsidRPr="004F5B1B">
        <w:rPr>
          <w:vertAlign w:val="superscript"/>
          <w:lang w:eastAsia="ru-RU"/>
        </w:rPr>
        <w:t>®</w:t>
      </w:r>
      <w:r w:rsidR="004F5B1B" w:rsidRPr="004F5B1B">
        <w:rPr>
          <w:lang w:eastAsia="ru-RU"/>
        </w:rPr>
        <w:t>,</w:t>
      </w:r>
      <w:r w:rsidR="004F5B1B" w:rsidRPr="004F5B1B">
        <w:rPr>
          <w:bCs/>
          <w:lang w:eastAsia="ru-RU"/>
        </w:rPr>
        <w:t xml:space="preserve"> таблетки, покрытыте пленочной оболочкой, 5 мг</w:t>
      </w:r>
      <w:r w:rsidRPr="004F5B1B">
        <w:rPr>
          <w:rFonts w:eastAsia="Calibri"/>
        </w:rPr>
        <w:t xml:space="preserve"> </w:t>
      </w:r>
      <w:r w:rsidRPr="004F5B1B">
        <w:rPr>
          <w:color w:val="000000"/>
        </w:rPr>
        <w:t>(</w:t>
      </w:r>
      <w:r w:rsidRPr="004F5B1B">
        <w:rPr>
          <w:rFonts w:eastAsia="Calibri"/>
          <w:bCs/>
        </w:rPr>
        <w:t>Берингер Ингельхайм Интернешнл ГмбХ, Германия</w:t>
      </w:r>
      <w:r w:rsidRPr="004F5B1B">
        <w:rPr>
          <w:color w:val="000000"/>
        </w:rPr>
        <w:t>)</w:t>
      </w:r>
      <w:r w:rsidR="004F5B1B" w:rsidRPr="004F5B1B">
        <w:rPr>
          <w:color w:val="000000"/>
        </w:rPr>
        <w:t>.</w:t>
      </w:r>
    </w:p>
    <w:p w14:paraId="0C98C267" w14:textId="2B4E3CD0" w:rsidR="004F5B1B" w:rsidRPr="00B15C28" w:rsidRDefault="00C97EF5" w:rsidP="004F5B1B">
      <w:pPr>
        <w:autoSpaceDE w:val="0"/>
        <w:autoSpaceDN w:val="0"/>
        <w:adjustRightInd w:val="0"/>
        <w:ind w:firstLine="709"/>
        <w:contextualSpacing/>
        <w:rPr>
          <w:bCs/>
          <w:lang w:eastAsia="ru-RU"/>
        </w:rPr>
      </w:pPr>
      <w:r w:rsidRPr="004F5B1B">
        <w:rPr>
          <w:rFonts w:eastAsiaTheme="minorHAnsi"/>
          <w:color w:val="000000" w:themeColor="text1"/>
          <w:lang w:eastAsia="en-US"/>
        </w:rPr>
        <w:t xml:space="preserve"> </w:t>
      </w:r>
      <w:r w:rsidR="004F5B1B" w:rsidRPr="004F5B1B">
        <w:rPr>
          <w:bCs/>
          <w:lang w:eastAsia="ru-RU"/>
        </w:rPr>
        <w:t xml:space="preserve">Внедрение в клиническую практику нового воспроизведенного препарата </w:t>
      </w:r>
      <w:r w:rsidR="004F5B1B" w:rsidRPr="004F5B1B">
        <w:rPr>
          <w:rFonts w:eastAsia="Calibri"/>
          <w:lang w:eastAsia="ar-SA"/>
        </w:rPr>
        <w:t>линаглиптина</w:t>
      </w:r>
      <w:r w:rsidR="004F5B1B" w:rsidRPr="004F5B1B">
        <w:rPr>
          <w:bCs/>
          <w:lang w:eastAsia="ru-RU"/>
        </w:rPr>
        <w:t xml:space="preserve"> позволит снизить цену современной </w:t>
      </w:r>
      <w:r w:rsidR="004F5B1B" w:rsidRPr="004F5B1B">
        <w:rPr>
          <w:lang w:eastAsia="ru-RU"/>
        </w:rPr>
        <w:t>терапии СД типа 2</w:t>
      </w:r>
      <w:r w:rsidR="004F5B1B" w:rsidRPr="004F5B1B">
        <w:rPr>
          <w:bCs/>
          <w:lang w:eastAsia="ru-RU"/>
        </w:rPr>
        <w:t>.</w:t>
      </w:r>
    </w:p>
    <w:p w14:paraId="0F7D7C9D" w14:textId="77777777" w:rsidR="00694E84" w:rsidRPr="005E6358" w:rsidRDefault="00694E84" w:rsidP="00694E84">
      <w:pPr>
        <w:pStyle w:val="2"/>
        <w:numPr>
          <w:ilvl w:val="1"/>
          <w:numId w:val="5"/>
        </w:numPr>
        <w:spacing w:line="240" w:lineRule="auto"/>
        <w:ind w:left="0" w:firstLine="0"/>
        <w:rPr>
          <w:color w:val="000000" w:themeColor="text1"/>
          <w:szCs w:val="24"/>
        </w:rPr>
      </w:pPr>
      <w:bookmarkStart w:id="45" w:name="_Toc99740773"/>
      <w:bookmarkStart w:id="46" w:name="_Toc139361929"/>
      <w:r w:rsidRPr="005E6358">
        <w:rPr>
          <w:color w:val="000000" w:themeColor="text1"/>
          <w:szCs w:val="24"/>
        </w:rPr>
        <w:t>Ожидаемые показания к применению</w:t>
      </w:r>
      <w:bookmarkEnd w:id="45"/>
      <w:bookmarkEnd w:id="46"/>
    </w:p>
    <w:p w14:paraId="59558253" w14:textId="56E79930" w:rsidR="00694E84" w:rsidRDefault="00694E84" w:rsidP="00694E84">
      <w:pPr>
        <w:ind w:firstLine="851"/>
      </w:pPr>
      <w:bookmarkStart w:id="47" w:name="_Hlk119924348"/>
      <w:r w:rsidRPr="0044457E">
        <w:t>Для терапии сахарного диабета 2 типа у взрослых пациентов в дополнение к диетотерапии и физическим упражнениям для улучшения контроля гликемии в качестве:</w:t>
      </w:r>
    </w:p>
    <w:p w14:paraId="40759AC5" w14:textId="77777777" w:rsidR="00694E84" w:rsidRPr="0044457E" w:rsidRDefault="00694E84" w:rsidP="00694E84">
      <w:pPr>
        <w:pStyle w:val="af3"/>
        <w:numPr>
          <w:ilvl w:val="0"/>
          <w:numId w:val="41"/>
        </w:numPr>
      </w:pPr>
      <w:r w:rsidRPr="0044457E">
        <w:t xml:space="preserve">монотерапии, при непереносимости метформина или противопоказании к его применению вследствие почечной недостаточности; </w:t>
      </w:r>
    </w:p>
    <w:p w14:paraId="4A959491" w14:textId="3C252B98" w:rsidR="00214EEE" w:rsidRDefault="00694E84" w:rsidP="00B66AC1">
      <w:pPr>
        <w:pStyle w:val="af3"/>
        <w:numPr>
          <w:ilvl w:val="0"/>
          <w:numId w:val="41"/>
        </w:numPr>
      </w:pPr>
      <w:r w:rsidRPr="0044457E">
        <w:lastRenderedPageBreak/>
        <w:t>комбинированной терапии с другими гипогликемическими лекарственными препаратами, включая инсулин, в том случае, если при терапии этими препаратами не достигается адекватный гликемический контроль.</w:t>
      </w:r>
      <w:bookmarkEnd w:id="47"/>
    </w:p>
    <w:p w14:paraId="125EF939" w14:textId="148D40B6" w:rsidR="00295007" w:rsidRPr="00BC7930" w:rsidRDefault="00295007" w:rsidP="00295007">
      <w:pPr>
        <w:pStyle w:val="2"/>
        <w:spacing w:line="240" w:lineRule="auto"/>
        <w:rPr>
          <w:color w:val="000000" w:themeColor="text1"/>
          <w:szCs w:val="24"/>
          <w:lang w:val="en-US"/>
        </w:rPr>
      </w:pPr>
      <w:bookmarkStart w:id="48" w:name="_Toc32336729"/>
      <w:bookmarkStart w:id="49" w:name="_Toc139361930"/>
      <w:bookmarkEnd w:id="44"/>
      <w:r>
        <w:rPr>
          <w:color w:val="000000" w:themeColor="text1"/>
          <w:szCs w:val="24"/>
        </w:rPr>
        <w:t>Сп</w:t>
      </w:r>
      <w:r w:rsidR="004640DD">
        <w:rPr>
          <w:color w:val="000000" w:themeColor="text1"/>
          <w:szCs w:val="24"/>
        </w:rPr>
        <w:t>и</w:t>
      </w:r>
      <w:r>
        <w:rPr>
          <w:color w:val="000000" w:themeColor="text1"/>
          <w:szCs w:val="24"/>
        </w:rPr>
        <w:t>сок</w:t>
      </w:r>
      <w:r w:rsidRPr="00BC7930">
        <w:rPr>
          <w:color w:val="000000" w:themeColor="text1"/>
          <w:szCs w:val="24"/>
          <w:lang w:val="en-US"/>
        </w:rPr>
        <w:t xml:space="preserve"> </w:t>
      </w:r>
      <w:r>
        <w:rPr>
          <w:color w:val="000000" w:themeColor="text1"/>
          <w:szCs w:val="24"/>
        </w:rPr>
        <w:t>литературы</w:t>
      </w:r>
      <w:bookmarkEnd w:id="48"/>
      <w:bookmarkEnd w:id="49"/>
    </w:p>
    <w:p w14:paraId="12E89033" w14:textId="77777777" w:rsidR="00BB127B" w:rsidRPr="00BB127B" w:rsidRDefault="00694E84" w:rsidP="00357D7E">
      <w:pPr>
        <w:pStyle w:val="afff2"/>
        <w:tabs>
          <w:tab w:val="clear" w:pos="504"/>
          <w:tab w:val="left" w:pos="709"/>
        </w:tabs>
        <w:spacing w:after="0"/>
        <w:ind w:left="567" w:hanging="567"/>
        <w:rPr>
          <w:lang w:val="en-US"/>
        </w:rPr>
      </w:pPr>
      <w:r>
        <w:fldChar w:fldCharType="begin"/>
      </w:r>
      <w:r w:rsidRPr="00694E84">
        <w:rPr>
          <w:lang w:val="en-US"/>
        </w:rPr>
        <w:instrText xml:space="preserve"> ADDIN ZOTERO_BIBL {"uncited":[],"omitted":[],"custom":[]} CSL_BIBLIOGRAPHY </w:instrText>
      </w:r>
      <w:r>
        <w:fldChar w:fldCharType="separate"/>
      </w:r>
      <w:r w:rsidR="00BB127B" w:rsidRPr="00BB127B">
        <w:rPr>
          <w:lang w:val="en-US"/>
        </w:rPr>
        <w:t xml:space="preserve">1. </w:t>
      </w:r>
      <w:r w:rsidR="00BB127B" w:rsidRPr="00BB127B">
        <w:rPr>
          <w:lang w:val="en-US"/>
        </w:rPr>
        <w:tab/>
        <w:t xml:space="preserve">Kotwas A, Karakiewicz B, Zabielska P, Wieder-Huszla S, Jurczak A. Epidemiological factors for type 2 diabetes mellitus: evidence from the Global Burden of Disease. Arch Public Health. 22 </w:t>
      </w:r>
      <w:r w:rsidR="00BB127B" w:rsidRPr="00BB127B">
        <w:t>июнь</w:t>
      </w:r>
      <w:r w:rsidR="00BB127B" w:rsidRPr="00BB127B">
        <w:rPr>
          <w:lang w:val="en-US"/>
        </w:rPr>
        <w:t xml:space="preserve"> 2021 </w:t>
      </w:r>
      <w:r w:rsidR="00BB127B" w:rsidRPr="00BB127B">
        <w:t>г</w:t>
      </w:r>
      <w:r w:rsidR="00BB127B" w:rsidRPr="00BB127B">
        <w:rPr>
          <w:lang w:val="en-US"/>
        </w:rPr>
        <w:t xml:space="preserve">.;79(1):110. </w:t>
      </w:r>
    </w:p>
    <w:p w14:paraId="7EF0C153" w14:textId="77777777" w:rsidR="00BB127B" w:rsidRPr="00BB127B" w:rsidRDefault="00BB127B" w:rsidP="00357D7E">
      <w:pPr>
        <w:pStyle w:val="afff2"/>
        <w:tabs>
          <w:tab w:val="clear" w:pos="504"/>
          <w:tab w:val="left" w:pos="709"/>
        </w:tabs>
        <w:spacing w:after="0"/>
        <w:ind w:left="567" w:hanging="567"/>
      </w:pPr>
      <w:r w:rsidRPr="00BB127B">
        <w:rPr>
          <w:lang w:val="en-US"/>
        </w:rPr>
        <w:t xml:space="preserve">2. </w:t>
      </w:r>
      <w:r w:rsidRPr="00BB127B">
        <w:rPr>
          <w:lang w:val="en-US"/>
        </w:rPr>
        <w:tab/>
        <w:t xml:space="preserve">International Diabetes Federation. IDF Diabetes Atlas. </w:t>
      </w:r>
      <w:r w:rsidRPr="00BB127B">
        <w:t xml:space="preserve">10th ed. 2021. </w:t>
      </w:r>
    </w:p>
    <w:p w14:paraId="75359452" w14:textId="77777777" w:rsidR="00BB127B" w:rsidRPr="00BB127B" w:rsidRDefault="00BB127B" w:rsidP="00357D7E">
      <w:pPr>
        <w:pStyle w:val="afff2"/>
        <w:tabs>
          <w:tab w:val="clear" w:pos="504"/>
          <w:tab w:val="left" w:pos="709"/>
        </w:tabs>
        <w:spacing w:after="0"/>
        <w:ind w:left="567" w:hanging="567"/>
        <w:rPr>
          <w:lang w:val="en-US"/>
        </w:rPr>
      </w:pPr>
      <w:r w:rsidRPr="00BB127B">
        <w:t xml:space="preserve">3. </w:t>
      </w:r>
      <w:r w:rsidRPr="00BB127B">
        <w:tab/>
        <w:t xml:space="preserve">Министерство здравоохранения Российской Федерации. Клинические рекомендации сахарный диабет 2 типа. </w:t>
      </w:r>
      <w:r w:rsidRPr="00BB127B">
        <w:rPr>
          <w:lang w:val="en-US"/>
        </w:rPr>
        <w:t xml:space="preserve">2022. </w:t>
      </w:r>
    </w:p>
    <w:p w14:paraId="238801B5" w14:textId="77777777" w:rsidR="00BB127B" w:rsidRPr="00BB127B" w:rsidRDefault="00BB127B" w:rsidP="00357D7E">
      <w:pPr>
        <w:pStyle w:val="afff2"/>
        <w:tabs>
          <w:tab w:val="clear" w:pos="504"/>
          <w:tab w:val="left" w:pos="709"/>
        </w:tabs>
        <w:spacing w:after="0"/>
        <w:ind w:left="567" w:hanging="567"/>
        <w:rPr>
          <w:lang w:val="en-US"/>
        </w:rPr>
      </w:pPr>
      <w:r w:rsidRPr="00BB127B">
        <w:rPr>
          <w:lang w:val="en-US"/>
        </w:rPr>
        <w:t xml:space="preserve">4. </w:t>
      </w:r>
      <w:r w:rsidRPr="00BB127B">
        <w:rPr>
          <w:lang w:val="en-US"/>
        </w:rPr>
        <w:tab/>
        <w:t xml:space="preserve">Ali MK, Pearson-Stuttard J, Selvin E, Gregg EW. Interpreting global trends in type 2 diabetes complications and mortality. Diabetologia. 2022 </w:t>
      </w:r>
      <w:r w:rsidRPr="00BB127B">
        <w:t>г</w:t>
      </w:r>
      <w:r w:rsidRPr="00BB127B">
        <w:rPr>
          <w:lang w:val="en-US"/>
        </w:rPr>
        <w:t xml:space="preserve">.;65(1):3–13. </w:t>
      </w:r>
    </w:p>
    <w:p w14:paraId="33B6303B" w14:textId="77777777" w:rsidR="00BB127B" w:rsidRPr="00BB127B" w:rsidRDefault="00BB127B" w:rsidP="00357D7E">
      <w:pPr>
        <w:pStyle w:val="afff2"/>
        <w:tabs>
          <w:tab w:val="clear" w:pos="504"/>
          <w:tab w:val="left" w:pos="709"/>
        </w:tabs>
        <w:spacing w:after="0"/>
        <w:ind w:left="567" w:hanging="567"/>
        <w:rPr>
          <w:lang w:val="en-US"/>
        </w:rPr>
      </w:pPr>
      <w:r w:rsidRPr="00BB127B">
        <w:rPr>
          <w:lang w:val="en-US"/>
        </w:rPr>
        <w:t xml:space="preserve">5. </w:t>
      </w:r>
      <w:r w:rsidRPr="00BB127B">
        <w:rPr>
          <w:lang w:val="en-US"/>
        </w:rPr>
        <w:tab/>
        <w:t xml:space="preserve">Saeedi P, Salpea P, Karuranga S, Petersohn I, Malanda B, Gregg EW, </w:t>
      </w:r>
      <w:r w:rsidRPr="00BB127B">
        <w:t>и</w:t>
      </w:r>
      <w:r w:rsidRPr="00BB127B">
        <w:rPr>
          <w:lang w:val="en-US"/>
        </w:rPr>
        <w:t xml:space="preserve"> </w:t>
      </w:r>
      <w:r w:rsidRPr="00BB127B">
        <w:t>др</w:t>
      </w:r>
      <w:r w:rsidRPr="00BB127B">
        <w:rPr>
          <w:lang w:val="en-US"/>
        </w:rPr>
        <w:t xml:space="preserve">. Mortality attributable to diabetes in 20-79 years old adults, 2019 estimates: Results from the International Diabetes Federation Diabetes Atlas, 9th edition. Diabetes Res Clin Pract. </w:t>
      </w:r>
      <w:r w:rsidRPr="00BB127B">
        <w:t>апрель</w:t>
      </w:r>
      <w:r w:rsidRPr="00BB127B">
        <w:rPr>
          <w:lang w:val="en-US"/>
        </w:rPr>
        <w:t xml:space="preserve"> 2020 </w:t>
      </w:r>
      <w:r w:rsidRPr="00BB127B">
        <w:t>г</w:t>
      </w:r>
      <w:r w:rsidRPr="00BB127B">
        <w:rPr>
          <w:lang w:val="en-US"/>
        </w:rPr>
        <w:t xml:space="preserve">.;162:108086. </w:t>
      </w:r>
    </w:p>
    <w:p w14:paraId="6F65191A" w14:textId="77777777" w:rsidR="00BB127B" w:rsidRPr="00BB127B" w:rsidRDefault="00BB127B" w:rsidP="00357D7E">
      <w:pPr>
        <w:pStyle w:val="afff2"/>
        <w:tabs>
          <w:tab w:val="clear" w:pos="504"/>
          <w:tab w:val="left" w:pos="709"/>
        </w:tabs>
        <w:spacing w:after="0"/>
        <w:ind w:left="567" w:hanging="567"/>
        <w:rPr>
          <w:lang w:val="en-US"/>
        </w:rPr>
      </w:pPr>
      <w:r w:rsidRPr="00BB127B">
        <w:rPr>
          <w:lang w:val="en-US"/>
        </w:rPr>
        <w:t xml:space="preserve">6. </w:t>
      </w:r>
      <w:r w:rsidRPr="00BB127B">
        <w:rPr>
          <w:lang w:val="en-US"/>
        </w:rPr>
        <w:tab/>
        <w:t xml:space="preserve">Davies MJ, D’Alessio DA, Fradkin J, Kernan WN, Mathieu C, Mingrone G, </w:t>
      </w:r>
      <w:r w:rsidRPr="00BB127B">
        <w:t>и</w:t>
      </w:r>
      <w:r w:rsidRPr="00BB127B">
        <w:rPr>
          <w:lang w:val="en-US"/>
        </w:rPr>
        <w:t xml:space="preserve"> </w:t>
      </w:r>
      <w:r w:rsidRPr="00BB127B">
        <w:t>др</w:t>
      </w:r>
      <w:r w:rsidRPr="00BB127B">
        <w:rPr>
          <w:lang w:val="en-US"/>
        </w:rPr>
        <w:t xml:space="preserve">. Management of Hyperglycemia in Type 2 Diabetes, 2018. A Consensus Report by the American Diabetes Association (ADA) and the European Association for the Study of Diabetes (EASD). Diabetes Care. </w:t>
      </w:r>
      <w:r w:rsidRPr="00BB127B">
        <w:t>декабрь</w:t>
      </w:r>
      <w:r w:rsidRPr="00BB127B">
        <w:rPr>
          <w:lang w:val="en-US"/>
        </w:rPr>
        <w:t xml:space="preserve"> 2018 </w:t>
      </w:r>
      <w:r w:rsidRPr="00BB127B">
        <w:t>г</w:t>
      </w:r>
      <w:r w:rsidRPr="00BB127B">
        <w:rPr>
          <w:lang w:val="en-US"/>
        </w:rPr>
        <w:t xml:space="preserve">.;41(12):2669–701. </w:t>
      </w:r>
    </w:p>
    <w:p w14:paraId="1480FA33" w14:textId="77777777" w:rsidR="00BB127B" w:rsidRPr="00BB127B" w:rsidRDefault="00BB127B" w:rsidP="00357D7E">
      <w:pPr>
        <w:pStyle w:val="afff2"/>
        <w:tabs>
          <w:tab w:val="clear" w:pos="504"/>
          <w:tab w:val="left" w:pos="709"/>
        </w:tabs>
        <w:spacing w:after="0"/>
        <w:ind w:left="567" w:hanging="567"/>
        <w:rPr>
          <w:lang w:val="en-US"/>
        </w:rPr>
      </w:pPr>
      <w:r w:rsidRPr="00BB127B">
        <w:rPr>
          <w:lang w:val="en-US"/>
        </w:rPr>
        <w:t xml:space="preserve">7. </w:t>
      </w:r>
      <w:r w:rsidRPr="00BB127B">
        <w:rPr>
          <w:lang w:val="en-US"/>
        </w:rPr>
        <w:tab/>
        <w:t xml:space="preserve">European  Medicines Agency.Assessment report Trajenta (linagliptin). Procedure No.: EMEA/H/C/002110/0000. </w:t>
      </w:r>
    </w:p>
    <w:p w14:paraId="1E1C4A84" w14:textId="77777777" w:rsidR="004F6002" w:rsidRDefault="00BB127B" w:rsidP="00357D7E">
      <w:pPr>
        <w:pStyle w:val="afff2"/>
        <w:tabs>
          <w:tab w:val="clear" w:pos="504"/>
          <w:tab w:val="left" w:pos="709"/>
        </w:tabs>
        <w:spacing w:after="0"/>
        <w:ind w:left="567" w:hanging="567"/>
      </w:pPr>
      <w:r w:rsidRPr="00BB127B">
        <w:rPr>
          <w:lang w:val="en-US"/>
        </w:rPr>
        <w:t xml:space="preserve">8. </w:t>
      </w:r>
      <w:r w:rsidRPr="00BB127B">
        <w:rPr>
          <w:lang w:val="en-US"/>
        </w:rPr>
        <w:tab/>
        <w:t xml:space="preserve">Cosentino F, Grant PJ, Aboyans V, Bailey CJ, Ceriello A, Delgado V, </w:t>
      </w:r>
      <w:r w:rsidRPr="00BB127B">
        <w:t>и</w:t>
      </w:r>
      <w:r w:rsidRPr="00BB127B">
        <w:rPr>
          <w:lang w:val="en-US"/>
        </w:rPr>
        <w:t xml:space="preserve"> </w:t>
      </w:r>
      <w:r w:rsidRPr="00BB127B">
        <w:t>др</w:t>
      </w:r>
      <w:r w:rsidRPr="00BB127B">
        <w:rPr>
          <w:lang w:val="en-US"/>
        </w:rPr>
        <w:t>. 2019 ESC Guidelines on diabetes, pre-diabetes, and cardiovascular diseases developed in collaboration with the EASD. Eur</w:t>
      </w:r>
      <w:r w:rsidRPr="004F6002">
        <w:t xml:space="preserve"> </w:t>
      </w:r>
      <w:r w:rsidRPr="00BB127B">
        <w:rPr>
          <w:lang w:val="en-US"/>
        </w:rPr>
        <w:t>Heart</w:t>
      </w:r>
      <w:r w:rsidRPr="004F6002">
        <w:t xml:space="preserve"> </w:t>
      </w:r>
      <w:r w:rsidRPr="00BB127B">
        <w:rPr>
          <w:lang w:val="en-US"/>
        </w:rPr>
        <w:t>J</w:t>
      </w:r>
      <w:r w:rsidRPr="004F6002">
        <w:t xml:space="preserve">. 7 </w:t>
      </w:r>
      <w:r w:rsidRPr="00BB127B">
        <w:t>январь</w:t>
      </w:r>
      <w:r w:rsidRPr="004F6002">
        <w:t xml:space="preserve"> 2020 </w:t>
      </w:r>
      <w:r w:rsidRPr="00BB127B">
        <w:t>г</w:t>
      </w:r>
      <w:r w:rsidRPr="004F6002">
        <w:t xml:space="preserve">.;41(2):255–323. </w:t>
      </w:r>
    </w:p>
    <w:p w14:paraId="18FF49E3" w14:textId="36A83C3E" w:rsidR="00357D7E" w:rsidRPr="00357D7E" w:rsidRDefault="004F6002" w:rsidP="00357D7E">
      <w:pPr>
        <w:pStyle w:val="afff2"/>
        <w:tabs>
          <w:tab w:val="clear" w:pos="504"/>
          <w:tab w:val="left" w:pos="709"/>
        </w:tabs>
        <w:spacing w:after="0"/>
        <w:ind w:left="567" w:hanging="567"/>
      </w:pPr>
      <w:r w:rsidRPr="004F6002">
        <w:t xml:space="preserve">9. </w:t>
      </w:r>
      <w:r w:rsidR="00357D7E" w:rsidRPr="00B24B81">
        <w:t xml:space="preserve">Инструкция по медицинскому применению препарата </w:t>
      </w:r>
      <w:r w:rsidR="00357D7E" w:rsidRPr="00357D7E">
        <w:rPr>
          <w:bCs/>
          <w:lang w:eastAsia="ru-RU"/>
        </w:rPr>
        <w:t xml:space="preserve">ситаглиптин </w:t>
      </w:r>
      <w:r w:rsidR="00357D7E" w:rsidRPr="00357D7E">
        <w:rPr>
          <w:lang w:val="en-US"/>
        </w:rPr>
        <w:t>https</w:t>
      </w:r>
      <w:r w:rsidR="00357D7E" w:rsidRPr="00B24B81">
        <w:t>://</w:t>
      </w:r>
      <w:r w:rsidR="00357D7E" w:rsidRPr="00357D7E">
        <w:rPr>
          <w:lang w:val="en-US"/>
        </w:rPr>
        <w:t>grls</w:t>
      </w:r>
      <w:r w:rsidR="00357D7E" w:rsidRPr="00B24B81">
        <w:t>.</w:t>
      </w:r>
      <w:r w:rsidR="00357D7E" w:rsidRPr="00357D7E">
        <w:rPr>
          <w:lang w:val="en-US"/>
        </w:rPr>
        <w:t>rosminzdrav</w:t>
      </w:r>
      <w:r w:rsidR="00357D7E" w:rsidRPr="00B24B81">
        <w:t>.</w:t>
      </w:r>
      <w:r w:rsidR="00357D7E" w:rsidRPr="00357D7E">
        <w:rPr>
          <w:lang w:val="en-US"/>
        </w:rPr>
        <w:t>ru</w:t>
      </w:r>
      <w:r w:rsidR="00357D7E" w:rsidRPr="00B24B81">
        <w:t>/</w:t>
      </w:r>
      <w:r w:rsidR="00357D7E" w:rsidRPr="00357D7E">
        <w:rPr>
          <w:lang w:val="en-US"/>
        </w:rPr>
        <w:t>Grls</w:t>
      </w:r>
      <w:r w:rsidR="00357D7E" w:rsidRPr="00B24B81">
        <w:t>_</w:t>
      </w:r>
      <w:r w:rsidR="00357D7E" w:rsidRPr="00357D7E">
        <w:rPr>
          <w:lang w:val="en-US"/>
        </w:rPr>
        <w:t>View</w:t>
      </w:r>
      <w:r w:rsidR="00357D7E" w:rsidRPr="00B24B81">
        <w:t>_</w:t>
      </w:r>
      <w:r w:rsidR="00357D7E" w:rsidRPr="00357D7E">
        <w:rPr>
          <w:lang w:val="en-US"/>
        </w:rPr>
        <w:t>v</w:t>
      </w:r>
      <w:r w:rsidR="00357D7E" w:rsidRPr="00B24B81">
        <w:t>2.</w:t>
      </w:r>
      <w:r w:rsidR="00357D7E" w:rsidRPr="00357D7E">
        <w:rPr>
          <w:lang w:val="en-US"/>
        </w:rPr>
        <w:t>aspx</w:t>
      </w:r>
      <w:r w:rsidR="00357D7E" w:rsidRPr="00B24B81">
        <w:t>?</w:t>
      </w:r>
      <w:r w:rsidR="00357D7E" w:rsidRPr="00357D7E">
        <w:rPr>
          <w:lang w:val="en-US"/>
        </w:rPr>
        <w:t>routingGuid</w:t>
      </w:r>
      <w:r w:rsidR="00357D7E" w:rsidRPr="00B24B81">
        <w:t>=6</w:t>
      </w:r>
      <w:r w:rsidR="00357D7E" w:rsidRPr="00357D7E">
        <w:rPr>
          <w:lang w:val="en-US"/>
        </w:rPr>
        <w:t>eb</w:t>
      </w:r>
      <w:r w:rsidR="00357D7E" w:rsidRPr="00B24B81">
        <w:t>45497-536</w:t>
      </w:r>
      <w:r w:rsidR="00357D7E" w:rsidRPr="00357D7E">
        <w:rPr>
          <w:lang w:val="en-US"/>
        </w:rPr>
        <w:t>a</w:t>
      </w:r>
      <w:r w:rsidR="00357D7E" w:rsidRPr="00B24B81">
        <w:t>-458</w:t>
      </w:r>
      <w:r w:rsidR="00357D7E" w:rsidRPr="00357D7E">
        <w:rPr>
          <w:lang w:val="en-US"/>
        </w:rPr>
        <w:t>d</w:t>
      </w:r>
      <w:r w:rsidR="00357D7E" w:rsidRPr="00B24B81">
        <w:t>-</w:t>
      </w:r>
      <w:r w:rsidR="00357D7E" w:rsidRPr="00357D7E">
        <w:rPr>
          <w:lang w:val="en-US"/>
        </w:rPr>
        <w:t>a</w:t>
      </w:r>
      <w:r w:rsidR="00357D7E" w:rsidRPr="00B24B81">
        <w:t>3</w:t>
      </w:r>
      <w:r w:rsidR="00357D7E" w:rsidRPr="00357D7E">
        <w:rPr>
          <w:lang w:val="en-US"/>
        </w:rPr>
        <w:t>a</w:t>
      </w:r>
      <w:r w:rsidR="00357D7E" w:rsidRPr="00B24B81">
        <w:t>3-</w:t>
      </w:r>
      <w:r w:rsidR="00357D7E" w:rsidRPr="00357D7E">
        <w:rPr>
          <w:lang w:val="en-US"/>
        </w:rPr>
        <w:t>fe</w:t>
      </w:r>
      <w:r w:rsidR="00357D7E" w:rsidRPr="00B24B81">
        <w:t>7</w:t>
      </w:r>
      <w:r w:rsidR="00357D7E" w:rsidRPr="00357D7E">
        <w:rPr>
          <w:lang w:val="en-US"/>
        </w:rPr>
        <w:t>e</w:t>
      </w:r>
      <w:r w:rsidR="00357D7E" w:rsidRPr="00B24B81">
        <w:t>0941</w:t>
      </w:r>
      <w:r w:rsidR="00357D7E" w:rsidRPr="00357D7E">
        <w:rPr>
          <w:lang w:val="en-US"/>
        </w:rPr>
        <w:t>b</w:t>
      </w:r>
      <w:r w:rsidR="00357D7E" w:rsidRPr="00B24B81">
        <w:t>3</w:t>
      </w:r>
      <w:r w:rsidR="00357D7E" w:rsidRPr="00357D7E">
        <w:rPr>
          <w:lang w:val="en-US"/>
        </w:rPr>
        <w:t>ca</w:t>
      </w:r>
      <w:r w:rsidR="00357D7E" w:rsidRPr="00B24B81">
        <w:t>&amp;</w:t>
      </w:r>
      <w:r w:rsidR="00357D7E" w:rsidRPr="00357D7E">
        <w:rPr>
          <w:lang w:val="en-US"/>
        </w:rPr>
        <w:t>t</w:t>
      </w:r>
      <w:r w:rsidR="00357D7E" w:rsidRPr="00B24B81">
        <w:t>=</w:t>
      </w:r>
    </w:p>
    <w:p w14:paraId="14C24855" w14:textId="77777777" w:rsidR="00357D7E" w:rsidRPr="00B24B81" w:rsidRDefault="00357D7E" w:rsidP="004F6002">
      <w:pPr>
        <w:pStyle w:val="af3"/>
        <w:numPr>
          <w:ilvl w:val="0"/>
          <w:numId w:val="48"/>
        </w:numPr>
        <w:autoSpaceDE w:val="0"/>
        <w:autoSpaceDN w:val="0"/>
        <w:adjustRightInd w:val="0"/>
        <w:ind w:left="567" w:hanging="567"/>
      </w:pPr>
      <w:r w:rsidRPr="00B24B81">
        <w:t xml:space="preserve">Инструкция по медицинскому применению препарата </w:t>
      </w:r>
      <w:r w:rsidRPr="00B24B81">
        <w:rPr>
          <w:bCs/>
          <w:lang w:eastAsia="ru-RU"/>
        </w:rPr>
        <w:t xml:space="preserve">вилдаглиптин </w:t>
      </w:r>
      <w:r w:rsidRPr="00B24B81">
        <w:rPr>
          <w:lang w:val="en-US"/>
        </w:rPr>
        <w:t>https</w:t>
      </w:r>
      <w:r w:rsidRPr="00B24B81">
        <w:t>://</w:t>
      </w:r>
      <w:r w:rsidRPr="00B24B81">
        <w:rPr>
          <w:lang w:val="en-US"/>
        </w:rPr>
        <w:t>grls</w:t>
      </w:r>
      <w:r w:rsidRPr="00B24B81">
        <w:t>.</w:t>
      </w:r>
      <w:r w:rsidRPr="00B24B81">
        <w:rPr>
          <w:lang w:val="en-US"/>
        </w:rPr>
        <w:t>rosminzdrav</w:t>
      </w:r>
      <w:r w:rsidRPr="00B24B81">
        <w:t>.</w:t>
      </w:r>
      <w:r w:rsidRPr="00B24B81">
        <w:rPr>
          <w:lang w:val="en-US"/>
        </w:rPr>
        <w:t>ru</w:t>
      </w:r>
      <w:r w:rsidRPr="00B24B81">
        <w:t>/</w:t>
      </w:r>
      <w:r w:rsidRPr="00B24B81">
        <w:rPr>
          <w:lang w:val="en-US"/>
        </w:rPr>
        <w:t>Grls</w:t>
      </w:r>
      <w:r w:rsidRPr="00B24B81">
        <w:t>_</w:t>
      </w:r>
      <w:r w:rsidRPr="00B24B81">
        <w:rPr>
          <w:lang w:val="en-US"/>
        </w:rPr>
        <w:t>View</w:t>
      </w:r>
      <w:r w:rsidRPr="00B24B81">
        <w:t>_</w:t>
      </w:r>
      <w:r w:rsidRPr="00B24B81">
        <w:rPr>
          <w:lang w:val="en-US"/>
        </w:rPr>
        <w:t>v</w:t>
      </w:r>
      <w:r w:rsidRPr="00B24B81">
        <w:t>2.</w:t>
      </w:r>
      <w:r w:rsidRPr="00B24B81">
        <w:rPr>
          <w:lang w:val="en-US"/>
        </w:rPr>
        <w:t>aspx</w:t>
      </w:r>
      <w:r w:rsidRPr="00B24B81">
        <w:t>?</w:t>
      </w:r>
      <w:r w:rsidRPr="00B24B81">
        <w:rPr>
          <w:lang w:val="en-US"/>
        </w:rPr>
        <w:t>routingGuid</w:t>
      </w:r>
      <w:r w:rsidRPr="00B24B81">
        <w:t>=7207244</w:t>
      </w:r>
      <w:r w:rsidRPr="00B24B81">
        <w:rPr>
          <w:lang w:val="en-US"/>
        </w:rPr>
        <w:t>e</w:t>
      </w:r>
      <w:r w:rsidRPr="00B24B81">
        <w:t>-</w:t>
      </w:r>
      <w:r w:rsidRPr="00B24B81">
        <w:rPr>
          <w:lang w:val="en-US"/>
        </w:rPr>
        <w:t>af</w:t>
      </w:r>
      <w:r w:rsidRPr="00B24B81">
        <w:t>37-45</w:t>
      </w:r>
      <w:r w:rsidRPr="00B24B81">
        <w:rPr>
          <w:lang w:val="en-US"/>
        </w:rPr>
        <w:t>ff</w:t>
      </w:r>
      <w:r w:rsidRPr="00B24B81">
        <w:t>-80</w:t>
      </w:r>
      <w:r w:rsidRPr="00B24B81">
        <w:rPr>
          <w:lang w:val="en-US"/>
        </w:rPr>
        <w:t>b</w:t>
      </w:r>
      <w:r w:rsidRPr="00B24B81">
        <w:t>9-134</w:t>
      </w:r>
      <w:r w:rsidRPr="00B24B81">
        <w:rPr>
          <w:lang w:val="en-US"/>
        </w:rPr>
        <w:t>ad</w:t>
      </w:r>
      <w:r w:rsidRPr="00B24B81">
        <w:t>58664</w:t>
      </w:r>
      <w:r w:rsidRPr="00B24B81">
        <w:rPr>
          <w:lang w:val="en-US"/>
        </w:rPr>
        <w:t>ec</w:t>
      </w:r>
      <w:r w:rsidRPr="00B24B81">
        <w:t>&amp;</w:t>
      </w:r>
      <w:r w:rsidRPr="00B24B81">
        <w:rPr>
          <w:lang w:val="en-US"/>
        </w:rPr>
        <w:t>t</w:t>
      </w:r>
      <w:r w:rsidRPr="00B24B81">
        <w:t>=</w:t>
      </w:r>
    </w:p>
    <w:p w14:paraId="7C5DA790" w14:textId="77777777" w:rsidR="00357D7E" w:rsidRPr="00B24B81" w:rsidRDefault="00357D7E" w:rsidP="00357D7E">
      <w:pPr>
        <w:pStyle w:val="af3"/>
        <w:numPr>
          <w:ilvl w:val="0"/>
          <w:numId w:val="48"/>
        </w:numPr>
        <w:tabs>
          <w:tab w:val="left" w:pos="709"/>
        </w:tabs>
        <w:autoSpaceDE w:val="0"/>
        <w:autoSpaceDN w:val="0"/>
        <w:adjustRightInd w:val="0"/>
        <w:ind w:left="567" w:hanging="567"/>
      </w:pPr>
      <w:r w:rsidRPr="00B24B81">
        <w:t xml:space="preserve">Инструкция по медицинскому применению препарата </w:t>
      </w:r>
      <w:r w:rsidRPr="00B24B81">
        <w:rPr>
          <w:bCs/>
          <w:lang w:eastAsia="ru-RU"/>
        </w:rPr>
        <w:t xml:space="preserve">саксаглиптин </w:t>
      </w:r>
      <w:r w:rsidRPr="00B24B81">
        <w:rPr>
          <w:lang w:val="en-US"/>
        </w:rPr>
        <w:t>https</w:t>
      </w:r>
      <w:r w:rsidRPr="00B24B81">
        <w:t>://</w:t>
      </w:r>
      <w:r w:rsidRPr="00B24B81">
        <w:rPr>
          <w:lang w:val="en-US"/>
        </w:rPr>
        <w:t>grls</w:t>
      </w:r>
      <w:r w:rsidRPr="00B24B81">
        <w:t>.</w:t>
      </w:r>
      <w:r w:rsidRPr="00B24B81">
        <w:rPr>
          <w:lang w:val="en-US"/>
        </w:rPr>
        <w:t>rosminzdrav</w:t>
      </w:r>
      <w:r w:rsidRPr="00B24B81">
        <w:t>.</w:t>
      </w:r>
      <w:r w:rsidRPr="00B24B81">
        <w:rPr>
          <w:lang w:val="en-US"/>
        </w:rPr>
        <w:t>ru</w:t>
      </w:r>
      <w:r w:rsidRPr="00B24B81">
        <w:t>/</w:t>
      </w:r>
      <w:r w:rsidRPr="00B24B81">
        <w:rPr>
          <w:lang w:val="en-US"/>
        </w:rPr>
        <w:t>Grls</w:t>
      </w:r>
      <w:r w:rsidRPr="00B24B81">
        <w:t>_</w:t>
      </w:r>
      <w:r w:rsidRPr="00B24B81">
        <w:rPr>
          <w:lang w:val="en-US"/>
        </w:rPr>
        <w:t>View</w:t>
      </w:r>
      <w:r w:rsidRPr="00B24B81">
        <w:t>_</w:t>
      </w:r>
      <w:r w:rsidRPr="00B24B81">
        <w:rPr>
          <w:lang w:val="en-US"/>
        </w:rPr>
        <w:t>v</w:t>
      </w:r>
      <w:r w:rsidRPr="00B24B81">
        <w:t>2.</w:t>
      </w:r>
      <w:r w:rsidRPr="00B24B81">
        <w:rPr>
          <w:lang w:val="en-US"/>
        </w:rPr>
        <w:t>aspx</w:t>
      </w:r>
      <w:r w:rsidRPr="00B24B81">
        <w:t>?</w:t>
      </w:r>
      <w:r w:rsidRPr="00B24B81">
        <w:rPr>
          <w:lang w:val="en-US"/>
        </w:rPr>
        <w:t>routingGuid</w:t>
      </w:r>
      <w:r w:rsidRPr="00B24B81">
        <w:t>=8</w:t>
      </w:r>
      <w:r w:rsidRPr="00B24B81">
        <w:rPr>
          <w:lang w:val="en-US"/>
        </w:rPr>
        <w:t>d</w:t>
      </w:r>
      <w:r w:rsidRPr="00B24B81">
        <w:t>47</w:t>
      </w:r>
      <w:r w:rsidRPr="00B24B81">
        <w:rPr>
          <w:lang w:val="en-US"/>
        </w:rPr>
        <w:t>f</w:t>
      </w:r>
      <w:r w:rsidRPr="00B24B81">
        <w:t>197-977</w:t>
      </w:r>
      <w:r w:rsidRPr="00B24B81">
        <w:rPr>
          <w:lang w:val="en-US"/>
        </w:rPr>
        <w:t>b</w:t>
      </w:r>
      <w:r w:rsidRPr="00B24B81">
        <w:t>-433</w:t>
      </w:r>
      <w:r w:rsidRPr="00B24B81">
        <w:rPr>
          <w:lang w:val="en-US"/>
        </w:rPr>
        <w:t>a</w:t>
      </w:r>
      <w:r w:rsidRPr="00B24B81">
        <w:t>-8</w:t>
      </w:r>
      <w:r w:rsidRPr="00B24B81">
        <w:rPr>
          <w:lang w:val="en-US"/>
        </w:rPr>
        <w:t>edb</w:t>
      </w:r>
      <w:r w:rsidRPr="00B24B81">
        <w:t>-</w:t>
      </w:r>
      <w:r w:rsidRPr="00B24B81">
        <w:rPr>
          <w:lang w:val="en-US"/>
        </w:rPr>
        <w:t>fb</w:t>
      </w:r>
      <w:r w:rsidRPr="00B24B81">
        <w:t>219</w:t>
      </w:r>
      <w:r w:rsidRPr="00B24B81">
        <w:rPr>
          <w:lang w:val="en-US"/>
        </w:rPr>
        <w:t>a</w:t>
      </w:r>
      <w:r w:rsidRPr="00B24B81">
        <w:t>86</w:t>
      </w:r>
      <w:r w:rsidRPr="00B24B81">
        <w:rPr>
          <w:lang w:val="en-US"/>
        </w:rPr>
        <w:t>b</w:t>
      </w:r>
      <w:r w:rsidRPr="00B24B81">
        <w:t>98</w:t>
      </w:r>
      <w:r w:rsidRPr="00B24B81">
        <w:rPr>
          <w:lang w:val="en-US"/>
        </w:rPr>
        <w:t>c</w:t>
      </w:r>
      <w:r w:rsidRPr="00B24B81">
        <w:t>&amp;</w:t>
      </w:r>
      <w:r w:rsidRPr="00B24B81">
        <w:rPr>
          <w:lang w:val="en-US"/>
        </w:rPr>
        <w:t>t</w:t>
      </w:r>
      <w:r w:rsidRPr="00B24B81">
        <w:t>=</w:t>
      </w:r>
    </w:p>
    <w:p w14:paraId="2FF2327B" w14:textId="77777777" w:rsidR="00357D7E" w:rsidRPr="00B24B81" w:rsidRDefault="00357D7E" w:rsidP="00357D7E">
      <w:pPr>
        <w:pStyle w:val="af3"/>
        <w:numPr>
          <w:ilvl w:val="0"/>
          <w:numId w:val="48"/>
        </w:numPr>
        <w:tabs>
          <w:tab w:val="left" w:pos="709"/>
        </w:tabs>
        <w:autoSpaceDE w:val="0"/>
        <w:autoSpaceDN w:val="0"/>
        <w:adjustRightInd w:val="0"/>
        <w:ind w:left="567" w:hanging="567"/>
      </w:pPr>
      <w:r w:rsidRPr="00B24B81">
        <w:t xml:space="preserve">Инструкция по медицинскому применению препарата </w:t>
      </w:r>
      <w:r w:rsidRPr="00B24B81">
        <w:rPr>
          <w:bCs/>
          <w:lang w:eastAsia="ru-RU"/>
        </w:rPr>
        <w:t xml:space="preserve">алоглиптин </w:t>
      </w:r>
      <w:r w:rsidRPr="00B24B81">
        <w:rPr>
          <w:lang w:val="en-US"/>
        </w:rPr>
        <w:t>https</w:t>
      </w:r>
      <w:r w:rsidRPr="00B24B81">
        <w:t>://</w:t>
      </w:r>
      <w:r w:rsidRPr="00B24B81">
        <w:rPr>
          <w:lang w:val="en-US"/>
        </w:rPr>
        <w:t>grls</w:t>
      </w:r>
      <w:r w:rsidRPr="00B24B81">
        <w:t>.</w:t>
      </w:r>
      <w:r w:rsidRPr="00B24B81">
        <w:rPr>
          <w:lang w:val="en-US"/>
        </w:rPr>
        <w:t>rosminzdrav</w:t>
      </w:r>
      <w:r w:rsidRPr="00B24B81">
        <w:t>.</w:t>
      </w:r>
      <w:r w:rsidRPr="00B24B81">
        <w:rPr>
          <w:lang w:val="en-US"/>
        </w:rPr>
        <w:t>ru</w:t>
      </w:r>
      <w:r w:rsidRPr="00B24B81">
        <w:t>/</w:t>
      </w:r>
      <w:r w:rsidRPr="00B24B81">
        <w:rPr>
          <w:lang w:val="en-US"/>
        </w:rPr>
        <w:t>Grls</w:t>
      </w:r>
      <w:r w:rsidRPr="00B24B81">
        <w:t>_</w:t>
      </w:r>
      <w:r w:rsidRPr="00B24B81">
        <w:rPr>
          <w:lang w:val="en-US"/>
        </w:rPr>
        <w:t>View</w:t>
      </w:r>
      <w:r w:rsidRPr="00B24B81">
        <w:t>_</w:t>
      </w:r>
      <w:r w:rsidRPr="00B24B81">
        <w:rPr>
          <w:lang w:val="en-US"/>
        </w:rPr>
        <w:t>v</w:t>
      </w:r>
      <w:r w:rsidRPr="00B24B81">
        <w:t>2.</w:t>
      </w:r>
      <w:r w:rsidRPr="00B24B81">
        <w:rPr>
          <w:lang w:val="en-US"/>
        </w:rPr>
        <w:t>aspx</w:t>
      </w:r>
      <w:r w:rsidRPr="00B24B81">
        <w:t>?</w:t>
      </w:r>
      <w:r w:rsidRPr="00B24B81">
        <w:rPr>
          <w:lang w:val="en-US"/>
        </w:rPr>
        <w:t>routingGuid</w:t>
      </w:r>
      <w:r w:rsidRPr="00B24B81">
        <w:t>=</w:t>
      </w:r>
      <w:r w:rsidRPr="00B24B81">
        <w:rPr>
          <w:lang w:val="en-US"/>
        </w:rPr>
        <w:t>ce</w:t>
      </w:r>
      <w:r w:rsidRPr="00B24B81">
        <w:t>8</w:t>
      </w:r>
      <w:r w:rsidRPr="00B24B81">
        <w:rPr>
          <w:lang w:val="en-US"/>
        </w:rPr>
        <w:t>b</w:t>
      </w:r>
      <w:r w:rsidRPr="00B24B81">
        <w:t>4</w:t>
      </w:r>
      <w:r w:rsidRPr="00B24B81">
        <w:rPr>
          <w:lang w:val="en-US"/>
        </w:rPr>
        <w:t>ecf</w:t>
      </w:r>
      <w:r w:rsidRPr="00B24B81">
        <w:t>-3</w:t>
      </w:r>
      <w:r w:rsidRPr="00B24B81">
        <w:rPr>
          <w:lang w:val="en-US"/>
        </w:rPr>
        <w:t>d</w:t>
      </w:r>
      <w:r w:rsidRPr="00B24B81">
        <w:t>62-4</w:t>
      </w:r>
      <w:r w:rsidRPr="00B24B81">
        <w:rPr>
          <w:lang w:val="en-US"/>
        </w:rPr>
        <w:t>d</w:t>
      </w:r>
      <w:r w:rsidRPr="00B24B81">
        <w:t>31-</w:t>
      </w:r>
      <w:r w:rsidRPr="00B24B81">
        <w:rPr>
          <w:lang w:val="en-US"/>
        </w:rPr>
        <w:t>a</w:t>
      </w:r>
      <w:r w:rsidRPr="00B24B81">
        <w:t>9</w:t>
      </w:r>
      <w:r w:rsidRPr="00B24B81">
        <w:rPr>
          <w:lang w:val="en-US"/>
        </w:rPr>
        <w:t>c</w:t>
      </w:r>
      <w:r w:rsidRPr="00B24B81">
        <w:t>1-803407</w:t>
      </w:r>
      <w:r w:rsidRPr="00B24B81">
        <w:rPr>
          <w:lang w:val="en-US"/>
        </w:rPr>
        <w:t>f</w:t>
      </w:r>
      <w:r w:rsidRPr="00B24B81">
        <w:t>2</w:t>
      </w:r>
      <w:r w:rsidRPr="00B24B81">
        <w:rPr>
          <w:lang w:val="en-US"/>
        </w:rPr>
        <w:t>e</w:t>
      </w:r>
      <w:r w:rsidRPr="00B24B81">
        <w:t>4</w:t>
      </w:r>
      <w:r w:rsidRPr="00B24B81">
        <w:rPr>
          <w:lang w:val="en-US"/>
        </w:rPr>
        <w:t>d</w:t>
      </w:r>
      <w:r w:rsidRPr="00B24B81">
        <w:t>7&amp;</w:t>
      </w:r>
      <w:r w:rsidRPr="00B24B81">
        <w:rPr>
          <w:lang w:val="en-US"/>
        </w:rPr>
        <w:t>t</w:t>
      </w:r>
      <w:r w:rsidRPr="00B24B81">
        <w:t>=</w:t>
      </w:r>
    </w:p>
    <w:p w14:paraId="79875333" w14:textId="77777777" w:rsidR="00357D7E" w:rsidRPr="00B24B81" w:rsidRDefault="00357D7E" w:rsidP="00357D7E">
      <w:pPr>
        <w:pStyle w:val="af3"/>
        <w:numPr>
          <w:ilvl w:val="0"/>
          <w:numId w:val="48"/>
        </w:numPr>
        <w:tabs>
          <w:tab w:val="left" w:pos="709"/>
        </w:tabs>
        <w:autoSpaceDE w:val="0"/>
        <w:autoSpaceDN w:val="0"/>
        <w:adjustRightInd w:val="0"/>
        <w:ind w:left="567" w:hanging="567"/>
      </w:pPr>
      <w:r w:rsidRPr="00B24B81">
        <w:t xml:space="preserve">Инструкция по медицинскому применению препарата </w:t>
      </w:r>
      <w:r w:rsidRPr="00B24B81">
        <w:rPr>
          <w:bCs/>
          <w:lang w:eastAsia="ru-RU"/>
        </w:rPr>
        <w:t xml:space="preserve">линаглиптин </w:t>
      </w:r>
      <w:r w:rsidRPr="00B24B81">
        <w:rPr>
          <w:lang w:val="en-US"/>
        </w:rPr>
        <w:t>https</w:t>
      </w:r>
      <w:r w:rsidRPr="00B24B81">
        <w:t>://</w:t>
      </w:r>
      <w:r w:rsidRPr="00B24B81">
        <w:rPr>
          <w:lang w:val="en-US"/>
        </w:rPr>
        <w:t>grls</w:t>
      </w:r>
      <w:r w:rsidRPr="00B24B81">
        <w:t>.</w:t>
      </w:r>
      <w:r w:rsidRPr="00B24B81">
        <w:rPr>
          <w:lang w:val="en-US"/>
        </w:rPr>
        <w:t>rosminzdrav</w:t>
      </w:r>
      <w:r w:rsidRPr="00B24B81">
        <w:t>.</w:t>
      </w:r>
      <w:r w:rsidRPr="00B24B81">
        <w:rPr>
          <w:lang w:val="en-US"/>
        </w:rPr>
        <w:t>ru</w:t>
      </w:r>
      <w:r w:rsidRPr="00B24B81">
        <w:t>/</w:t>
      </w:r>
      <w:r w:rsidRPr="00B24B81">
        <w:rPr>
          <w:lang w:val="en-US"/>
        </w:rPr>
        <w:t>Grls</w:t>
      </w:r>
      <w:r w:rsidRPr="00B24B81">
        <w:t>_</w:t>
      </w:r>
      <w:r w:rsidRPr="00B24B81">
        <w:rPr>
          <w:lang w:val="en-US"/>
        </w:rPr>
        <w:t>View</w:t>
      </w:r>
      <w:r w:rsidRPr="00B24B81">
        <w:t>_</w:t>
      </w:r>
      <w:r w:rsidRPr="00B24B81">
        <w:rPr>
          <w:lang w:val="en-US"/>
        </w:rPr>
        <w:t>v</w:t>
      </w:r>
      <w:r w:rsidRPr="00B24B81">
        <w:t>2.</w:t>
      </w:r>
      <w:r w:rsidRPr="00B24B81">
        <w:rPr>
          <w:lang w:val="en-US"/>
        </w:rPr>
        <w:t>aspx</w:t>
      </w:r>
      <w:r w:rsidRPr="00B24B81">
        <w:t>?</w:t>
      </w:r>
      <w:r w:rsidRPr="00B24B81">
        <w:rPr>
          <w:lang w:val="en-US"/>
        </w:rPr>
        <w:t>routingGuid</w:t>
      </w:r>
      <w:r w:rsidRPr="00B24B81">
        <w:t>=30862</w:t>
      </w:r>
      <w:r w:rsidRPr="00B24B81">
        <w:rPr>
          <w:lang w:val="en-US"/>
        </w:rPr>
        <w:t>aab</w:t>
      </w:r>
      <w:r w:rsidRPr="00B24B81">
        <w:t>-6</w:t>
      </w:r>
      <w:r w:rsidRPr="00B24B81">
        <w:rPr>
          <w:lang w:val="en-US"/>
        </w:rPr>
        <w:t>e</w:t>
      </w:r>
      <w:r w:rsidRPr="00B24B81">
        <w:t>75-4471-</w:t>
      </w:r>
      <w:r w:rsidRPr="00B24B81">
        <w:rPr>
          <w:lang w:val="en-US"/>
        </w:rPr>
        <w:t>b</w:t>
      </w:r>
      <w:r w:rsidRPr="00B24B81">
        <w:t>4</w:t>
      </w:r>
      <w:r w:rsidRPr="00B24B81">
        <w:rPr>
          <w:lang w:val="en-US"/>
        </w:rPr>
        <w:t>e</w:t>
      </w:r>
      <w:r w:rsidRPr="00B24B81">
        <w:t>1-369</w:t>
      </w:r>
      <w:r w:rsidRPr="00B24B81">
        <w:rPr>
          <w:lang w:val="en-US"/>
        </w:rPr>
        <w:t>eeef</w:t>
      </w:r>
      <w:r w:rsidRPr="00B24B81">
        <w:t>84075&amp;</w:t>
      </w:r>
      <w:r w:rsidRPr="00B24B81">
        <w:rPr>
          <w:lang w:val="en-US"/>
        </w:rPr>
        <w:t>t</w:t>
      </w:r>
      <w:r w:rsidRPr="00B24B81">
        <w:t>=</w:t>
      </w:r>
    </w:p>
    <w:p w14:paraId="578FC669" w14:textId="77777777" w:rsidR="00357D7E" w:rsidRPr="00B24B81" w:rsidRDefault="00357D7E" w:rsidP="00357D7E">
      <w:pPr>
        <w:pStyle w:val="af3"/>
        <w:numPr>
          <w:ilvl w:val="0"/>
          <w:numId w:val="48"/>
        </w:numPr>
        <w:tabs>
          <w:tab w:val="left" w:pos="709"/>
        </w:tabs>
        <w:autoSpaceDE w:val="0"/>
        <w:autoSpaceDN w:val="0"/>
        <w:adjustRightInd w:val="0"/>
        <w:ind w:left="567" w:hanging="567"/>
      </w:pPr>
      <w:r w:rsidRPr="00B24B81">
        <w:t xml:space="preserve">Инструкция по медицинскому применению препарата </w:t>
      </w:r>
      <w:r w:rsidRPr="00B24B81">
        <w:rPr>
          <w:bCs/>
          <w:lang w:eastAsia="ru-RU"/>
        </w:rPr>
        <w:t xml:space="preserve">гемиглиптин </w:t>
      </w:r>
      <w:r w:rsidRPr="00B24B81">
        <w:rPr>
          <w:lang w:val="en-US"/>
        </w:rPr>
        <w:t>https</w:t>
      </w:r>
      <w:r w:rsidRPr="00B24B81">
        <w:t>://</w:t>
      </w:r>
      <w:r w:rsidRPr="00B24B81">
        <w:rPr>
          <w:lang w:val="en-US"/>
        </w:rPr>
        <w:t>grls</w:t>
      </w:r>
      <w:r w:rsidRPr="00B24B81">
        <w:t>.</w:t>
      </w:r>
      <w:r w:rsidRPr="00B24B81">
        <w:rPr>
          <w:lang w:val="en-US"/>
        </w:rPr>
        <w:t>rosminzdrav</w:t>
      </w:r>
      <w:r w:rsidRPr="00B24B81">
        <w:t>.</w:t>
      </w:r>
      <w:r w:rsidRPr="00B24B81">
        <w:rPr>
          <w:lang w:val="en-US"/>
        </w:rPr>
        <w:t>ru</w:t>
      </w:r>
      <w:r w:rsidRPr="00B24B81">
        <w:t>/</w:t>
      </w:r>
      <w:r w:rsidRPr="00B24B81">
        <w:rPr>
          <w:lang w:val="en-US"/>
        </w:rPr>
        <w:t>Grls</w:t>
      </w:r>
      <w:r w:rsidRPr="00B24B81">
        <w:t>_</w:t>
      </w:r>
      <w:r w:rsidRPr="00B24B81">
        <w:rPr>
          <w:lang w:val="en-US"/>
        </w:rPr>
        <w:t>View</w:t>
      </w:r>
      <w:r w:rsidRPr="00B24B81">
        <w:t>_</w:t>
      </w:r>
      <w:r w:rsidRPr="00B24B81">
        <w:rPr>
          <w:lang w:val="en-US"/>
        </w:rPr>
        <w:t>v</w:t>
      </w:r>
      <w:r w:rsidRPr="00B24B81">
        <w:t>2.</w:t>
      </w:r>
      <w:r w:rsidRPr="00B24B81">
        <w:rPr>
          <w:lang w:val="en-US"/>
        </w:rPr>
        <w:t>aspx</w:t>
      </w:r>
      <w:r w:rsidRPr="00B24B81">
        <w:t>?</w:t>
      </w:r>
      <w:r w:rsidRPr="00B24B81">
        <w:rPr>
          <w:lang w:val="en-US"/>
        </w:rPr>
        <w:t>routingGuid</w:t>
      </w:r>
      <w:r w:rsidRPr="00B24B81">
        <w:t>=9</w:t>
      </w:r>
      <w:r w:rsidRPr="00B24B81">
        <w:rPr>
          <w:lang w:val="en-US"/>
        </w:rPr>
        <w:t>fa</w:t>
      </w:r>
      <w:r w:rsidRPr="00B24B81">
        <w:t>0</w:t>
      </w:r>
      <w:r w:rsidRPr="00B24B81">
        <w:rPr>
          <w:lang w:val="en-US"/>
        </w:rPr>
        <w:t>a</w:t>
      </w:r>
      <w:r w:rsidRPr="00B24B81">
        <w:t>24</w:t>
      </w:r>
      <w:r w:rsidRPr="00B24B81">
        <w:rPr>
          <w:lang w:val="en-US"/>
        </w:rPr>
        <w:t>d</w:t>
      </w:r>
      <w:r w:rsidRPr="00B24B81">
        <w:t>-3982-42</w:t>
      </w:r>
      <w:r w:rsidRPr="00B24B81">
        <w:rPr>
          <w:lang w:val="en-US"/>
        </w:rPr>
        <w:t>d</w:t>
      </w:r>
      <w:r w:rsidRPr="00B24B81">
        <w:t>1-891</w:t>
      </w:r>
      <w:r w:rsidRPr="00B24B81">
        <w:rPr>
          <w:lang w:val="en-US"/>
        </w:rPr>
        <w:t>f</w:t>
      </w:r>
      <w:r w:rsidRPr="00B24B81">
        <w:t>-</w:t>
      </w:r>
      <w:r w:rsidRPr="00B24B81">
        <w:rPr>
          <w:lang w:val="en-US"/>
        </w:rPr>
        <w:t>ef</w:t>
      </w:r>
      <w:r w:rsidRPr="00B24B81">
        <w:t>5616992</w:t>
      </w:r>
      <w:r w:rsidRPr="00B24B81">
        <w:rPr>
          <w:lang w:val="en-US"/>
        </w:rPr>
        <w:t>fbd</w:t>
      </w:r>
      <w:r w:rsidRPr="00B24B81">
        <w:t>&amp;</w:t>
      </w:r>
      <w:r w:rsidRPr="00B24B81">
        <w:rPr>
          <w:lang w:val="en-US"/>
        </w:rPr>
        <w:t>t</w:t>
      </w:r>
      <w:r w:rsidRPr="00B24B81">
        <w:t>=</w:t>
      </w:r>
    </w:p>
    <w:p w14:paraId="41BB7FCA" w14:textId="77777777" w:rsidR="00357D7E" w:rsidRPr="00292B75" w:rsidRDefault="00357D7E" w:rsidP="00357D7E">
      <w:pPr>
        <w:pStyle w:val="af3"/>
        <w:numPr>
          <w:ilvl w:val="0"/>
          <w:numId w:val="48"/>
        </w:numPr>
        <w:tabs>
          <w:tab w:val="left" w:pos="709"/>
        </w:tabs>
        <w:autoSpaceDE w:val="0"/>
        <w:autoSpaceDN w:val="0"/>
        <w:adjustRightInd w:val="0"/>
        <w:ind w:left="567" w:hanging="567"/>
      </w:pPr>
      <w:r w:rsidRPr="00B24B81">
        <w:t xml:space="preserve">Инструкция по медицинскому применению препарата </w:t>
      </w:r>
      <w:r w:rsidRPr="00B24B81">
        <w:rPr>
          <w:bCs/>
          <w:lang w:eastAsia="ru-RU"/>
        </w:rPr>
        <w:t xml:space="preserve">гозоглиптин </w:t>
      </w:r>
      <w:r w:rsidRPr="00292B75">
        <w:rPr>
          <w:lang w:val="en-US"/>
        </w:rPr>
        <w:t>https</w:t>
      </w:r>
      <w:r w:rsidRPr="00292B75">
        <w:t>://</w:t>
      </w:r>
      <w:r w:rsidRPr="00292B75">
        <w:rPr>
          <w:lang w:val="en-US"/>
        </w:rPr>
        <w:t>grls</w:t>
      </w:r>
      <w:r w:rsidRPr="00292B75">
        <w:t>.</w:t>
      </w:r>
      <w:r w:rsidRPr="00292B75">
        <w:rPr>
          <w:lang w:val="en-US"/>
        </w:rPr>
        <w:t>rosminzdrav</w:t>
      </w:r>
      <w:r w:rsidRPr="00292B75">
        <w:t>.</w:t>
      </w:r>
      <w:r w:rsidRPr="00292B75">
        <w:rPr>
          <w:lang w:val="en-US"/>
        </w:rPr>
        <w:t>ru</w:t>
      </w:r>
      <w:r w:rsidRPr="00292B75">
        <w:t>/</w:t>
      </w:r>
      <w:r w:rsidRPr="00292B75">
        <w:rPr>
          <w:lang w:val="en-US"/>
        </w:rPr>
        <w:t>Grls</w:t>
      </w:r>
      <w:r w:rsidRPr="00292B75">
        <w:t>_</w:t>
      </w:r>
      <w:r w:rsidRPr="00292B75">
        <w:rPr>
          <w:lang w:val="en-US"/>
        </w:rPr>
        <w:t>View</w:t>
      </w:r>
      <w:r w:rsidRPr="00292B75">
        <w:t>_</w:t>
      </w:r>
      <w:r w:rsidRPr="00292B75">
        <w:rPr>
          <w:lang w:val="en-US"/>
        </w:rPr>
        <w:t>v</w:t>
      </w:r>
      <w:r w:rsidRPr="00292B75">
        <w:t>2.</w:t>
      </w:r>
      <w:r w:rsidRPr="00292B75">
        <w:rPr>
          <w:lang w:val="en-US"/>
        </w:rPr>
        <w:t>aspx</w:t>
      </w:r>
      <w:r w:rsidRPr="00292B75">
        <w:t>?</w:t>
      </w:r>
      <w:r w:rsidRPr="00292B75">
        <w:rPr>
          <w:lang w:val="en-US"/>
        </w:rPr>
        <w:t>routingGuid</w:t>
      </w:r>
      <w:r w:rsidRPr="00292B75">
        <w:t>=</w:t>
      </w:r>
      <w:r w:rsidRPr="00292B75">
        <w:rPr>
          <w:lang w:val="en-US"/>
        </w:rPr>
        <w:t>e</w:t>
      </w:r>
      <w:r w:rsidRPr="00292B75">
        <w:t>65</w:t>
      </w:r>
      <w:r w:rsidRPr="00292B75">
        <w:rPr>
          <w:lang w:val="en-US"/>
        </w:rPr>
        <w:t>ae</w:t>
      </w:r>
      <w:r w:rsidRPr="00292B75">
        <w:t>8</w:t>
      </w:r>
      <w:r w:rsidRPr="00292B75">
        <w:rPr>
          <w:lang w:val="en-US"/>
        </w:rPr>
        <w:t>dc</w:t>
      </w:r>
      <w:r w:rsidRPr="00292B75">
        <w:t>-18</w:t>
      </w:r>
      <w:r w:rsidRPr="00292B75">
        <w:rPr>
          <w:lang w:val="en-US"/>
        </w:rPr>
        <w:t>fd</w:t>
      </w:r>
      <w:r w:rsidRPr="00292B75">
        <w:t>-4155-9</w:t>
      </w:r>
      <w:r w:rsidRPr="00292B75">
        <w:rPr>
          <w:lang w:val="en-US"/>
        </w:rPr>
        <w:t>e</w:t>
      </w:r>
      <w:r w:rsidRPr="00292B75">
        <w:t>3</w:t>
      </w:r>
      <w:r w:rsidRPr="00292B75">
        <w:rPr>
          <w:lang w:val="en-US"/>
        </w:rPr>
        <w:t>b</w:t>
      </w:r>
      <w:r w:rsidRPr="00292B75">
        <w:t>-</w:t>
      </w:r>
      <w:r w:rsidRPr="00292B75">
        <w:rPr>
          <w:lang w:val="en-US"/>
        </w:rPr>
        <w:t>bea</w:t>
      </w:r>
      <w:r w:rsidRPr="00292B75">
        <w:t>53</w:t>
      </w:r>
      <w:r w:rsidRPr="00292B75">
        <w:rPr>
          <w:lang w:val="en-US"/>
        </w:rPr>
        <w:t>a</w:t>
      </w:r>
      <w:r w:rsidRPr="00292B75">
        <w:t>0</w:t>
      </w:r>
      <w:r w:rsidRPr="00292B75">
        <w:rPr>
          <w:lang w:val="en-US"/>
        </w:rPr>
        <w:t>b</w:t>
      </w:r>
      <w:r w:rsidRPr="00292B75">
        <w:t>2</w:t>
      </w:r>
      <w:r w:rsidRPr="00292B75">
        <w:rPr>
          <w:lang w:val="en-US"/>
        </w:rPr>
        <w:t>eb</w:t>
      </w:r>
      <w:r w:rsidRPr="00292B75">
        <w:t>2&amp;</w:t>
      </w:r>
      <w:r w:rsidRPr="00292B75">
        <w:rPr>
          <w:lang w:val="en-US"/>
        </w:rPr>
        <w:t>t</w:t>
      </w:r>
      <w:r w:rsidRPr="00292B75">
        <w:t>=</w:t>
      </w:r>
    </w:p>
    <w:p w14:paraId="181CA038" w14:textId="77777777" w:rsidR="004F6002" w:rsidRDefault="00357D7E" w:rsidP="004F6002">
      <w:pPr>
        <w:pStyle w:val="af3"/>
        <w:numPr>
          <w:ilvl w:val="0"/>
          <w:numId w:val="48"/>
        </w:numPr>
        <w:tabs>
          <w:tab w:val="left" w:pos="709"/>
        </w:tabs>
        <w:autoSpaceDE w:val="0"/>
        <w:autoSpaceDN w:val="0"/>
        <w:adjustRightInd w:val="0"/>
        <w:ind w:left="567" w:hanging="567"/>
      </w:pPr>
      <w:r w:rsidRPr="00292B75">
        <w:lastRenderedPageBreak/>
        <w:t xml:space="preserve">Инструкция по медицинскому применению препарата </w:t>
      </w:r>
      <w:r w:rsidRPr="00292B75">
        <w:rPr>
          <w:bCs/>
          <w:lang w:eastAsia="ru-RU"/>
        </w:rPr>
        <w:t xml:space="preserve">эвоглиптин </w:t>
      </w:r>
      <w:r w:rsidRPr="00292B75">
        <w:rPr>
          <w:lang w:val="en-US"/>
        </w:rPr>
        <w:t>https</w:t>
      </w:r>
      <w:r w:rsidRPr="00292B75">
        <w:t>://</w:t>
      </w:r>
      <w:r w:rsidRPr="00292B75">
        <w:rPr>
          <w:lang w:val="en-US"/>
        </w:rPr>
        <w:t>grls</w:t>
      </w:r>
      <w:r w:rsidRPr="00292B75">
        <w:t>.</w:t>
      </w:r>
      <w:r w:rsidRPr="00292B75">
        <w:rPr>
          <w:lang w:val="en-US"/>
        </w:rPr>
        <w:t>rosminzdrav</w:t>
      </w:r>
      <w:r w:rsidRPr="00292B75">
        <w:t>.</w:t>
      </w:r>
      <w:r w:rsidRPr="00292B75">
        <w:rPr>
          <w:lang w:val="en-US"/>
        </w:rPr>
        <w:t>ru</w:t>
      </w:r>
      <w:r w:rsidRPr="00292B75">
        <w:t>/</w:t>
      </w:r>
      <w:r w:rsidRPr="00292B75">
        <w:rPr>
          <w:lang w:val="en-US"/>
        </w:rPr>
        <w:t>Grls</w:t>
      </w:r>
      <w:r w:rsidRPr="00292B75">
        <w:t>_</w:t>
      </w:r>
      <w:r w:rsidRPr="00292B75">
        <w:rPr>
          <w:lang w:val="en-US"/>
        </w:rPr>
        <w:t>View</w:t>
      </w:r>
      <w:r w:rsidRPr="00292B75">
        <w:t>_</w:t>
      </w:r>
      <w:r w:rsidRPr="00292B75">
        <w:rPr>
          <w:lang w:val="en-US"/>
        </w:rPr>
        <w:t>v</w:t>
      </w:r>
      <w:r w:rsidRPr="00292B75">
        <w:t>2.</w:t>
      </w:r>
      <w:r w:rsidRPr="00292B75">
        <w:rPr>
          <w:lang w:val="en-US"/>
        </w:rPr>
        <w:t>aspx</w:t>
      </w:r>
      <w:r w:rsidRPr="00292B75">
        <w:t>?</w:t>
      </w:r>
      <w:r w:rsidRPr="00292B75">
        <w:rPr>
          <w:lang w:val="en-US"/>
        </w:rPr>
        <w:t>routingGuid</w:t>
      </w:r>
      <w:r w:rsidRPr="00292B75">
        <w:t>=6</w:t>
      </w:r>
      <w:r w:rsidRPr="00292B75">
        <w:rPr>
          <w:lang w:val="en-US"/>
        </w:rPr>
        <w:t>c</w:t>
      </w:r>
      <w:r w:rsidRPr="00292B75">
        <w:t>9</w:t>
      </w:r>
      <w:r w:rsidRPr="00292B75">
        <w:rPr>
          <w:lang w:val="en-US"/>
        </w:rPr>
        <w:t>be</w:t>
      </w:r>
      <w:r w:rsidRPr="00292B75">
        <w:t>7</w:t>
      </w:r>
      <w:r w:rsidRPr="00292B75">
        <w:rPr>
          <w:lang w:val="en-US"/>
        </w:rPr>
        <w:t>e</w:t>
      </w:r>
      <w:r w:rsidRPr="00292B75">
        <w:t>5-6693-4</w:t>
      </w:r>
      <w:r w:rsidRPr="00292B75">
        <w:rPr>
          <w:lang w:val="en-US"/>
        </w:rPr>
        <w:t>b</w:t>
      </w:r>
      <w:r w:rsidRPr="00292B75">
        <w:t>07-9</w:t>
      </w:r>
      <w:r w:rsidRPr="00292B75">
        <w:rPr>
          <w:lang w:val="en-US"/>
        </w:rPr>
        <w:t>f</w:t>
      </w:r>
      <w:r w:rsidRPr="00292B75">
        <w:t>31-0175437</w:t>
      </w:r>
      <w:r w:rsidRPr="00292B75">
        <w:rPr>
          <w:lang w:val="en-US"/>
        </w:rPr>
        <w:t>b</w:t>
      </w:r>
      <w:r w:rsidRPr="00292B75">
        <w:t>053</w:t>
      </w:r>
      <w:r w:rsidRPr="00292B75">
        <w:rPr>
          <w:lang w:val="en-US"/>
        </w:rPr>
        <w:t>e</w:t>
      </w:r>
      <w:r w:rsidRPr="00292B75">
        <w:t>&amp;</w:t>
      </w:r>
      <w:r w:rsidRPr="00292B75">
        <w:rPr>
          <w:lang w:val="en-US"/>
        </w:rPr>
        <w:t>t</w:t>
      </w:r>
      <w:r w:rsidRPr="00292B75">
        <w:t>=</w:t>
      </w:r>
    </w:p>
    <w:p w14:paraId="1FF1A079" w14:textId="77777777" w:rsidR="004F6002" w:rsidRPr="004F6002" w:rsidRDefault="00BB127B" w:rsidP="004F6002">
      <w:pPr>
        <w:pStyle w:val="af3"/>
        <w:numPr>
          <w:ilvl w:val="0"/>
          <w:numId w:val="48"/>
        </w:numPr>
        <w:tabs>
          <w:tab w:val="left" w:pos="709"/>
        </w:tabs>
        <w:autoSpaceDE w:val="0"/>
        <w:autoSpaceDN w:val="0"/>
        <w:adjustRightInd w:val="0"/>
        <w:ind w:left="567" w:hanging="567"/>
      </w:pPr>
      <w:r w:rsidRPr="004F6002">
        <w:rPr>
          <w:lang w:val="en-US"/>
        </w:rPr>
        <w:t xml:space="preserve">Golay A, Lagger G, Chambouleyron M, Carrard I, Lasserre-Moutet A. Therapeutic education of diabetic patients. Diabetes Metab Res Rev. 2008 </w:t>
      </w:r>
      <w:r w:rsidRPr="00BB127B">
        <w:t>г</w:t>
      </w:r>
      <w:r w:rsidRPr="004F6002">
        <w:rPr>
          <w:lang w:val="en-US"/>
        </w:rPr>
        <w:t xml:space="preserve">.;24(3):192–6. </w:t>
      </w:r>
    </w:p>
    <w:p w14:paraId="52954085" w14:textId="77777777" w:rsidR="004F6002" w:rsidRPr="004F6002" w:rsidRDefault="00BB127B" w:rsidP="004F6002">
      <w:pPr>
        <w:pStyle w:val="af3"/>
        <w:numPr>
          <w:ilvl w:val="0"/>
          <w:numId w:val="48"/>
        </w:numPr>
        <w:tabs>
          <w:tab w:val="left" w:pos="709"/>
        </w:tabs>
        <w:autoSpaceDE w:val="0"/>
        <w:autoSpaceDN w:val="0"/>
        <w:adjustRightInd w:val="0"/>
        <w:ind w:left="567" w:hanging="567"/>
      </w:pPr>
      <w:r w:rsidRPr="004F6002">
        <w:rPr>
          <w:lang w:val="en-US"/>
        </w:rPr>
        <w:t xml:space="preserve">M Grant S, J Glenn A, M S Wolever T, G Josse R, L O’Connor D, Thompson A, </w:t>
      </w:r>
      <w:r w:rsidRPr="00BB127B">
        <w:t>и</w:t>
      </w:r>
      <w:r w:rsidRPr="004F6002">
        <w:rPr>
          <w:lang w:val="en-US"/>
        </w:rPr>
        <w:t xml:space="preserve"> </w:t>
      </w:r>
      <w:r w:rsidRPr="00BB127B">
        <w:t>др</w:t>
      </w:r>
      <w:r w:rsidRPr="004F6002">
        <w:rPr>
          <w:lang w:val="en-US"/>
        </w:rPr>
        <w:t xml:space="preserve">. Evaluation of Glycemic Index Education in People Living with Type 2 Diabetes: Participant Satisfaction, Knowledge Uptake, and Application. Nutrients. 12 </w:t>
      </w:r>
      <w:r w:rsidRPr="00BB127B">
        <w:t>август</w:t>
      </w:r>
      <w:r w:rsidRPr="004F6002">
        <w:rPr>
          <w:lang w:val="en-US"/>
        </w:rPr>
        <w:t xml:space="preserve"> 2020 </w:t>
      </w:r>
      <w:r w:rsidRPr="00BB127B">
        <w:t>г</w:t>
      </w:r>
      <w:r w:rsidRPr="004F6002">
        <w:rPr>
          <w:lang w:val="en-US"/>
        </w:rPr>
        <w:t xml:space="preserve">.;12(8):2416. </w:t>
      </w:r>
    </w:p>
    <w:p w14:paraId="1C9FDA14" w14:textId="77777777" w:rsidR="004F6002" w:rsidRPr="004F6002" w:rsidRDefault="00BB127B" w:rsidP="004F6002">
      <w:pPr>
        <w:pStyle w:val="af3"/>
        <w:numPr>
          <w:ilvl w:val="0"/>
          <w:numId w:val="48"/>
        </w:numPr>
        <w:tabs>
          <w:tab w:val="left" w:pos="709"/>
        </w:tabs>
        <w:autoSpaceDE w:val="0"/>
        <w:autoSpaceDN w:val="0"/>
        <w:adjustRightInd w:val="0"/>
        <w:ind w:left="567" w:hanging="567"/>
      </w:pPr>
      <w:r w:rsidRPr="004F6002">
        <w:rPr>
          <w:lang w:val="en-US"/>
        </w:rPr>
        <w:t xml:space="preserve">Cabré Font C, Colungo Francia C, Vinagre Torres I, Jansà i Morató M, Conget Donlo I. A therapeutic education program with a diabetes specialist nurse for type 2 diabetes patients using insulin in a primary care setting. A diabetes education program with a diabetes specialist nurse in a primary care setting. Endocrinol Diabetes Nutr. 1 </w:t>
      </w:r>
      <w:r w:rsidRPr="00BB127B">
        <w:t>ноябрь</w:t>
      </w:r>
      <w:r w:rsidRPr="004F6002">
        <w:rPr>
          <w:lang w:val="en-US"/>
        </w:rPr>
        <w:t xml:space="preserve"> 2021 </w:t>
      </w:r>
      <w:r w:rsidRPr="00BB127B">
        <w:t>г</w:t>
      </w:r>
      <w:r w:rsidRPr="004F6002">
        <w:rPr>
          <w:lang w:val="en-US"/>
        </w:rPr>
        <w:t xml:space="preserve">.;68(9):628–35. </w:t>
      </w:r>
    </w:p>
    <w:p w14:paraId="66400C5B" w14:textId="77777777" w:rsidR="004F6002" w:rsidRPr="004F6002" w:rsidRDefault="00BB127B" w:rsidP="004F6002">
      <w:pPr>
        <w:pStyle w:val="af3"/>
        <w:numPr>
          <w:ilvl w:val="0"/>
          <w:numId w:val="48"/>
        </w:numPr>
        <w:tabs>
          <w:tab w:val="left" w:pos="709"/>
        </w:tabs>
        <w:autoSpaceDE w:val="0"/>
        <w:autoSpaceDN w:val="0"/>
        <w:adjustRightInd w:val="0"/>
        <w:ind w:left="567" w:hanging="567"/>
      </w:pPr>
      <w:r w:rsidRPr="004F6002">
        <w:rPr>
          <w:lang w:val="en-US"/>
        </w:rPr>
        <w:t xml:space="preserve">Subrahmanyan NA, Koshy RM, Jacob K, Pappachan JM. Efficacy and Cardiovascular Safety of DPP-4 Inhibitors. Curr Drug Saf. 2021 </w:t>
      </w:r>
      <w:r w:rsidRPr="00BB127B">
        <w:t>г</w:t>
      </w:r>
      <w:r w:rsidRPr="004F6002">
        <w:rPr>
          <w:lang w:val="en-US"/>
        </w:rPr>
        <w:t xml:space="preserve">.;16(2):154–64. </w:t>
      </w:r>
    </w:p>
    <w:p w14:paraId="0C3EB388" w14:textId="77777777" w:rsidR="005D1522" w:rsidRDefault="00BB127B" w:rsidP="005D1522">
      <w:pPr>
        <w:pStyle w:val="af3"/>
        <w:numPr>
          <w:ilvl w:val="0"/>
          <w:numId w:val="48"/>
        </w:numPr>
        <w:tabs>
          <w:tab w:val="left" w:pos="709"/>
        </w:tabs>
        <w:autoSpaceDE w:val="0"/>
        <w:autoSpaceDN w:val="0"/>
        <w:adjustRightInd w:val="0"/>
        <w:ind w:left="567" w:hanging="567"/>
      </w:pPr>
      <w:r w:rsidRPr="004F6002">
        <w:rPr>
          <w:lang w:val="en-US"/>
        </w:rPr>
        <w:t xml:space="preserve">Gallwitz B. Clinical Use of DPP-4 Inhibitors. </w:t>
      </w:r>
      <w:r w:rsidRPr="00BB127B">
        <w:t xml:space="preserve">Front Endocrinol (Lausanne). 2019 г.;10:389. </w:t>
      </w:r>
    </w:p>
    <w:p w14:paraId="2BB5026A" w14:textId="3328D3ED" w:rsidR="00295007" w:rsidRPr="00105893" w:rsidRDefault="00BB127B" w:rsidP="00295007">
      <w:pPr>
        <w:pStyle w:val="af3"/>
        <w:numPr>
          <w:ilvl w:val="0"/>
          <w:numId w:val="48"/>
        </w:numPr>
        <w:tabs>
          <w:tab w:val="left" w:pos="709"/>
        </w:tabs>
        <w:autoSpaceDE w:val="0"/>
        <w:autoSpaceDN w:val="0"/>
        <w:adjustRightInd w:val="0"/>
        <w:ind w:left="567" w:hanging="567"/>
      </w:pPr>
      <w:r w:rsidRPr="005D1522">
        <w:rPr>
          <w:lang w:val="en-US"/>
        </w:rPr>
        <w:t xml:space="preserve">Graefe-Mody U, Retlich S, Friedrich C. Clinical pharmacokinetics and pharmacodynamics of linagliptin. Clin Pharmacokinet. 1 </w:t>
      </w:r>
      <w:r w:rsidRPr="00BB127B">
        <w:t>июль</w:t>
      </w:r>
      <w:r w:rsidRPr="005D1522">
        <w:rPr>
          <w:lang w:val="en-US"/>
        </w:rPr>
        <w:t xml:space="preserve"> 2012 </w:t>
      </w:r>
      <w:r w:rsidRPr="00BB127B">
        <w:t>г</w:t>
      </w:r>
      <w:r w:rsidRPr="005D1522">
        <w:rPr>
          <w:lang w:val="en-US"/>
        </w:rPr>
        <w:t xml:space="preserve">.;51(7):411–27. </w:t>
      </w:r>
      <w:r w:rsidR="00694E84">
        <w:fldChar w:fldCharType="end"/>
      </w:r>
      <w:r w:rsidR="00CC77F8" w:rsidRPr="005D1522">
        <w:rPr>
          <w:lang w:val="en-US"/>
        </w:rPr>
        <w:t xml:space="preserve"> </w:t>
      </w:r>
    </w:p>
    <w:p w14:paraId="5A2A748C" w14:textId="24EA32D2" w:rsidR="00295007" w:rsidRPr="005E6358" w:rsidRDefault="00295007" w:rsidP="0008466F">
      <w:pPr>
        <w:pStyle w:val="12"/>
        <w:numPr>
          <w:ilvl w:val="0"/>
          <w:numId w:val="5"/>
        </w:numPr>
        <w:tabs>
          <w:tab w:val="left" w:pos="142"/>
          <w:tab w:val="left" w:pos="284"/>
        </w:tabs>
        <w:spacing w:line="240" w:lineRule="auto"/>
        <w:ind w:left="357" w:hanging="357"/>
        <w:rPr>
          <w:rFonts w:cs="Times New Roman"/>
          <w:color w:val="000000" w:themeColor="text1"/>
          <w:szCs w:val="24"/>
        </w:rPr>
      </w:pPr>
      <w:bookmarkStart w:id="50" w:name="_Toc139361931"/>
      <w:r w:rsidRPr="005E6358">
        <w:rPr>
          <w:rFonts w:cs="Times New Roman"/>
          <w:color w:val="000000" w:themeColor="text1"/>
          <w:szCs w:val="24"/>
        </w:rPr>
        <w:t>ФИЗИЧЕСКИЕ, ХИМИЧЕСКИЕ И ФАРМАЦЕВТИЧЕСКИЕ СВОЙСТВА И ЛЕКАРСТВЕННАЯ ФОРМА</w:t>
      </w:r>
      <w:bookmarkEnd w:id="50"/>
    </w:p>
    <w:p w14:paraId="29C6091C" w14:textId="39D38023" w:rsidR="00295007" w:rsidRDefault="00295007" w:rsidP="00295007">
      <w:pPr>
        <w:pStyle w:val="2"/>
        <w:spacing w:line="240" w:lineRule="auto"/>
        <w:rPr>
          <w:color w:val="000000" w:themeColor="text1"/>
          <w:szCs w:val="24"/>
        </w:rPr>
      </w:pPr>
      <w:bookmarkStart w:id="51" w:name="_Toc415001079"/>
      <w:bookmarkStart w:id="52" w:name="_Toc139361932"/>
      <w:r w:rsidRPr="005E6358">
        <w:rPr>
          <w:color w:val="000000" w:themeColor="text1"/>
          <w:szCs w:val="24"/>
        </w:rPr>
        <w:t>2.1</w:t>
      </w:r>
      <w:r>
        <w:rPr>
          <w:color w:val="000000" w:themeColor="text1"/>
          <w:szCs w:val="24"/>
        </w:rPr>
        <w:t>.</w:t>
      </w:r>
      <w:r w:rsidRPr="005E6358">
        <w:rPr>
          <w:color w:val="000000" w:themeColor="text1"/>
          <w:szCs w:val="24"/>
        </w:rPr>
        <w:t xml:space="preserve"> Описание свойств исследуемого препарата</w:t>
      </w:r>
      <w:bookmarkEnd w:id="51"/>
      <w:bookmarkEnd w:id="52"/>
    </w:p>
    <w:p w14:paraId="1EAC1934" w14:textId="77777777" w:rsidR="00B66AC1" w:rsidRDefault="00295007" w:rsidP="00295007">
      <w:pPr>
        <w:pStyle w:val="3"/>
        <w:spacing w:after="240"/>
        <w:rPr>
          <w:rFonts w:ascii="Times New Roman" w:hAnsi="Times New Roman"/>
          <w:color w:val="000000" w:themeColor="text1"/>
          <w:szCs w:val="24"/>
        </w:rPr>
      </w:pPr>
      <w:bookmarkStart w:id="53" w:name="_Toc415001080"/>
      <w:bookmarkStart w:id="54" w:name="_Toc139361933"/>
      <w:r w:rsidRPr="005E6358">
        <w:rPr>
          <w:rFonts w:ascii="Times New Roman" w:hAnsi="Times New Roman"/>
          <w:color w:val="000000" w:themeColor="text1"/>
          <w:szCs w:val="24"/>
        </w:rPr>
        <w:t>2.1.1</w:t>
      </w:r>
      <w:r>
        <w:rPr>
          <w:rFonts w:ascii="Times New Roman" w:hAnsi="Times New Roman"/>
          <w:color w:val="000000" w:themeColor="text1"/>
          <w:szCs w:val="24"/>
        </w:rPr>
        <w:t>.</w:t>
      </w:r>
      <w:r w:rsidRPr="005E6358">
        <w:rPr>
          <w:rFonts w:ascii="Times New Roman" w:hAnsi="Times New Roman"/>
          <w:color w:val="000000" w:themeColor="text1"/>
          <w:szCs w:val="24"/>
        </w:rPr>
        <w:t xml:space="preserve"> Химическая формула</w:t>
      </w:r>
      <w:bookmarkEnd w:id="53"/>
      <w:bookmarkEnd w:id="54"/>
      <w:r w:rsidR="0003615F">
        <w:rPr>
          <w:rFonts w:ascii="Times New Roman" w:hAnsi="Times New Roman"/>
          <w:color w:val="000000" w:themeColor="text1"/>
          <w:szCs w:val="24"/>
        </w:rPr>
        <w:t xml:space="preserve"> </w:t>
      </w:r>
      <w:r w:rsidR="002002AA">
        <w:rPr>
          <w:rFonts w:ascii="Times New Roman" w:hAnsi="Times New Roman"/>
          <w:color w:val="000000" w:themeColor="text1"/>
          <w:szCs w:val="24"/>
        </w:rPr>
        <w:t xml:space="preserve">    </w:t>
      </w:r>
    </w:p>
    <w:p w14:paraId="2D584061" w14:textId="09EE868A" w:rsidR="00295007" w:rsidRDefault="002002AA" w:rsidP="00B66AC1">
      <w:pPr>
        <w:rPr>
          <w:color w:val="000000" w:themeColor="text1"/>
        </w:rPr>
      </w:pPr>
      <w:r w:rsidRPr="002002AA">
        <w:t>C</w:t>
      </w:r>
      <w:r w:rsidRPr="00B66AC1">
        <w:rPr>
          <w:vertAlign w:val="subscript"/>
        </w:rPr>
        <w:t>25</w:t>
      </w:r>
      <w:r w:rsidRPr="002002AA">
        <w:t>H</w:t>
      </w:r>
      <w:r w:rsidRPr="00B66AC1">
        <w:rPr>
          <w:vertAlign w:val="subscript"/>
        </w:rPr>
        <w:t>28</w:t>
      </w:r>
      <w:r w:rsidRPr="002002AA">
        <w:t>N</w:t>
      </w:r>
      <w:r w:rsidRPr="00B66AC1">
        <w:rPr>
          <w:vertAlign w:val="subscript"/>
        </w:rPr>
        <w:t>8</w:t>
      </w:r>
      <w:r w:rsidRPr="002002AA">
        <w:t>O</w:t>
      </w:r>
      <w:r w:rsidRPr="00B66AC1">
        <w:rPr>
          <w:vertAlign w:val="subscript"/>
        </w:rPr>
        <w:t>2</w:t>
      </w:r>
      <w:r w:rsidRPr="002002AA">
        <w:t xml:space="preserve">  </w:t>
      </w:r>
    </w:p>
    <w:p w14:paraId="03288B82" w14:textId="77777777" w:rsidR="00295007" w:rsidRDefault="00295007" w:rsidP="00295007">
      <w:pPr>
        <w:pStyle w:val="3"/>
        <w:spacing w:after="240"/>
        <w:rPr>
          <w:rFonts w:ascii="Times New Roman" w:hAnsi="Times New Roman"/>
          <w:color w:val="000000" w:themeColor="text1"/>
          <w:szCs w:val="24"/>
        </w:rPr>
      </w:pPr>
      <w:bookmarkStart w:id="55" w:name="_Toc415001081"/>
      <w:bookmarkStart w:id="56" w:name="_Toc139361934"/>
      <w:r w:rsidRPr="005E6358">
        <w:rPr>
          <w:rFonts w:ascii="Times New Roman" w:hAnsi="Times New Roman"/>
          <w:color w:val="000000" w:themeColor="text1"/>
          <w:szCs w:val="24"/>
        </w:rPr>
        <w:t>2.1.2</w:t>
      </w:r>
      <w:r>
        <w:rPr>
          <w:rFonts w:ascii="Times New Roman" w:hAnsi="Times New Roman"/>
          <w:color w:val="000000" w:themeColor="text1"/>
          <w:szCs w:val="24"/>
        </w:rPr>
        <w:t>.</w:t>
      </w:r>
      <w:r w:rsidRPr="005E6358">
        <w:rPr>
          <w:rFonts w:ascii="Times New Roman" w:hAnsi="Times New Roman"/>
          <w:color w:val="000000" w:themeColor="text1"/>
          <w:szCs w:val="24"/>
        </w:rPr>
        <w:t xml:space="preserve"> Структурная формула</w:t>
      </w:r>
      <w:bookmarkEnd w:id="55"/>
      <w:bookmarkEnd w:id="56"/>
    </w:p>
    <w:p w14:paraId="6F1E2D97" w14:textId="026F33E0" w:rsidR="00776C53" w:rsidRDefault="00A40B87" w:rsidP="00295007">
      <w:pPr>
        <w:rPr>
          <w:color w:val="000000" w:themeColor="text1"/>
        </w:rPr>
      </w:pPr>
      <w:r>
        <w:rPr>
          <w:b/>
          <w:color w:val="000000" w:themeColor="text1"/>
        </w:rPr>
        <w:t>Р</w:t>
      </w:r>
      <w:r w:rsidR="00295007" w:rsidRPr="005E6358">
        <w:rPr>
          <w:b/>
          <w:color w:val="000000" w:themeColor="text1"/>
        </w:rPr>
        <w:t>исунок 2</w:t>
      </w:r>
      <w:r w:rsidR="00295007">
        <w:rPr>
          <w:b/>
          <w:color w:val="000000" w:themeColor="text1"/>
        </w:rPr>
        <w:t>-</w:t>
      </w:r>
      <w:r w:rsidR="00295007" w:rsidRPr="005E6358">
        <w:rPr>
          <w:b/>
          <w:color w:val="000000" w:themeColor="text1"/>
        </w:rPr>
        <w:t>1.</w:t>
      </w:r>
      <w:r w:rsidR="00295007" w:rsidRPr="005E6358">
        <w:rPr>
          <w:color w:val="000000" w:themeColor="text1"/>
        </w:rPr>
        <w:t xml:space="preserve"> </w:t>
      </w:r>
      <w:r w:rsidR="00AB19F0" w:rsidRPr="005E6358">
        <w:rPr>
          <w:color w:val="000000" w:themeColor="text1"/>
        </w:rPr>
        <w:t xml:space="preserve">Структурная формула </w:t>
      </w:r>
      <w:r w:rsidR="00AB19F0">
        <w:rPr>
          <w:rFonts w:eastAsia="Times New Roman"/>
          <w:bCs/>
          <w:lang w:eastAsia="ru-RU"/>
        </w:rPr>
        <w:t>лин</w:t>
      </w:r>
      <w:r w:rsidR="00AB19F0" w:rsidRPr="009B0091">
        <w:rPr>
          <w:rFonts w:eastAsia="Times New Roman"/>
          <w:bCs/>
          <w:lang w:eastAsia="ru-RU"/>
        </w:rPr>
        <w:t>аглиптина</w:t>
      </w:r>
      <w:r w:rsidR="00B66AC1">
        <w:rPr>
          <w:rFonts w:eastAsia="Times New Roman"/>
          <w:bCs/>
          <w:lang w:eastAsia="ru-RU"/>
        </w:rPr>
        <w:t>.</w:t>
      </w:r>
    </w:p>
    <w:p w14:paraId="1BB7ED04" w14:textId="5E4825A4" w:rsidR="0003615F" w:rsidRDefault="00AB19F0" w:rsidP="00295007">
      <w:pPr>
        <w:rPr>
          <w:color w:val="000000" w:themeColor="text1"/>
        </w:rPr>
      </w:pPr>
      <w:r>
        <w:rPr>
          <w:noProof/>
          <w:color w:val="000000" w:themeColor="text1"/>
          <w:lang w:eastAsia="ru-RU"/>
        </w:rPr>
        <w:drawing>
          <wp:inline distT="0" distB="0" distL="0" distR="0" wp14:anchorId="0E52A26B" wp14:editId="619CFAA3">
            <wp:extent cx="3691890" cy="1440815"/>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1890" cy="1440815"/>
                    </a:xfrm>
                    <a:prstGeom prst="rect">
                      <a:avLst/>
                    </a:prstGeom>
                    <a:noFill/>
                    <a:ln>
                      <a:noFill/>
                    </a:ln>
                  </pic:spPr>
                </pic:pic>
              </a:graphicData>
            </a:graphic>
          </wp:inline>
        </w:drawing>
      </w:r>
    </w:p>
    <w:p w14:paraId="3DF93A8E" w14:textId="77777777" w:rsidR="00295007" w:rsidRPr="005E6358" w:rsidRDefault="00295007" w:rsidP="00295007">
      <w:pPr>
        <w:rPr>
          <w:color w:val="000000" w:themeColor="text1"/>
        </w:rPr>
      </w:pPr>
    </w:p>
    <w:p w14:paraId="1D48378C" w14:textId="2E253555" w:rsidR="00295007" w:rsidRPr="0039612C" w:rsidRDefault="00295007" w:rsidP="00295007">
      <w:pPr>
        <w:rPr>
          <w:rFonts w:eastAsiaTheme="minorHAnsi"/>
          <w:bCs/>
          <w:color w:val="000000" w:themeColor="text1"/>
          <w:lang w:eastAsia="en-US"/>
        </w:rPr>
      </w:pPr>
      <w:r w:rsidRPr="00FD0B41">
        <w:t xml:space="preserve"> </w:t>
      </w:r>
      <w:r w:rsidRPr="00EA5D20">
        <w:rPr>
          <w:rStyle w:val="lrzxr"/>
          <w:b/>
        </w:rPr>
        <w:t xml:space="preserve">Молекулярная масса: </w:t>
      </w:r>
      <w:r w:rsidR="00B66AC1">
        <w:rPr>
          <w:rStyle w:val="lrzxr"/>
          <w:bCs/>
        </w:rPr>
        <w:t>472,</w:t>
      </w:r>
      <w:r w:rsidR="0003615F" w:rsidRPr="0003615F">
        <w:rPr>
          <w:rStyle w:val="lrzxr"/>
          <w:bCs/>
        </w:rPr>
        <w:t>54</w:t>
      </w:r>
      <w:r w:rsidR="0003615F" w:rsidRPr="0003615F">
        <w:rPr>
          <w:rStyle w:val="lrzxr"/>
          <w:b/>
        </w:rPr>
        <w:t xml:space="preserve"> </w:t>
      </w:r>
      <w:r w:rsidR="0003615F" w:rsidRPr="00407F86">
        <w:t>г/моль</w:t>
      </w:r>
    </w:p>
    <w:p w14:paraId="7687C727" w14:textId="26E14416" w:rsidR="00295007" w:rsidRDefault="00295007" w:rsidP="00295007">
      <w:pPr>
        <w:pStyle w:val="3"/>
        <w:spacing w:after="240"/>
        <w:rPr>
          <w:rFonts w:ascii="Times New Roman" w:hAnsi="Times New Roman"/>
          <w:color w:val="000000" w:themeColor="text1"/>
          <w:szCs w:val="24"/>
        </w:rPr>
      </w:pPr>
      <w:bookmarkStart w:id="57" w:name="_Toc323751672"/>
      <w:bookmarkStart w:id="58" w:name="_Toc139361935"/>
      <w:r w:rsidRPr="005E6358">
        <w:rPr>
          <w:rFonts w:ascii="Times New Roman" w:hAnsi="Times New Roman"/>
          <w:color w:val="000000" w:themeColor="text1"/>
          <w:szCs w:val="24"/>
        </w:rPr>
        <w:t>2.1.3. Физико-химические и фармацевтические свойства</w:t>
      </w:r>
      <w:bookmarkEnd w:id="57"/>
      <w:bookmarkEnd w:id="58"/>
    </w:p>
    <w:p w14:paraId="2AFDC740" w14:textId="55393660" w:rsidR="0039689A" w:rsidRDefault="00B66AC1" w:rsidP="0039689A">
      <w:pPr>
        <w:ind w:firstLine="851"/>
      </w:pPr>
      <w:r>
        <w:t>Линаглиптин представляет собой</w:t>
      </w:r>
      <w:r w:rsidR="0039689A">
        <w:t xml:space="preserve"> белое или желтоватое кристаллическое твердое вещество. Гигроскопичен, но впитывает воду. Хорошо растворим в водных средах (&gt; 1 мг/мл). Имеет физиологический диапазон рН. Растворим в метаноле, умеренно растворим в этаноле и очень мало растворим в изопропаноле и ацетоне. Действующее вещество одновременно существует в двух полиморфных формах, которые энантиотропно связаны </w:t>
      </w:r>
      <w:r w:rsidR="0039689A">
        <w:lastRenderedPageBreak/>
        <w:t>между собой и обратимо переходят друг в друга примерно при комнатной температуре. Дв</w:t>
      </w:r>
      <w:r w:rsidR="000F4255">
        <w:t>е</w:t>
      </w:r>
      <w:r w:rsidR="0039689A">
        <w:t xml:space="preserve"> полиморфные формы не различаются по биофармацевтическим свойствам.</w:t>
      </w:r>
    </w:p>
    <w:p w14:paraId="0EE7EE46" w14:textId="45507FBB" w:rsidR="00136011" w:rsidRPr="00136011" w:rsidRDefault="00136011" w:rsidP="0049695C">
      <w:pPr>
        <w:pStyle w:val="2"/>
        <w:spacing w:line="240" w:lineRule="auto"/>
        <w:rPr>
          <w:color w:val="000000" w:themeColor="text1"/>
          <w:szCs w:val="24"/>
        </w:rPr>
      </w:pPr>
      <w:bookmarkStart w:id="59" w:name="_Toc118754959"/>
      <w:bookmarkStart w:id="60" w:name="_Toc139361936"/>
      <w:r w:rsidRPr="00F54B50">
        <w:rPr>
          <w:color w:val="000000" w:themeColor="text1"/>
          <w:szCs w:val="24"/>
        </w:rPr>
        <w:t>2.2. Лекарственная форма</w:t>
      </w:r>
      <w:bookmarkEnd w:id="59"/>
      <w:bookmarkEnd w:id="60"/>
    </w:p>
    <w:p w14:paraId="04FF9FE3" w14:textId="77777777" w:rsidR="00295007" w:rsidRDefault="00295007" w:rsidP="00136011">
      <w:pPr>
        <w:pStyle w:val="3"/>
        <w:spacing w:before="0" w:after="0"/>
        <w:rPr>
          <w:rFonts w:ascii="Times New Roman" w:hAnsi="Times New Roman"/>
        </w:rPr>
      </w:pPr>
      <w:bookmarkStart w:id="61" w:name="_Toc139361937"/>
      <w:r w:rsidRPr="005A2239">
        <w:rPr>
          <w:rFonts w:ascii="Times New Roman" w:hAnsi="Times New Roman"/>
        </w:rPr>
        <w:t>2.2.1. Название лекарственной формы</w:t>
      </w:r>
      <w:bookmarkEnd w:id="61"/>
    </w:p>
    <w:p w14:paraId="6187FEFA" w14:textId="77777777" w:rsidR="00136011" w:rsidRDefault="00136011" w:rsidP="00136011"/>
    <w:p w14:paraId="5DA56AFB" w14:textId="021B5FF3" w:rsidR="00295007" w:rsidRDefault="0039689A" w:rsidP="00136011">
      <w:pPr>
        <w:ind w:firstLine="709"/>
      </w:pPr>
      <w:r w:rsidRPr="0039689A">
        <w:t>Таблетки, покрытые пленочной оболочкой</w:t>
      </w:r>
      <w:r w:rsidR="006415C2">
        <w:t>.</w:t>
      </w:r>
    </w:p>
    <w:p w14:paraId="6F3CA52C" w14:textId="77777777" w:rsidR="00136011" w:rsidRPr="005A2239" w:rsidRDefault="00136011" w:rsidP="00136011"/>
    <w:p w14:paraId="2E05FCC5" w14:textId="77777777" w:rsidR="00295007" w:rsidRPr="005E6358" w:rsidRDefault="00295007" w:rsidP="00136011">
      <w:pPr>
        <w:pStyle w:val="3"/>
        <w:spacing w:before="0" w:after="0"/>
        <w:rPr>
          <w:rFonts w:ascii="Times New Roman" w:hAnsi="Times New Roman"/>
          <w:color w:val="000000" w:themeColor="text1"/>
          <w:szCs w:val="24"/>
        </w:rPr>
      </w:pPr>
      <w:bookmarkStart w:id="62" w:name="_Toc139361938"/>
      <w:r w:rsidRPr="005E6358">
        <w:rPr>
          <w:rFonts w:ascii="Times New Roman" w:hAnsi="Times New Roman"/>
          <w:color w:val="000000" w:themeColor="text1"/>
          <w:szCs w:val="24"/>
        </w:rPr>
        <w:t>2.2.2</w:t>
      </w:r>
      <w:r>
        <w:rPr>
          <w:rFonts w:ascii="Times New Roman" w:hAnsi="Times New Roman"/>
          <w:color w:val="000000" w:themeColor="text1"/>
          <w:szCs w:val="24"/>
        </w:rPr>
        <w:t>.</w:t>
      </w:r>
      <w:r w:rsidRPr="005E6358">
        <w:rPr>
          <w:rFonts w:ascii="Times New Roman" w:hAnsi="Times New Roman"/>
          <w:color w:val="000000" w:themeColor="text1"/>
          <w:szCs w:val="24"/>
        </w:rPr>
        <w:t xml:space="preserve"> Описание лекарственной формы</w:t>
      </w:r>
      <w:bookmarkEnd w:id="62"/>
    </w:p>
    <w:p w14:paraId="43928D46" w14:textId="77777777" w:rsidR="00136011" w:rsidRDefault="00136011" w:rsidP="00295007">
      <w:pPr>
        <w:ind w:firstLine="709"/>
        <w:rPr>
          <w:color w:val="FF0000"/>
        </w:rPr>
      </w:pPr>
    </w:p>
    <w:p w14:paraId="22681358" w14:textId="3205FE7F" w:rsidR="004718E9" w:rsidRPr="00C74AD1" w:rsidRDefault="004718E9" w:rsidP="004718E9">
      <w:pPr>
        <w:ind w:firstLine="709"/>
        <w:contextualSpacing/>
      </w:pPr>
      <w:r w:rsidRPr="001C6A4E">
        <w:t xml:space="preserve">Лекарственный препарат </w:t>
      </w:r>
      <w:r w:rsidRPr="001C6A4E">
        <w:rPr>
          <w:lang w:val="en-US" w:eastAsia="ru-RU"/>
        </w:rPr>
        <w:t>D</w:t>
      </w:r>
      <w:r w:rsidRPr="001C6A4E">
        <w:rPr>
          <w:lang w:eastAsia="ru-RU"/>
        </w:rPr>
        <w:t>T-</w:t>
      </w:r>
      <w:r>
        <w:rPr>
          <w:lang w:val="en-US" w:eastAsia="ru-RU"/>
        </w:rPr>
        <w:t>LNG</w:t>
      </w:r>
      <w:r w:rsidRPr="004718E9">
        <w:rPr>
          <w:lang w:eastAsia="ru-RU"/>
        </w:rPr>
        <w:t xml:space="preserve"> </w:t>
      </w:r>
      <w:r w:rsidRPr="001C6A4E">
        <w:t>планируется выпускать в единственной дозировке - 5 мг.</w:t>
      </w:r>
    </w:p>
    <w:p w14:paraId="520321B7" w14:textId="0EC48993" w:rsidR="00544FFA" w:rsidRPr="00C74AD1" w:rsidRDefault="00C74AD1" w:rsidP="00295007">
      <w:pPr>
        <w:ind w:firstLine="709"/>
      </w:pPr>
      <w:r w:rsidRPr="00C74AD1">
        <w:t>Таблетки к</w:t>
      </w:r>
      <w:r w:rsidR="0003615F" w:rsidRPr="00C74AD1">
        <w:t>руглые</w:t>
      </w:r>
      <w:r w:rsidRPr="00C74AD1">
        <w:t>,</w:t>
      </w:r>
      <w:r w:rsidR="0003615F" w:rsidRPr="00C74AD1">
        <w:t xml:space="preserve"> двояковыпуклые</w:t>
      </w:r>
      <w:r w:rsidRPr="00C74AD1">
        <w:t>,</w:t>
      </w:r>
      <w:r w:rsidR="0003615F" w:rsidRPr="00C74AD1">
        <w:t xml:space="preserve"> покрытые пленочной оболочкой </w:t>
      </w:r>
      <w:r w:rsidRPr="00C74AD1">
        <w:t>розового с коричневатым оттенком цвета</w:t>
      </w:r>
      <w:r w:rsidR="0003615F" w:rsidRPr="00C74AD1">
        <w:t>.</w:t>
      </w:r>
      <w:r w:rsidRPr="00C74AD1">
        <w:t xml:space="preserve"> На поперечном разрезе ядро таблетки белого или почти белого цвета.</w:t>
      </w:r>
    </w:p>
    <w:p w14:paraId="18B5DD17" w14:textId="3C862650" w:rsidR="00544FFA" w:rsidRDefault="000F4255" w:rsidP="00295007">
      <w:pPr>
        <w:ind w:firstLine="709"/>
      </w:pPr>
      <w:r>
        <w:t>В таблице 2-1. приведен с</w:t>
      </w:r>
      <w:r w:rsidRPr="000F4255">
        <w:t>остав лекарственного препарата линаглиптин, таблетк</w:t>
      </w:r>
      <w:r w:rsidR="004718E9">
        <w:t>и, покрытые пленочной оболочкой,</w:t>
      </w:r>
      <w:r w:rsidRPr="000F4255">
        <w:t xml:space="preserve"> 5 мг (АО «Р-Фарм»)</w:t>
      </w:r>
      <w:r>
        <w:t>.</w:t>
      </w:r>
    </w:p>
    <w:p w14:paraId="54992F1E" w14:textId="77777777" w:rsidR="00295007" w:rsidRDefault="00295007" w:rsidP="00295007">
      <w:pPr>
        <w:pStyle w:val="3"/>
        <w:spacing w:after="240"/>
        <w:rPr>
          <w:rFonts w:ascii="Times New Roman" w:hAnsi="Times New Roman"/>
          <w:color w:val="000000" w:themeColor="text1"/>
          <w:szCs w:val="24"/>
        </w:rPr>
      </w:pPr>
      <w:bookmarkStart w:id="63" w:name="_Toc139361939"/>
      <w:r w:rsidRPr="005E6358">
        <w:rPr>
          <w:rFonts w:ascii="Times New Roman" w:hAnsi="Times New Roman"/>
          <w:color w:val="000000" w:themeColor="text1"/>
          <w:szCs w:val="24"/>
        </w:rPr>
        <w:t>2.2.3</w:t>
      </w:r>
      <w:r>
        <w:rPr>
          <w:rFonts w:ascii="Times New Roman" w:hAnsi="Times New Roman"/>
          <w:color w:val="000000" w:themeColor="text1"/>
          <w:szCs w:val="24"/>
        </w:rPr>
        <w:t>.</w:t>
      </w:r>
      <w:r w:rsidRPr="005E6358">
        <w:rPr>
          <w:rFonts w:ascii="Times New Roman" w:hAnsi="Times New Roman"/>
          <w:color w:val="000000" w:themeColor="text1"/>
          <w:szCs w:val="24"/>
        </w:rPr>
        <w:t xml:space="preserve"> Состав лекарственной формы</w:t>
      </w:r>
      <w:bookmarkEnd w:id="63"/>
    </w:p>
    <w:p w14:paraId="13B172DC" w14:textId="4A3B8675" w:rsidR="00295007" w:rsidRPr="004718E9" w:rsidRDefault="004718E9" w:rsidP="00295007">
      <w:pPr>
        <w:pStyle w:val="aff1"/>
        <w:rPr>
          <w:bCs/>
        </w:rPr>
      </w:pPr>
      <w:bookmarkStart w:id="64" w:name="_Hlk111670939"/>
      <w:bookmarkStart w:id="65" w:name="_Toc111670946"/>
      <w:r>
        <w:rPr>
          <w:b/>
          <w:bCs/>
        </w:rPr>
        <w:t>Таблица 2</w:t>
      </w:r>
      <w:r w:rsidR="00295007" w:rsidRPr="004718E9">
        <w:rPr>
          <w:b/>
          <w:bCs/>
        </w:rPr>
        <w:noBreakHyphen/>
      </w:r>
      <w:r w:rsidR="00295007" w:rsidRPr="004718E9">
        <w:rPr>
          <w:b/>
          <w:bCs/>
        </w:rPr>
        <w:fldChar w:fldCharType="begin"/>
      </w:r>
      <w:r w:rsidR="00295007" w:rsidRPr="004718E9">
        <w:rPr>
          <w:b/>
          <w:bCs/>
        </w:rPr>
        <w:instrText xml:space="preserve"> SEQ Таблица \* ARABIC \s 2 </w:instrText>
      </w:r>
      <w:r w:rsidR="00295007" w:rsidRPr="004718E9">
        <w:rPr>
          <w:b/>
          <w:bCs/>
        </w:rPr>
        <w:fldChar w:fldCharType="separate"/>
      </w:r>
      <w:r w:rsidR="00C21413" w:rsidRPr="004718E9">
        <w:rPr>
          <w:b/>
          <w:bCs/>
          <w:noProof/>
        </w:rPr>
        <w:t>1</w:t>
      </w:r>
      <w:r w:rsidR="00295007" w:rsidRPr="004718E9">
        <w:rPr>
          <w:b/>
          <w:bCs/>
        </w:rPr>
        <w:fldChar w:fldCharType="end"/>
      </w:r>
      <w:r w:rsidR="00295007" w:rsidRPr="004718E9">
        <w:rPr>
          <w:b/>
          <w:bCs/>
        </w:rPr>
        <w:t xml:space="preserve">. </w:t>
      </w:r>
      <w:bookmarkStart w:id="66" w:name="_Hlk121480018"/>
      <w:bookmarkEnd w:id="64"/>
      <w:r w:rsidR="00295007" w:rsidRPr="004718E9">
        <w:rPr>
          <w:bCs/>
        </w:rPr>
        <w:t xml:space="preserve">Состав лекарственного препарата </w:t>
      </w:r>
      <w:r w:rsidR="0039689A" w:rsidRPr="004718E9">
        <w:rPr>
          <w:bCs/>
        </w:rPr>
        <w:t>линаглиптин</w:t>
      </w:r>
      <w:r w:rsidR="0099708D" w:rsidRPr="004718E9">
        <w:rPr>
          <w:bCs/>
        </w:rPr>
        <w:t xml:space="preserve">, </w:t>
      </w:r>
      <w:r w:rsidR="0039689A" w:rsidRPr="004718E9">
        <w:rPr>
          <w:bCs/>
        </w:rPr>
        <w:t>таблетки, покрытые пленочной оболочкой</w:t>
      </w:r>
      <w:r w:rsidRPr="004718E9">
        <w:rPr>
          <w:bCs/>
        </w:rPr>
        <w:t xml:space="preserve">, </w:t>
      </w:r>
      <w:r w:rsidR="0039689A" w:rsidRPr="004718E9">
        <w:rPr>
          <w:bCs/>
        </w:rPr>
        <w:t>5</w:t>
      </w:r>
      <w:r w:rsidR="0099708D" w:rsidRPr="004718E9">
        <w:rPr>
          <w:bCs/>
        </w:rPr>
        <w:t xml:space="preserve"> мг </w:t>
      </w:r>
      <w:r w:rsidR="00295007" w:rsidRPr="004718E9">
        <w:rPr>
          <w:bCs/>
        </w:rPr>
        <w:t>(АО «Р-Фарм»)</w:t>
      </w:r>
      <w:bookmarkEnd w:id="65"/>
      <w:r w:rsidR="00295007" w:rsidRPr="004718E9">
        <w:rPr>
          <w:bCs/>
        </w:rPr>
        <w:t xml:space="preserve"> </w:t>
      </w:r>
    </w:p>
    <w:tbl>
      <w:tblPr>
        <w:tblStyle w:val="a8"/>
        <w:tblW w:w="9356" w:type="dxa"/>
        <w:tblInd w:w="-5" w:type="dxa"/>
        <w:tblLayout w:type="fixed"/>
        <w:tblLook w:val="01E0" w:firstRow="1" w:lastRow="1" w:firstColumn="1" w:lastColumn="1" w:noHBand="0" w:noVBand="0"/>
      </w:tblPr>
      <w:tblGrid>
        <w:gridCol w:w="7371"/>
        <w:gridCol w:w="1985"/>
      </w:tblGrid>
      <w:tr w:rsidR="00117ECA" w:rsidRPr="00194923" w14:paraId="63757FA8" w14:textId="77777777" w:rsidTr="000C6365">
        <w:trPr>
          <w:trHeight w:val="20"/>
          <w:tblHeader/>
        </w:trPr>
        <w:tc>
          <w:tcPr>
            <w:tcW w:w="7371" w:type="dxa"/>
            <w:shd w:val="clear" w:color="auto" w:fill="D9D9D9" w:themeFill="background1" w:themeFillShade="D9"/>
          </w:tcPr>
          <w:bookmarkEnd w:id="66"/>
          <w:p w14:paraId="4FDC94F8" w14:textId="77777777" w:rsidR="00117ECA" w:rsidRPr="00194923" w:rsidRDefault="00117ECA" w:rsidP="00537BF5">
            <w:pPr>
              <w:jc w:val="center"/>
              <w:rPr>
                <w:rFonts w:eastAsia="Calibri"/>
                <w:b/>
              </w:rPr>
            </w:pPr>
            <w:r w:rsidRPr="00194923">
              <w:rPr>
                <w:rFonts w:eastAsia="Calibri"/>
                <w:b/>
              </w:rPr>
              <w:t>Для дозировки:</w:t>
            </w:r>
          </w:p>
        </w:tc>
        <w:tc>
          <w:tcPr>
            <w:tcW w:w="1985" w:type="dxa"/>
            <w:shd w:val="clear" w:color="auto" w:fill="D9D9D9" w:themeFill="background1" w:themeFillShade="D9"/>
          </w:tcPr>
          <w:p w14:paraId="5C4BCFF3" w14:textId="20FC6188" w:rsidR="00117ECA" w:rsidRPr="00194923" w:rsidRDefault="00117ECA" w:rsidP="00537BF5">
            <w:pPr>
              <w:jc w:val="center"/>
              <w:rPr>
                <w:rFonts w:eastAsia="Calibri"/>
                <w:b/>
              </w:rPr>
            </w:pPr>
            <w:r>
              <w:rPr>
                <w:rFonts w:eastAsia="Calibri"/>
                <w:b/>
              </w:rPr>
              <w:t>5</w:t>
            </w:r>
            <w:r w:rsidRPr="00194923">
              <w:rPr>
                <w:rFonts w:eastAsia="Calibri"/>
                <w:b/>
              </w:rPr>
              <w:t xml:space="preserve"> мг</w:t>
            </w:r>
          </w:p>
        </w:tc>
      </w:tr>
      <w:tr w:rsidR="000C6365" w:rsidRPr="00194923" w14:paraId="1A3DB64E" w14:textId="77777777" w:rsidTr="00537BF5">
        <w:trPr>
          <w:trHeight w:val="20"/>
        </w:trPr>
        <w:tc>
          <w:tcPr>
            <w:tcW w:w="9356" w:type="dxa"/>
            <w:gridSpan w:val="2"/>
          </w:tcPr>
          <w:p w14:paraId="36BD60F7" w14:textId="02F32D37" w:rsidR="000C6365" w:rsidRPr="00194923" w:rsidRDefault="000C6365" w:rsidP="00537BF5">
            <w:pPr>
              <w:rPr>
                <w:rFonts w:eastAsia="Calibri"/>
                <w:i/>
              </w:rPr>
            </w:pPr>
            <w:r w:rsidRPr="00194923">
              <w:rPr>
                <w:rFonts w:eastAsia="Calibri"/>
                <w:i/>
              </w:rPr>
              <w:t>Действующее вещество:</w:t>
            </w:r>
          </w:p>
        </w:tc>
      </w:tr>
      <w:tr w:rsidR="00117ECA" w:rsidRPr="00194923" w14:paraId="6CE79BC8" w14:textId="77777777" w:rsidTr="000C6365">
        <w:trPr>
          <w:trHeight w:val="20"/>
        </w:trPr>
        <w:tc>
          <w:tcPr>
            <w:tcW w:w="7371" w:type="dxa"/>
          </w:tcPr>
          <w:p w14:paraId="4C878841" w14:textId="5AF05FEC" w:rsidR="00117ECA" w:rsidRPr="00194923" w:rsidRDefault="00693C26" w:rsidP="00537BF5">
            <w:pPr>
              <w:ind w:left="708"/>
              <w:rPr>
                <w:rFonts w:eastAsia="Calibri"/>
              </w:rPr>
            </w:pPr>
            <w:r>
              <w:rPr>
                <w:rFonts w:eastAsia="Calibri"/>
              </w:rPr>
              <w:t>Линаглиптин</w:t>
            </w:r>
          </w:p>
        </w:tc>
        <w:tc>
          <w:tcPr>
            <w:tcW w:w="1985" w:type="dxa"/>
          </w:tcPr>
          <w:p w14:paraId="06830F1E" w14:textId="0424ECA3" w:rsidR="00117ECA" w:rsidRPr="00194923" w:rsidRDefault="00693C26" w:rsidP="00537BF5">
            <w:pPr>
              <w:jc w:val="center"/>
              <w:rPr>
                <w:rFonts w:eastAsia="Calibri"/>
              </w:rPr>
            </w:pPr>
            <w:r>
              <w:rPr>
                <w:rFonts w:eastAsia="Calibri"/>
              </w:rPr>
              <w:t>5</w:t>
            </w:r>
            <w:r w:rsidR="00E34D8C">
              <w:rPr>
                <w:rFonts w:eastAsia="Calibri"/>
              </w:rPr>
              <w:t>,0</w:t>
            </w:r>
            <w:r w:rsidR="00117ECA" w:rsidRPr="00194923">
              <w:rPr>
                <w:rFonts w:eastAsia="Calibri"/>
              </w:rPr>
              <w:t xml:space="preserve"> мг</w:t>
            </w:r>
          </w:p>
        </w:tc>
      </w:tr>
      <w:tr w:rsidR="000C6365" w14:paraId="17E41C44" w14:textId="77777777" w:rsidTr="00537BF5">
        <w:trPr>
          <w:trHeight w:val="20"/>
        </w:trPr>
        <w:tc>
          <w:tcPr>
            <w:tcW w:w="9356" w:type="dxa"/>
            <w:gridSpan w:val="2"/>
          </w:tcPr>
          <w:p w14:paraId="7C385364" w14:textId="4655C0F2" w:rsidR="000C6365" w:rsidRDefault="000C6365" w:rsidP="000C6365">
            <w:pPr>
              <w:rPr>
                <w:rFonts w:eastAsia="Calibri"/>
              </w:rPr>
            </w:pPr>
            <w:r w:rsidRPr="00194923">
              <w:rPr>
                <w:rFonts w:eastAsia="Calibri"/>
                <w:i/>
              </w:rPr>
              <w:t>Вспомогательные вещества:</w:t>
            </w:r>
          </w:p>
        </w:tc>
      </w:tr>
      <w:tr w:rsidR="00693C26" w:rsidRPr="00194923" w14:paraId="4F1E9D5E" w14:textId="77777777" w:rsidTr="000C6365">
        <w:trPr>
          <w:trHeight w:val="20"/>
        </w:trPr>
        <w:tc>
          <w:tcPr>
            <w:tcW w:w="7371" w:type="dxa"/>
            <w:vAlign w:val="center"/>
          </w:tcPr>
          <w:p w14:paraId="251D16C6" w14:textId="7944F7DA" w:rsidR="00693C26" w:rsidRPr="00693C26" w:rsidRDefault="00693C26" w:rsidP="00693C26">
            <w:pPr>
              <w:ind w:firstLine="743"/>
              <w:rPr>
                <w:rFonts w:eastAsia="Calibri"/>
                <w:i/>
              </w:rPr>
            </w:pPr>
            <w:r>
              <w:t>Маннитол</w:t>
            </w:r>
          </w:p>
        </w:tc>
        <w:tc>
          <w:tcPr>
            <w:tcW w:w="1985" w:type="dxa"/>
            <w:vAlign w:val="center"/>
          </w:tcPr>
          <w:p w14:paraId="67FF7B00" w14:textId="3EDEEB24" w:rsidR="00693C26" w:rsidRPr="00693C26" w:rsidRDefault="00693C26" w:rsidP="00693C26">
            <w:pPr>
              <w:jc w:val="center"/>
              <w:rPr>
                <w:rFonts w:eastAsia="Calibri"/>
                <w:i/>
              </w:rPr>
            </w:pPr>
            <w:r w:rsidRPr="00693C26">
              <w:rPr>
                <w:color w:val="000000" w:themeColor="text1"/>
              </w:rPr>
              <w:t>144,4 мг</w:t>
            </w:r>
          </w:p>
        </w:tc>
      </w:tr>
      <w:tr w:rsidR="00693C26" w:rsidRPr="00194923" w14:paraId="2190B75C" w14:textId="77777777" w:rsidTr="000C6365">
        <w:trPr>
          <w:trHeight w:val="20"/>
        </w:trPr>
        <w:tc>
          <w:tcPr>
            <w:tcW w:w="7371" w:type="dxa"/>
            <w:vAlign w:val="center"/>
          </w:tcPr>
          <w:p w14:paraId="64880E57" w14:textId="03D9DA60" w:rsidR="00693C26" w:rsidRPr="00693C26" w:rsidRDefault="00693C26" w:rsidP="00693C26">
            <w:pPr>
              <w:ind w:left="738"/>
              <w:rPr>
                <w:rFonts w:eastAsia="Calibri"/>
              </w:rPr>
            </w:pPr>
            <w:r>
              <w:t>Коповидон</w:t>
            </w:r>
          </w:p>
        </w:tc>
        <w:tc>
          <w:tcPr>
            <w:tcW w:w="1985" w:type="dxa"/>
            <w:vAlign w:val="center"/>
          </w:tcPr>
          <w:p w14:paraId="529B0EB9" w14:textId="18F15C54" w:rsidR="00693C26" w:rsidRPr="00693C26" w:rsidRDefault="00693C26" w:rsidP="00693C26">
            <w:pPr>
              <w:jc w:val="center"/>
              <w:rPr>
                <w:rFonts w:eastAsia="Calibri"/>
              </w:rPr>
            </w:pPr>
            <w:r w:rsidRPr="00693C26">
              <w:rPr>
                <w:color w:val="000000" w:themeColor="text1"/>
              </w:rPr>
              <w:t>10,8 мг</w:t>
            </w:r>
          </w:p>
        </w:tc>
      </w:tr>
      <w:tr w:rsidR="00693C26" w:rsidRPr="00194923" w14:paraId="5CE5BF90" w14:textId="77777777" w:rsidTr="000C6365">
        <w:trPr>
          <w:trHeight w:val="20"/>
        </w:trPr>
        <w:tc>
          <w:tcPr>
            <w:tcW w:w="7371" w:type="dxa"/>
            <w:vAlign w:val="center"/>
          </w:tcPr>
          <w:p w14:paraId="47D70A54" w14:textId="1EFD3676" w:rsidR="00693C26" w:rsidRPr="00693C26" w:rsidRDefault="00693C26" w:rsidP="00693C26">
            <w:pPr>
              <w:ind w:left="738"/>
              <w:rPr>
                <w:rFonts w:eastAsia="Calibri"/>
              </w:rPr>
            </w:pPr>
            <w:r w:rsidRPr="00693C26">
              <w:t xml:space="preserve">Крахмал кукурузный </w:t>
            </w:r>
            <w:r w:rsidRPr="00693C26">
              <w:rPr>
                <w:color w:val="000000" w:themeColor="text1"/>
              </w:rPr>
              <w:t>прежелатинизированный</w:t>
            </w:r>
            <w:r w:rsidRPr="00693C26">
              <w:t xml:space="preserve"> </w:t>
            </w:r>
          </w:p>
        </w:tc>
        <w:tc>
          <w:tcPr>
            <w:tcW w:w="1985" w:type="dxa"/>
            <w:vAlign w:val="center"/>
          </w:tcPr>
          <w:p w14:paraId="1FB4246A" w14:textId="3638DCB2" w:rsidR="00693C26" w:rsidRPr="00693C26" w:rsidRDefault="00693C26" w:rsidP="00693C26">
            <w:pPr>
              <w:jc w:val="center"/>
              <w:rPr>
                <w:rFonts w:eastAsia="Calibri"/>
              </w:rPr>
            </w:pPr>
            <w:r w:rsidRPr="00693C26">
              <w:rPr>
                <w:color w:val="000000" w:themeColor="text1"/>
              </w:rPr>
              <w:t>9,0 мг</w:t>
            </w:r>
          </w:p>
        </w:tc>
      </w:tr>
      <w:tr w:rsidR="00693C26" w:rsidRPr="00194923" w14:paraId="3404A7FF" w14:textId="77777777" w:rsidTr="000C6365">
        <w:trPr>
          <w:trHeight w:val="20"/>
        </w:trPr>
        <w:tc>
          <w:tcPr>
            <w:tcW w:w="7371" w:type="dxa"/>
            <w:vAlign w:val="center"/>
          </w:tcPr>
          <w:p w14:paraId="74F2D4F8" w14:textId="2EB4695D" w:rsidR="00693C26" w:rsidRPr="00693C26" w:rsidRDefault="00693C26" w:rsidP="00693C26">
            <w:pPr>
              <w:ind w:left="738"/>
              <w:rPr>
                <w:rFonts w:eastAsia="Calibri"/>
              </w:rPr>
            </w:pPr>
            <w:r w:rsidRPr="00693C26">
              <w:t xml:space="preserve">Крахмал кукурузный </w:t>
            </w:r>
          </w:p>
        </w:tc>
        <w:tc>
          <w:tcPr>
            <w:tcW w:w="1985" w:type="dxa"/>
            <w:vAlign w:val="center"/>
          </w:tcPr>
          <w:p w14:paraId="22E1303F" w14:textId="027AEBD9" w:rsidR="00693C26" w:rsidRPr="00693C26" w:rsidRDefault="00693C26" w:rsidP="00693C26">
            <w:pPr>
              <w:jc w:val="center"/>
              <w:rPr>
                <w:rFonts w:eastAsia="Calibri"/>
              </w:rPr>
            </w:pPr>
            <w:r w:rsidRPr="00693C26">
              <w:rPr>
                <w:color w:val="000000" w:themeColor="text1"/>
              </w:rPr>
              <w:t>9,0 мг</w:t>
            </w:r>
          </w:p>
        </w:tc>
      </w:tr>
      <w:tr w:rsidR="00693C26" w:rsidRPr="00194923" w14:paraId="4B8D8694" w14:textId="77777777" w:rsidTr="000C6365">
        <w:trPr>
          <w:trHeight w:val="20"/>
        </w:trPr>
        <w:tc>
          <w:tcPr>
            <w:tcW w:w="7371" w:type="dxa"/>
            <w:vAlign w:val="center"/>
          </w:tcPr>
          <w:p w14:paraId="5B2ED369" w14:textId="4925462F" w:rsidR="00693C26" w:rsidRPr="00693C26" w:rsidRDefault="00693C26" w:rsidP="00693C26">
            <w:pPr>
              <w:ind w:left="738"/>
              <w:rPr>
                <w:rFonts w:eastAsia="Calibri"/>
              </w:rPr>
            </w:pPr>
            <w:r w:rsidRPr="00693C26">
              <w:t xml:space="preserve">Магния стеарат </w:t>
            </w:r>
          </w:p>
        </w:tc>
        <w:tc>
          <w:tcPr>
            <w:tcW w:w="1985" w:type="dxa"/>
            <w:vAlign w:val="center"/>
          </w:tcPr>
          <w:p w14:paraId="2E714C6C" w14:textId="36C38FCA" w:rsidR="00693C26" w:rsidRPr="00693C26" w:rsidRDefault="00693C26" w:rsidP="00693C26">
            <w:pPr>
              <w:jc w:val="center"/>
              <w:rPr>
                <w:rFonts w:eastAsia="Calibri"/>
              </w:rPr>
            </w:pPr>
            <w:r w:rsidRPr="00693C26">
              <w:rPr>
                <w:color w:val="000000" w:themeColor="text1"/>
              </w:rPr>
              <w:t>1,8 мг</w:t>
            </w:r>
          </w:p>
        </w:tc>
      </w:tr>
      <w:tr w:rsidR="00117ECA" w:rsidRPr="00194923" w14:paraId="72EDDE8A" w14:textId="77777777" w:rsidTr="000C6365">
        <w:trPr>
          <w:trHeight w:val="20"/>
        </w:trPr>
        <w:tc>
          <w:tcPr>
            <w:tcW w:w="7371" w:type="dxa"/>
          </w:tcPr>
          <w:p w14:paraId="31ADA393" w14:textId="51434E9D" w:rsidR="00117ECA" w:rsidRPr="00194923" w:rsidRDefault="00117ECA" w:rsidP="00451267">
            <w:pPr>
              <w:rPr>
                <w:rFonts w:eastAsia="Calibri"/>
              </w:rPr>
            </w:pPr>
            <w:r w:rsidRPr="00310128">
              <w:rPr>
                <w:rFonts w:eastAsia="Calibri"/>
                <w:b/>
              </w:rPr>
              <w:t>Масса таблетки</w:t>
            </w:r>
            <w:r w:rsidR="000C6365">
              <w:rPr>
                <w:rFonts w:eastAsia="Calibri"/>
                <w:b/>
              </w:rPr>
              <w:t xml:space="preserve"> без оболочки</w:t>
            </w:r>
          </w:p>
        </w:tc>
        <w:tc>
          <w:tcPr>
            <w:tcW w:w="1985" w:type="dxa"/>
            <w:vAlign w:val="center"/>
          </w:tcPr>
          <w:p w14:paraId="6D69123F" w14:textId="4394EE5F" w:rsidR="00117ECA" w:rsidRPr="00194923" w:rsidRDefault="000C6365" w:rsidP="00537BF5">
            <w:pPr>
              <w:jc w:val="center"/>
              <w:rPr>
                <w:rFonts w:eastAsia="Calibri"/>
              </w:rPr>
            </w:pPr>
            <w:r>
              <w:rPr>
                <w:rFonts w:eastAsia="Calibri"/>
                <w:b/>
              </w:rPr>
              <w:t>180,</w:t>
            </w:r>
            <w:r w:rsidR="00117ECA" w:rsidRPr="00310128">
              <w:rPr>
                <w:rFonts w:eastAsia="Calibri"/>
                <w:b/>
              </w:rPr>
              <w:t>0 мг</w:t>
            </w:r>
          </w:p>
        </w:tc>
      </w:tr>
      <w:tr w:rsidR="000C6365" w:rsidRPr="00194923" w14:paraId="13EF3BE2" w14:textId="77777777" w:rsidTr="00537BF5">
        <w:trPr>
          <w:trHeight w:val="20"/>
        </w:trPr>
        <w:tc>
          <w:tcPr>
            <w:tcW w:w="9356" w:type="dxa"/>
            <w:gridSpan w:val="2"/>
          </w:tcPr>
          <w:p w14:paraId="309309E4" w14:textId="1A4A4C8D" w:rsidR="000C6365" w:rsidRDefault="000C6365" w:rsidP="000C6365">
            <w:pPr>
              <w:rPr>
                <w:rFonts w:eastAsia="Calibri"/>
                <w:b/>
              </w:rPr>
            </w:pPr>
            <w:r>
              <w:rPr>
                <w:rFonts w:eastAsia="Calibri"/>
                <w:i/>
              </w:rPr>
              <w:t>Пленочная оболочка</w:t>
            </w:r>
          </w:p>
        </w:tc>
      </w:tr>
      <w:tr w:rsidR="000C6365" w:rsidRPr="00194923" w14:paraId="5B68406F" w14:textId="77777777" w:rsidTr="000C6365">
        <w:trPr>
          <w:trHeight w:val="20"/>
        </w:trPr>
        <w:tc>
          <w:tcPr>
            <w:tcW w:w="7371" w:type="dxa"/>
            <w:vAlign w:val="center"/>
          </w:tcPr>
          <w:p w14:paraId="72C2484E" w14:textId="2FB9A26B" w:rsidR="000C6365" w:rsidRPr="00EF0330" w:rsidRDefault="000C6365" w:rsidP="005517A2">
            <w:pPr>
              <w:ind w:left="742"/>
              <w:rPr>
                <w:color w:val="000000" w:themeColor="text1"/>
              </w:rPr>
            </w:pPr>
            <w:r w:rsidRPr="000C6365">
              <w:rPr>
                <w:color w:val="000000" w:themeColor="text1"/>
              </w:rPr>
              <w:t>Поливиниловый спирт – 40,0 %; титана диоксид – 21,8 %; макрогол 3350* – 20,2 %; тальк – 14,8 %; краситель железа оксид желтый – 2,0 %; краситель железа оксид красный – 1,2 %</w:t>
            </w:r>
          </w:p>
        </w:tc>
        <w:tc>
          <w:tcPr>
            <w:tcW w:w="1985" w:type="dxa"/>
            <w:vAlign w:val="center"/>
          </w:tcPr>
          <w:p w14:paraId="225CC116" w14:textId="06FE16F2" w:rsidR="000C6365" w:rsidRPr="000C6365" w:rsidRDefault="000C6365" w:rsidP="00E34D8C">
            <w:pPr>
              <w:jc w:val="center"/>
              <w:rPr>
                <w:rFonts w:eastAsia="Calibri"/>
                <w:b/>
              </w:rPr>
            </w:pPr>
            <w:r w:rsidRPr="000C6365">
              <w:rPr>
                <w:color w:val="000000" w:themeColor="text1"/>
              </w:rPr>
              <w:t>5,0 мг</w:t>
            </w:r>
          </w:p>
        </w:tc>
      </w:tr>
      <w:tr w:rsidR="000C6365" w:rsidRPr="00194923" w14:paraId="2A7E5F0C" w14:textId="77777777" w:rsidTr="000C6365">
        <w:trPr>
          <w:trHeight w:val="20"/>
        </w:trPr>
        <w:tc>
          <w:tcPr>
            <w:tcW w:w="7371" w:type="dxa"/>
            <w:vAlign w:val="center"/>
          </w:tcPr>
          <w:p w14:paraId="3D194BA6" w14:textId="5CC2F41D" w:rsidR="000C6365" w:rsidRPr="000C6365" w:rsidRDefault="000C6365" w:rsidP="000C6365">
            <w:pPr>
              <w:rPr>
                <w:rFonts w:eastAsia="Calibri"/>
                <w:b/>
              </w:rPr>
            </w:pPr>
            <w:r w:rsidRPr="000C6365">
              <w:rPr>
                <w:b/>
                <w:color w:val="000000"/>
              </w:rPr>
              <w:t>Масса таблетки, покрытой пленочной оболочкой:</w:t>
            </w:r>
          </w:p>
        </w:tc>
        <w:tc>
          <w:tcPr>
            <w:tcW w:w="1985" w:type="dxa"/>
            <w:vAlign w:val="center"/>
          </w:tcPr>
          <w:p w14:paraId="0E77F1A7" w14:textId="3E1BF133" w:rsidR="000C6365" w:rsidRPr="000C6365" w:rsidRDefault="000C6365" w:rsidP="000C6365">
            <w:pPr>
              <w:jc w:val="center"/>
              <w:rPr>
                <w:rFonts w:eastAsia="Calibri"/>
                <w:b/>
              </w:rPr>
            </w:pPr>
            <w:r w:rsidRPr="000C6365">
              <w:rPr>
                <w:b/>
                <w:lang w:eastAsia="ru-RU"/>
              </w:rPr>
              <w:t>185,0 мг</w:t>
            </w:r>
          </w:p>
        </w:tc>
      </w:tr>
      <w:tr w:rsidR="00E34D8C" w:rsidRPr="00194923" w14:paraId="024A0551" w14:textId="77777777" w:rsidTr="00537BF5">
        <w:trPr>
          <w:trHeight w:val="20"/>
        </w:trPr>
        <w:tc>
          <w:tcPr>
            <w:tcW w:w="9356" w:type="dxa"/>
            <w:gridSpan w:val="2"/>
            <w:vAlign w:val="center"/>
          </w:tcPr>
          <w:p w14:paraId="416D6068" w14:textId="77777777" w:rsidR="00E34D8C" w:rsidRPr="00E34D8C" w:rsidRDefault="00E34D8C" w:rsidP="00E34D8C">
            <w:pPr>
              <w:rPr>
                <w:b/>
                <w:sz w:val="20"/>
                <w:szCs w:val="20"/>
                <w:lang w:eastAsia="ru-RU"/>
              </w:rPr>
            </w:pPr>
            <w:r w:rsidRPr="00E34D8C">
              <w:rPr>
                <w:b/>
                <w:sz w:val="20"/>
                <w:szCs w:val="20"/>
                <w:lang w:eastAsia="ru-RU"/>
              </w:rPr>
              <w:t>Примечание:</w:t>
            </w:r>
          </w:p>
          <w:p w14:paraId="30D8A54B" w14:textId="0A09FE41" w:rsidR="00E34D8C" w:rsidRPr="000C6365" w:rsidRDefault="00E34D8C" w:rsidP="00E34D8C">
            <w:pPr>
              <w:rPr>
                <w:b/>
                <w:lang w:eastAsia="ru-RU"/>
              </w:rPr>
            </w:pPr>
            <w:r w:rsidRPr="00E34D8C">
              <w:rPr>
                <w:color w:val="000000" w:themeColor="text1"/>
                <w:sz w:val="20"/>
                <w:szCs w:val="20"/>
              </w:rPr>
              <w:t>*макрогол с молекулярной массой 3350</w:t>
            </w:r>
            <w:r>
              <w:rPr>
                <w:color w:val="000000" w:themeColor="text1"/>
                <w:sz w:val="20"/>
                <w:szCs w:val="20"/>
              </w:rPr>
              <w:t>.</w:t>
            </w:r>
          </w:p>
        </w:tc>
      </w:tr>
    </w:tbl>
    <w:p w14:paraId="2705BB38" w14:textId="1BDB2B38" w:rsidR="00295007" w:rsidRDefault="00295007" w:rsidP="00295007"/>
    <w:p w14:paraId="1B5D29BB" w14:textId="18CBDEF6" w:rsidR="00544FFA" w:rsidRDefault="005A70D0" w:rsidP="0073333B">
      <w:pPr>
        <w:ind w:firstLine="709"/>
        <w:rPr>
          <w:color w:val="000000"/>
        </w:rPr>
      </w:pPr>
      <w:r>
        <w:rPr>
          <w:bCs/>
          <w:lang w:eastAsia="ru-RU"/>
        </w:rPr>
        <w:t xml:space="preserve">Препарат </w:t>
      </w:r>
      <w:r w:rsidRPr="002561BB">
        <w:rPr>
          <w:bCs/>
          <w:lang w:val="en-US" w:eastAsia="ru-RU"/>
        </w:rPr>
        <w:t>D</w:t>
      </w:r>
      <w:r w:rsidRPr="002561BB">
        <w:rPr>
          <w:lang w:val="en-US"/>
        </w:rPr>
        <w:t>T</w:t>
      </w:r>
      <w:r w:rsidRPr="002561BB">
        <w:t>-</w:t>
      </w:r>
      <w:r w:rsidRPr="002561BB">
        <w:rPr>
          <w:lang w:val="en-US"/>
        </w:rPr>
        <w:t>LNG</w:t>
      </w:r>
      <w:r w:rsidRPr="002561BB">
        <w:rPr>
          <w:bCs/>
          <w:lang w:eastAsia="ru-RU"/>
        </w:rPr>
        <w:t xml:space="preserve">, разработанный дочерним подразделением ГК «Р-Фарм», Россия – ООО «Технология лекарств», </w:t>
      </w:r>
      <w:r w:rsidRPr="002561BB">
        <w:rPr>
          <w:color w:val="000000"/>
        </w:rPr>
        <w:t>полностью соответствует по качественному и количественному составу действующего вещества и каче</w:t>
      </w:r>
      <w:r>
        <w:rPr>
          <w:color w:val="000000"/>
        </w:rPr>
        <w:t>ст</w:t>
      </w:r>
      <w:r w:rsidRPr="002561BB">
        <w:rPr>
          <w:color w:val="000000"/>
        </w:rPr>
        <w:t xml:space="preserve">венному составу </w:t>
      </w:r>
      <w:r w:rsidR="0073333B">
        <w:rPr>
          <w:color w:val="000000"/>
        </w:rPr>
        <w:t xml:space="preserve">вспомогательных веществ </w:t>
      </w:r>
      <w:r w:rsidRPr="004F5B1B">
        <w:rPr>
          <w:color w:val="000000"/>
        </w:rPr>
        <w:t xml:space="preserve">референтному препарату линаглиптина </w:t>
      </w:r>
      <w:r w:rsidRPr="004F5B1B">
        <w:t>Тражента</w:t>
      </w:r>
      <w:r w:rsidRPr="004F5B1B">
        <w:rPr>
          <w:vertAlign w:val="superscript"/>
          <w:lang w:eastAsia="ru-RU"/>
        </w:rPr>
        <w:t>®</w:t>
      </w:r>
      <w:r w:rsidRPr="004F5B1B">
        <w:rPr>
          <w:color w:val="000000"/>
        </w:rPr>
        <w:t>,</w:t>
      </w:r>
      <w:r w:rsidR="0073333B">
        <w:rPr>
          <w:color w:val="000000"/>
        </w:rPr>
        <w:t xml:space="preserve"> таблетки, покрытые пленочной оболочкой, 5 мг (</w:t>
      </w:r>
      <w:r w:rsidR="0073333B" w:rsidRPr="004F5B1B">
        <w:rPr>
          <w:rFonts w:eastAsia="Calibri"/>
          <w:bCs/>
        </w:rPr>
        <w:t>Берингер Ингельхайм Интернешнл ГмбХ, Германия</w:t>
      </w:r>
      <w:r w:rsidR="0073333B">
        <w:rPr>
          <w:rFonts w:eastAsia="Calibri"/>
          <w:bCs/>
        </w:rPr>
        <w:t>),</w:t>
      </w:r>
      <w:r w:rsidRPr="004F5B1B">
        <w:rPr>
          <w:color w:val="000000"/>
        </w:rPr>
        <w:t xml:space="preserve"> имея различия в количественном составе </w:t>
      </w:r>
      <w:r w:rsidR="00F57A48" w:rsidRPr="004F5B1B">
        <w:rPr>
          <w:color w:val="000000"/>
        </w:rPr>
        <w:t>вспомогательных</w:t>
      </w:r>
      <w:r w:rsidRPr="004F5B1B">
        <w:rPr>
          <w:color w:val="000000"/>
        </w:rPr>
        <w:t xml:space="preserve"> веществ и в составе пленочной оболочки</w:t>
      </w:r>
      <w:r w:rsidR="00756F8C">
        <w:rPr>
          <w:color w:val="000000"/>
        </w:rPr>
        <w:t xml:space="preserve"> (табл. 2-2).</w:t>
      </w:r>
    </w:p>
    <w:p w14:paraId="65AAB8FA" w14:textId="77777777" w:rsidR="00F32D3D" w:rsidRDefault="00F32D3D" w:rsidP="00F32D3D">
      <w:pPr>
        <w:rPr>
          <w:b/>
        </w:rPr>
      </w:pPr>
    </w:p>
    <w:p w14:paraId="5CECA97A" w14:textId="7C43C0B0" w:rsidR="00F32D3D" w:rsidRDefault="00F32D3D" w:rsidP="00F32D3D">
      <w:pPr>
        <w:rPr>
          <w:color w:val="000000" w:themeColor="text1"/>
        </w:rPr>
      </w:pPr>
      <w:r w:rsidRPr="00BB6CED">
        <w:rPr>
          <w:b/>
        </w:rPr>
        <w:lastRenderedPageBreak/>
        <w:t>Таблица 2-2.</w:t>
      </w:r>
      <w:r w:rsidRPr="00BB6CED">
        <w:t xml:space="preserve"> Сопоставление составов препарата </w:t>
      </w:r>
      <w:r>
        <w:rPr>
          <w:rFonts w:eastAsiaTheme="minorHAnsi"/>
          <w:color w:val="000000" w:themeColor="text1"/>
          <w:lang w:eastAsia="en-US"/>
        </w:rPr>
        <w:t>DT-</w:t>
      </w:r>
      <w:r>
        <w:rPr>
          <w:lang w:val="en-US" w:eastAsia="ru-RU"/>
        </w:rPr>
        <w:t>LNG</w:t>
      </w:r>
      <w:r w:rsidRPr="00F32D3D">
        <w:rPr>
          <w:lang w:eastAsia="ru-RU"/>
        </w:rPr>
        <w:t xml:space="preserve"> </w:t>
      </w:r>
      <w:r w:rsidRPr="00BB6CED">
        <w:rPr>
          <w:rFonts w:eastAsiaTheme="minorHAnsi"/>
          <w:color w:val="000000" w:themeColor="text1"/>
          <w:lang w:eastAsia="en-US"/>
        </w:rPr>
        <w:t xml:space="preserve">(АО «Р-Фарм», Россия) и референтного препарата </w:t>
      </w:r>
      <w:r w:rsidR="00E56258" w:rsidRPr="004F5B1B">
        <w:t>Тражента</w:t>
      </w:r>
      <w:r w:rsidRPr="00F32D3D">
        <w:rPr>
          <w:vertAlign w:val="superscript"/>
          <w:lang w:eastAsia="ru-RU"/>
        </w:rPr>
        <w:t>®</w:t>
      </w:r>
      <w:r w:rsidRPr="009A45DD">
        <w:rPr>
          <w:lang w:eastAsia="ru-RU"/>
        </w:rPr>
        <w:t xml:space="preserve">, </w:t>
      </w:r>
      <w:r w:rsidRPr="009A45DD">
        <w:rPr>
          <w:bCs/>
          <w:lang w:eastAsia="ru-RU"/>
        </w:rPr>
        <w:t xml:space="preserve">таблетки, </w:t>
      </w:r>
      <w:r w:rsidR="00E56258">
        <w:rPr>
          <w:bCs/>
          <w:lang w:eastAsia="ru-RU"/>
        </w:rPr>
        <w:t>покрытые пленочной оболочкой, 5</w:t>
      </w:r>
      <w:r w:rsidRPr="009A45DD">
        <w:rPr>
          <w:bCs/>
          <w:lang w:eastAsia="ru-RU"/>
        </w:rPr>
        <w:t xml:space="preserve"> мг</w:t>
      </w:r>
      <w:r w:rsidRPr="009A45DD">
        <w:rPr>
          <w:rFonts w:eastAsia="Calibri"/>
        </w:rPr>
        <w:t xml:space="preserve"> </w:t>
      </w:r>
      <w:r w:rsidRPr="009A45DD">
        <w:rPr>
          <w:color w:val="000000"/>
        </w:rPr>
        <w:t>(</w:t>
      </w:r>
      <w:r w:rsidR="00E56258" w:rsidRPr="004F5B1B">
        <w:rPr>
          <w:rFonts w:eastAsia="Calibri"/>
          <w:bCs/>
        </w:rPr>
        <w:t>Берингер Ингельхайм Интернешнл ГмбХ, Германия</w:t>
      </w:r>
      <w:r w:rsidRPr="009A45DD">
        <w:rPr>
          <w:color w:val="000000"/>
        </w:rPr>
        <w:t>)</w:t>
      </w:r>
      <w:r>
        <w:rPr>
          <w:bCs/>
          <w:lang w:eastAsia="ru-RU"/>
        </w:rPr>
        <w:t xml:space="preserve"> </w:t>
      </w:r>
      <w:r w:rsidRPr="00BB6CED">
        <w:rPr>
          <w:color w:val="000000" w:themeColor="text1"/>
        </w:rPr>
        <w:t xml:space="preserve">в дозировке </w:t>
      </w:r>
      <w:r>
        <w:rPr>
          <w:color w:val="000000" w:themeColor="text1"/>
        </w:rPr>
        <w:t>5</w:t>
      </w:r>
      <w:r w:rsidRPr="00BB6CED">
        <w:rPr>
          <w:color w:val="000000" w:themeColor="text1"/>
        </w:rPr>
        <w:t xml:space="preserve"> мг.</w:t>
      </w:r>
    </w:p>
    <w:tbl>
      <w:tblPr>
        <w:tblW w:w="9356" w:type="dxa"/>
        <w:tblInd w:w="-5" w:type="dxa"/>
        <w:tblLayout w:type="fixed"/>
        <w:tblLook w:val="01E0" w:firstRow="1" w:lastRow="1" w:firstColumn="1" w:lastColumn="1" w:noHBand="0" w:noVBand="0"/>
      </w:tblPr>
      <w:tblGrid>
        <w:gridCol w:w="6237"/>
        <w:gridCol w:w="1560"/>
        <w:gridCol w:w="1559"/>
      </w:tblGrid>
      <w:tr w:rsidR="007E4F51" w:rsidRPr="00BB6CED" w14:paraId="62EFC0FF" w14:textId="77777777" w:rsidTr="005517A2">
        <w:trPr>
          <w:trHeight w:val="164"/>
          <w:tblHeader/>
        </w:trPr>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AC0847" w14:textId="77777777" w:rsidR="007E4F51" w:rsidRPr="00C3458E" w:rsidRDefault="007E4F51" w:rsidP="00537BF5">
            <w:pPr>
              <w:jc w:val="center"/>
              <w:rPr>
                <w:b/>
                <w:iCs/>
                <w:lang w:eastAsia="en-US"/>
              </w:rPr>
            </w:pPr>
            <w:r>
              <w:rPr>
                <w:b/>
                <w:iCs/>
                <w:lang w:eastAsia="en-US"/>
              </w:rPr>
              <w:t>Компонент</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C670A5" w14:textId="06EBBF90" w:rsidR="007E4F51" w:rsidRPr="007E4F51" w:rsidRDefault="007E4F51" w:rsidP="007E4F51">
            <w:pPr>
              <w:jc w:val="center"/>
              <w:rPr>
                <w:b/>
                <w:lang w:val="en-US"/>
              </w:rPr>
            </w:pPr>
            <w:r w:rsidRPr="009776D4">
              <w:rPr>
                <w:rFonts w:eastAsiaTheme="minorHAnsi"/>
                <w:b/>
                <w:color w:val="000000" w:themeColor="text1"/>
                <w:lang w:val="en-US" w:eastAsia="en-US"/>
              </w:rPr>
              <w:t>DT-</w:t>
            </w:r>
            <w:r>
              <w:rPr>
                <w:b/>
                <w:lang w:val="en-US" w:eastAsia="ru-RU"/>
              </w:rPr>
              <w:t>LNG</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C5684" w14:textId="72A7D3BA" w:rsidR="007E4F51" w:rsidRPr="009776D4" w:rsidRDefault="007E4F51" w:rsidP="00537BF5">
            <w:pPr>
              <w:jc w:val="center"/>
              <w:rPr>
                <w:b/>
              </w:rPr>
            </w:pPr>
            <w:r>
              <w:rPr>
                <w:b/>
                <w:lang w:eastAsia="ru-RU"/>
              </w:rPr>
              <w:t>Тражента</w:t>
            </w:r>
            <w:r w:rsidRPr="009776D4">
              <w:rPr>
                <w:b/>
                <w:color w:val="000000" w:themeColor="text1"/>
                <w:vertAlign w:val="superscript"/>
              </w:rPr>
              <w:t xml:space="preserve"> ®</w:t>
            </w:r>
          </w:p>
        </w:tc>
      </w:tr>
      <w:tr w:rsidR="00345566" w:rsidRPr="00895AFA" w14:paraId="2BDAEBC6" w14:textId="77777777" w:rsidTr="00537BF5">
        <w:trPr>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7F6F3A" w14:textId="1E2B3E40" w:rsidR="00345566" w:rsidRPr="00895AFA" w:rsidRDefault="00345566" w:rsidP="00345566">
            <w:r w:rsidRPr="00C3458E">
              <w:rPr>
                <w:i/>
                <w:iCs/>
                <w:lang w:eastAsia="en-US"/>
              </w:rPr>
              <w:t>Действующее вещество:</w:t>
            </w:r>
          </w:p>
        </w:tc>
      </w:tr>
      <w:tr w:rsidR="007E4F51" w14:paraId="49C3CB35" w14:textId="77777777" w:rsidTr="005517A2">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0893D8DC" w14:textId="0F760FAC" w:rsidR="007E4F51" w:rsidRPr="00895AFA" w:rsidRDefault="007E4F51" w:rsidP="00537BF5">
            <w:pPr>
              <w:ind w:left="567"/>
              <w:jc w:val="left"/>
              <w:rPr>
                <w:iCs/>
                <w:lang w:eastAsia="en-US"/>
              </w:rPr>
            </w:pPr>
            <w:r>
              <w:rPr>
                <w:rFonts w:eastAsia="Calibri"/>
              </w:rPr>
              <w:t>Линаглиптин</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AF31FCD" w14:textId="2A36CF2E" w:rsidR="007E4F51" w:rsidRPr="00895AFA" w:rsidRDefault="007E4F51" w:rsidP="00537BF5">
            <w:pPr>
              <w:jc w:val="center"/>
            </w:pPr>
            <w:r>
              <w:t>5</w:t>
            </w:r>
            <w:r w:rsidR="00345566">
              <w:t>,</w:t>
            </w:r>
            <w:r>
              <w:t>0</w:t>
            </w:r>
            <w:r w:rsidRPr="00895AFA">
              <w:t xml:space="preserve"> мг</w:t>
            </w:r>
          </w:p>
        </w:tc>
        <w:tc>
          <w:tcPr>
            <w:tcW w:w="1559" w:type="dxa"/>
            <w:tcBorders>
              <w:top w:val="single" w:sz="4" w:space="0" w:color="auto"/>
              <w:left w:val="single" w:sz="4" w:space="0" w:color="auto"/>
              <w:bottom w:val="single" w:sz="4" w:space="0" w:color="auto"/>
              <w:right w:val="single" w:sz="4" w:space="0" w:color="auto"/>
            </w:tcBorders>
            <w:vAlign w:val="center"/>
          </w:tcPr>
          <w:p w14:paraId="4C17D7EF" w14:textId="63830F25" w:rsidR="007E4F51" w:rsidRDefault="007E4F51" w:rsidP="00537BF5">
            <w:pPr>
              <w:jc w:val="center"/>
            </w:pPr>
            <w:r>
              <w:t>5</w:t>
            </w:r>
            <w:r w:rsidR="00345566">
              <w:t>,</w:t>
            </w:r>
            <w:r>
              <w:t>0</w:t>
            </w:r>
            <w:r w:rsidRPr="00895AFA">
              <w:t>мг</w:t>
            </w:r>
          </w:p>
        </w:tc>
      </w:tr>
      <w:tr w:rsidR="00345566" w:rsidRPr="00895AFA" w14:paraId="027135BE" w14:textId="77777777" w:rsidTr="00537BF5">
        <w:trPr>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9A1701" w14:textId="6F139C77" w:rsidR="00345566" w:rsidRPr="00895AFA" w:rsidRDefault="00345566" w:rsidP="00345566">
            <w:r w:rsidRPr="00C3458E">
              <w:rPr>
                <w:i/>
                <w:iCs/>
                <w:lang w:eastAsia="en-US"/>
              </w:rPr>
              <w:t>Вспомогательные вещества:</w:t>
            </w:r>
          </w:p>
        </w:tc>
      </w:tr>
      <w:tr w:rsidR="00FD7514" w14:paraId="2C5F83F4" w14:textId="77777777" w:rsidTr="005517A2">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4C276C3A" w14:textId="160FEAC0" w:rsidR="00FD7514" w:rsidRPr="00895AFA" w:rsidRDefault="00FD7514" w:rsidP="00FD7514">
            <w:pPr>
              <w:ind w:left="567"/>
              <w:jc w:val="left"/>
              <w:rPr>
                <w:iCs/>
                <w:lang w:eastAsia="en-US"/>
              </w:rPr>
            </w:pPr>
            <w:r>
              <w:t>Маннитол</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F6FBB60" w14:textId="4C990C7F" w:rsidR="00FD7514" w:rsidRPr="00895AFA" w:rsidRDefault="00FD7514" w:rsidP="00FD7514">
            <w:pPr>
              <w:jc w:val="center"/>
            </w:pPr>
            <w:r w:rsidRPr="00693C26">
              <w:rPr>
                <w:color w:val="000000" w:themeColor="text1"/>
              </w:rPr>
              <w:t>144,4 мг</w:t>
            </w:r>
          </w:p>
        </w:tc>
        <w:tc>
          <w:tcPr>
            <w:tcW w:w="1559" w:type="dxa"/>
            <w:tcBorders>
              <w:top w:val="single" w:sz="4" w:space="0" w:color="auto"/>
              <w:left w:val="single" w:sz="4" w:space="0" w:color="auto"/>
              <w:bottom w:val="single" w:sz="4" w:space="0" w:color="auto"/>
              <w:right w:val="single" w:sz="4" w:space="0" w:color="auto"/>
            </w:tcBorders>
            <w:vAlign w:val="center"/>
          </w:tcPr>
          <w:p w14:paraId="1C74153D" w14:textId="6CD70036" w:rsidR="00FD7514" w:rsidRDefault="00082AFE" w:rsidP="00FD7514">
            <w:pPr>
              <w:jc w:val="center"/>
            </w:pPr>
            <w:r>
              <w:rPr>
                <w:rFonts w:eastAsia="Calibri"/>
              </w:rPr>
              <w:t>130,9</w:t>
            </w:r>
            <w:r w:rsidR="00FD7514">
              <w:rPr>
                <w:rFonts w:eastAsia="Calibri"/>
              </w:rPr>
              <w:t xml:space="preserve"> мг</w:t>
            </w:r>
          </w:p>
        </w:tc>
      </w:tr>
      <w:tr w:rsidR="00FD7514" w14:paraId="5A8E697D" w14:textId="77777777" w:rsidTr="005517A2">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6755E35B" w14:textId="4783EDDF" w:rsidR="00FD7514" w:rsidRPr="001C6A4E" w:rsidRDefault="00FD7514" w:rsidP="00FD7514">
            <w:pPr>
              <w:ind w:left="567"/>
              <w:jc w:val="left"/>
              <w:rPr>
                <w:iCs/>
                <w:lang w:val="en-US" w:eastAsia="en-US"/>
              </w:rPr>
            </w:pPr>
            <w:r>
              <w:t>Коповидон</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5001158" w14:textId="38858729" w:rsidR="00FD7514" w:rsidRPr="00895AFA" w:rsidRDefault="00FD7514" w:rsidP="00FD7514">
            <w:pPr>
              <w:jc w:val="center"/>
            </w:pPr>
            <w:r w:rsidRPr="00693C26">
              <w:rPr>
                <w:color w:val="000000" w:themeColor="text1"/>
              </w:rPr>
              <w:t>10,8 мг</w:t>
            </w:r>
          </w:p>
        </w:tc>
        <w:tc>
          <w:tcPr>
            <w:tcW w:w="1559" w:type="dxa"/>
            <w:tcBorders>
              <w:top w:val="single" w:sz="4" w:space="0" w:color="auto"/>
              <w:left w:val="single" w:sz="4" w:space="0" w:color="auto"/>
              <w:bottom w:val="single" w:sz="4" w:space="0" w:color="auto"/>
              <w:right w:val="single" w:sz="4" w:space="0" w:color="auto"/>
            </w:tcBorders>
            <w:vAlign w:val="center"/>
          </w:tcPr>
          <w:p w14:paraId="4EA63D67" w14:textId="1FD39240" w:rsidR="00FD7514" w:rsidRDefault="00082AFE" w:rsidP="00FD7514">
            <w:pPr>
              <w:jc w:val="center"/>
            </w:pPr>
            <w:r>
              <w:rPr>
                <w:rFonts w:eastAsia="Calibri"/>
              </w:rPr>
              <w:t>5,4</w:t>
            </w:r>
            <w:r w:rsidR="00FD7514">
              <w:rPr>
                <w:rFonts w:eastAsia="Calibri"/>
              </w:rPr>
              <w:t xml:space="preserve"> мг</w:t>
            </w:r>
          </w:p>
        </w:tc>
      </w:tr>
      <w:tr w:rsidR="00FD7514" w14:paraId="7055B668" w14:textId="77777777" w:rsidTr="005517A2">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2471CEC8" w14:textId="71A13ED4" w:rsidR="00FD7514" w:rsidRPr="001C6A4E" w:rsidRDefault="00FD7514" w:rsidP="00FD7514">
            <w:pPr>
              <w:ind w:left="567"/>
              <w:jc w:val="left"/>
              <w:rPr>
                <w:iCs/>
                <w:vertAlign w:val="superscript"/>
                <w:lang w:eastAsia="en-US"/>
              </w:rPr>
            </w:pPr>
            <w:r w:rsidRPr="00693C26">
              <w:t xml:space="preserve">Крахмал кукурузный </w:t>
            </w:r>
            <w:r w:rsidRPr="00693C26">
              <w:rPr>
                <w:color w:val="000000" w:themeColor="text1"/>
              </w:rPr>
              <w:t>прежелатинизированный</w:t>
            </w:r>
            <w:r w:rsidRPr="00693C26">
              <w:t xml:space="preserve">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D16977D" w14:textId="21671294" w:rsidR="00FD7514" w:rsidRPr="00895AFA" w:rsidRDefault="00FD7514" w:rsidP="00FD7514">
            <w:pPr>
              <w:jc w:val="center"/>
            </w:pPr>
            <w:r w:rsidRPr="00693C26">
              <w:rPr>
                <w:color w:val="000000" w:themeColor="text1"/>
              </w:rPr>
              <w:t>9,0 мг</w:t>
            </w:r>
          </w:p>
        </w:tc>
        <w:tc>
          <w:tcPr>
            <w:tcW w:w="1559" w:type="dxa"/>
            <w:tcBorders>
              <w:top w:val="single" w:sz="4" w:space="0" w:color="auto"/>
              <w:left w:val="single" w:sz="4" w:space="0" w:color="auto"/>
              <w:bottom w:val="single" w:sz="4" w:space="0" w:color="auto"/>
              <w:right w:val="single" w:sz="4" w:space="0" w:color="auto"/>
            </w:tcBorders>
            <w:vAlign w:val="center"/>
          </w:tcPr>
          <w:p w14:paraId="26BE5F2B" w14:textId="05BAE473" w:rsidR="00FD7514" w:rsidRDefault="00082AFE" w:rsidP="00FD7514">
            <w:pPr>
              <w:jc w:val="center"/>
            </w:pPr>
            <w:r>
              <w:rPr>
                <w:rFonts w:eastAsia="Calibri"/>
              </w:rPr>
              <w:t>18,0</w:t>
            </w:r>
            <w:r w:rsidR="00FD7514">
              <w:rPr>
                <w:rFonts w:eastAsia="Calibri"/>
              </w:rPr>
              <w:t xml:space="preserve"> мг</w:t>
            </w:r>
          </w:p>
        </w:tc>
      </w:tr>
      <w:tr w:rsidR="00FD7514" w14:paraId="6B3A8AF2" w14:textId="77777777" w:rsidTr="005517A2">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59CD04DD" w14:textId="0A4084A5" w:rsidR="00FD7514" w:rsidRPr="00194923" w:rsidRDefault="00FD7514" w:rsidP="00FD7514">
            <w:pPr>
              <w:ind w:left="567"/>
              <w:jc w:val="left"/>
              <w:rPr>
                <w:rFonts w:eastAsia="Calibri"/>
              </w:rPr>
            </w:pPr>
            <w:r w:rsidRPr="00693C26">
              <w:t xml:space="preserve">Крахмал кукурузный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9408168" w14:textId="682D6F5A" w:rsidR="00FD7514" w:rsidRDefault="00FD7514" w:rsidP="00FD7514">
            <w:pPr>
              <w:jc w:val="center"/>
              <w:rPr>
                <w:rFonts w:eastAsia="Calibri"/>
              </w:rPr>
            </w:pPr>
            <w:r w:rsidRPr="00693C26">
              <w:rPr>
                <w:color w:val="000000" w:themeColor="text1"/>
              </w:rPr>
              <w:t>9,0 мг</w:t>
            </w:r>
          </w:p>
        </w:tc>
        <w:tc>
          <w:tcPr>
            <w:tcW w:w="1559" w:type="dxa"/>
            <w:tcBorders>
              <w:top w:val="single" w:sz="4" w:space="0" w:color="auto"/>
              <w:left w:val="single" w:sz="4" w:space="0" w:color="auto"/>
              <w:bottom w:val="single" w:sz="4" w:space="0" w:color="auto"/>
              <w:right w:val="single" w:sz="4" w:space="0" w:color="auto"/>
            </w:tcBorders>
            <w:vAlign w:val="center"/>
          </w:tcPr>
          <w:p w14:paraId="2AB13492" w14:textId="740BDDCB" w:rsidR="00FD7514" w:rsidRDefault="00082AFE" w:rsidP="00FD7514">
            <w:pPr>
              <w:jc w:val="center"/>
              <w:rPr>
                <w:rFonts w:eastAsia="Calibri"/>
              </w:rPr>
            </w:pPr>
            <w:r>
              <w:rPr>
                <w:rFonts w:eastAsia="Calibri"/>
              </w:rPr>
              <w:t>18,0 мг</w:t>
            </w:r>
          </w:p>
        </w:tc>
      </w:tr>
      <w:tr w:rsidR="00FD7514" w14:paraId="14CBB37B" w14:textId="77777777" w:rsidTr="005517A2">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2343A00E" w14:textId="075FF88D" w:rsidR="00FD7514" w:rsidRPr="00194923" w:rsidRDefault="00FD7514" w:rsidP="00FD7514">
            <w:pPr>
              <w:ind w:left="567"/>
              <w:jc w:val="left"/>
              <w:rPr>
                <w:rFonts w:eastAsia="Calibri"/>
              </w:rPr>
            </w:pPr>
            <w:r w:rsidRPr="00693C26">
              <w:t xml:space="preserve">Магния стеарат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45FFEB1" w14:textId="2B4F5EB0" w:rsidR="00FD7514" w:rsidRDefault="00FD7514" w:rsidP="00FD7514">
            <w:pPr>
              <w:jc w:val="center"/>
              <w:rPr>
                <w:rFonts w:eastAsia="Calibri"/>
              </w:rPr>
            </w:pPr>
            <w:r w:rsidRPr="00693C26">
              <w:rPr>
                <w:color w:val="000000" w:themeColor="text1"/>
              </w:rPr>
              <w:t>1,8 мг</w:t>
            </w:r>
          </w:p>
        </w:tc>
        <w:tc>
          <w:tcPr>
            <w:tcW w:w="1559" w:type="dxa"/>
            <w:tcBorders>
              <w:top w:val="single" w:sz="4" w:space="0" w:color="auto"/>
              <w:left w:val="single" w:sz="4" w:space="0" w:color="auto"/>
              <w:bottom w:val="single" w:sz="4" w:space="0" w:color="auto"/>
              <w:right w:val="single" w:sz="4" w:space="0" w:color="auto"/>
            </w:tcBorders>
            <w:vAlign w:val="center"/>
          </w:tcPr>
          <w:p w14:paraId="21BAC2B1" w14:textId="53BEF819" w:rsidR="00FD7514" w:rsidRDefault="00FD7514" w:rsidP="00EF0330">
            <w:pPr>
              <w:jc w:val="center"/>
              <w:rPr>
                <w:rFonts w:eastAsia="Calibri"/>
              </w:rPr>
            </w:pPr>
            <w:r>
              <w:rPr>
                <w:rFonts w:eastAsia="Calibri"/>
              </w:rPr>
              <w:t>2,</w:t>
            </w:r>
            <w:r w:rsidR="00EF0330">
              <w:rPr>
                <w:rFonts w:eastAsia="Calibri"/>
              </w:rPr>
              <w:t>7</w:t>
            </w:r>
            <w:r>
              <w:rPr>
                <w:rFonts w:eastAsia="Calibri"/>
              </w:rPr>
              <w:t xml:space="preserve"> мг</w:t>
            </w:r>
          </w:p>
        </w:tc>
      </w:tr>
      <w:tr w:rsidR="007E4F51" w14:paraId="79D3C7AF" w14:textId="77777777" w:rsidTr="005517A2">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65B12B7B" w14:textId="6280B246" w:rsidR="007E4F51" w:rsidRPr="00C3458E" w:rsidRDefault="00345566" w:rsidP="00537BF5">
            <w:pPr>
              <w:rPr>
                <w:b/>
                <w:iCs/>
                <w:lang w:eastAsia="en-US"/>
              </w:rPr>
            </w:pPr>
            <w:r w:rsidRPr="00310128">
              <w:rPr>
                <w:rFonts w:eastAsia="Calibri"/>
                <w:b/>
              </w:rPr>
              <w:t>Масса таблетки</w:t>
            </w:r>
            <w:r>
              <w:rPr>
                <w:rFonts w:eastAsia="Calibri"/>
                <w:b/>
              </w:rPr>
              <w:t xml:space="preserve"> без оболочки</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8DDF78E" w14:textId="2D36E266" w:rsidR="007E4F51" w:rsidRPr="00C3458E" w:rsidRDefault="00FD7514" w:rsidP="00537BF5">
            <w:pPr>
              <w:jc w:val="center"/>
              <w:rPr>
                <w:b/>
              </w:rPr>
            </w:pPr>
            <w:r>
              <w:rPr>
                <w:b/>
              </w:rPr>
              <w:t>18</w:t>
            </w:r>
            <w:r w:rsidR="007E4F51" w:rsidRPr="00C751F3">
              <w:rPr>
                <w:b/>
              </w:rPr>
              <w:t>0,00 мг</w:t>
            </w:r>
          </w:p>
        </w:tc>
        <w:tc>
          <w:tcPr>
            <w:tcW w:w="1559" w:type="dxa"/>
            <w:tcBorders>
              <w:top w:val="single" w:sz="4" w:space="0" w:color="auto"/>
              <w:left w:val="single" w:sz="4" w:space="0" w:color="auto"/>
              <w:bottom w:val="single" w:sz="4" w:space="0" w:color="auto"/>
              <w:right w:val="single" w:sz="4" w:space="0" w:color="auto"/>
            </w:tcBorders>
            <w:vAlign w:val="center"/>
          </w:tcPr>
          <w:p w14:paraId="566EF5AD" w14:textId="57492377" w:rsidR="007E4F51" w:rsidRDefault="00FD7514" w:rsidP="00537BF5">
            <w:pPr>
              <w:jc w:val="center"/>
              <w:rPr>
                <w:b/>
              </w:rPr>
            </w:pPr>
            <w:r>
              <w:rPr>
                <w:b/>
              </w:rPr>
              <w:t>18</w:t>
            </w:r>
            <w:r w:rsidR="007E4F51">
              <w:rPr>
                <w:b/>
              </w:rPr>
              <w:t>0,00</w:t>
            </w:r>
            <w:r w:rsidR="007E4F51" w:rsidRPr="00C3458E">
              <w:rPr>
                <w:b/>
              </w:rPr>
              <w:t xml:space="preserve"> мг</w:t>
            </w:r>
          </w:p>
        </w:tc>
      </w:tr>
      <w:tr w:rsidR="00082AFE" w14:paraId="51FF69F9" w14:textId="77777777" w:rsidTr="00537BF5">
        <w:trPr>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0D298A" w14:textId="36387AF0" w:rsidR="00082AFE" w:rsidRDefault="00082AFE" w:rsidP="00082AFE">
            <w:pPr>
              <w:rPr>
                <w:b/>
              </w:rPr>
            </w:pPr>
            <w:r>
              <w:rPr>
                <w:rFonts w:eastAsia="Calibri"/>
                <w:i/>
              </w:rPr>
              <w:t>Пленочная оболочка</w:t>
            </w:r>
          </w:p>
        </w:tc>
      </w:tr>
      <w:tr w:rsidR="00082AFE" w14:paraId="626BCB32" w14:textId="77777777" w:rsidTr="005517A2">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57900C4B" w14:textId="7302631B" w:rsidR="00082AFE" w:rsidRPr="00EF0330" w:rsidRDefault="00082AFE" w:rsidP="005517A2">
            <w:pPr>
              <w:ind w:left="600"/>
              <w:rPr>
                <w:color w:val="000000" w:themeColor="text1"/>
              </w:rPr>
            </w:pPr>
            <w:r w:rsidRPr="000C6365">
              <w:rPr>
                <w:color w:val="000000" w:themeColor="text1"/>
              </w:rPr>
              <w:t>Поливиниловый спирт – 40,0 %; титана диоксид – 21,8 %; макрогол 3350* – 20,2 %; тальк – 14,8 %; краситель железа оксид желтый – 2,0 %; краситель железа оксид красный – 1,2 %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C3479E7" w14:textId="482D6FAE" w:rsidR="00082AFE" w:rsidRPr="00C751F3" w:rsidRDefault="00082AFE" w:rsidP="00082AFE">
            <w:pPr>
              <w:jc w:val="center"/>
              <w:rPr>
                <w:b/>
              </w:rPr>
            </w:pPr>
            <w:r w:rsidRPr="000C6365">
              <w:rPr>
                <w:color w:val="000000" w:themeColor="text1"/>
              </w:rPr>
              <w:t>5,0 мг</w:t>
            </w:r>
          </w:p>
        </w:tc>
        <w:tc>
          <w:tcPr>
            <w:tcW w:w="1559" w:type="dxa"/>
            <w:tcBorders>
              <w:top w:val="single" w:sz="4" w:space="0" w:color="auto"/>
              <w:left w:val="single" w:sz="4" w:space="0" w:color="auto"/>
              <w:bottom w:val="single" w:sz="4" w:space="0" w:color="auto"/>
              <w:right w:val="single" w:sz="4" w:space="0" w:color="auto"/>
            </w:tcBorders>
            <w:vAlign w:val="center"/>
          </w:tcPr>
          <w:p w14:paraId="143578E6" w14:textId="4167F5D6" w:rsidR="00082AFE" w:rsidRDefault="00082AFE" w:rsidP="00082AFE">
            <w:pPr>
              <w:jc w:val="center"/>
              <w:rPr>
                <w:b/>
              </w:rPr>
            </w:pPr>
            <w:r>
              <w:rPr>
                <w:b/>
              </w:rPr>
              <w:t>-</w:t>
            </w:r>
          </w:p>
        </w:tc>
      </w:tr>
      <w:tr w:rsidR="00345566" w14:paraId="0DE44C40" w14:textId="77777777" w:rsidTr="005517A2">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1EB27B96" w14:textId="4AF5EF6C" w:rsidR="00345566" w:rsidRPr="00EF0330" w:rsidRDefault="00EF0330" w:rsidP="005517A2">
            <w:pPr>
              <w:ind w:left="600" w:right="-57"/>
              <w:rPr>
                <w:rFonts w:eastAsia="Times New Roman"/>
                <w:lang w:eastAsia="ru-RU"/>
              </w:rPr>
            </w:pPr>
            <w:r w:rsidRPr="00EF0330">
              <w:rPr>
                <w:rFonts w:eastAsia="Times New Roman"/>
                <w:lang w:eastAsia="ru-RU"/>
              </w:rPr>
              <w:t>Опадрай розовый (02</w:t>
            </w:r>
            <w:r w:rsidRPr="00EF0330">
              <w:rPr>
                <w:rFonts w:eastAsia="Times New Roman"/>
                <w:lang w:val="en-US" w:eastAsia="ru-RU"/>
              </w:rPr>
              <w:t>F</w:t>
            </w:r>
            <w:r w:rsidRPr="00EF0330">
              <w:rPr>
                <w:rFonts w:eastAsia="Times New Roman"/>
                <w:lang w:eastAsia="ru-RU"/>
              </w:rPr>
              <w:t>34337)</w:t>
            </w:r>
            <w:r>
              <w:rPr>
                <w:rFonts w:eastAsia="Times New Roman"/>
                <w:lang w:eastAsia="ru-RU"/>
              </w:rPr>
              <w:t xml:space="preserve"> </w:t>
            </w:r>
            <w:r w:rsidRPr="00EF0330">
              <w:rPr>
                <w:rFonts w:eastAsia="Times New Roman"/>
                <w:lang w:eastAsia="ru-RU"/>
              </w:rPr>
              <w:t>[гипромелоза 2910 – 2,5 мг, титана диоксид (Е171) – 1,25 мг, тальк – 0,875 мг, макрогол 6000 – 0,25 мг, краситель железа оксид красный (Е172) – 0,125]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03BF3D2" w14:textId="0553F142" w:rsidR="00345566" w:rsidRPr="00C751F3" w:rsidRDefault="00EF0330" w:rsidP="00EF0330">
            <w:pPr>
              <w:jc w:val="center"/>
              <w:rPr>
                <w:b/>
              </w:rPr>
            </w:pPr>
            <w:r>
              <w:rPr>
                <w:b/>
              </w:rPr>
              <w:t>-</w:t>
            </w:r>
          </w:p>
        </w:tc>
        <w:tc>
          <w:tcPr>
            <w:tcW w:w="1559" w:type="dxa"/>
            <w:tcBorders>
              <w:top w:val="single" w:sz="4" w:space="0" w:color="auto"/>
              <w:left w:val="single" w:sz="4" w:space="0" w:color="auto"/>
              <w:bottom w:val="single" w:sz="4" w:space="0" w:color="auto"/>
              <w:right w:val="single" w:sz="4" w:space="0" w:color="auto"/>
            </w:tcBorders>
            <w:vAlign w:val="center"/>
          </w:tcPr>
          <w:p w14:paraId="5705A052" w14:textId="03863E5B" w:rsidR="00345566" w:rsidRDefault="00EF0330" w:rsidP="00EF0330">
            <w:pPr>
              <w:jc w:val="center"/>
              <w:rPr>
                <w:b/>
              </w:rPr>
            </w:pPr>
            <w:r w:rsidRPr="000C6365">
              <w:rPr>
                <w:color w:val="000000" w:themeColor="text1"/>
              </w:rPr>
              <w:t>5,0 мг</w:t>
            </w:r>
          </w:p>
        </w:tc>
      </w:tr>
      <w:tr w:rsidR="00345566" w14:paraId="43B0B947" w14:textId="77777777" w:rsidTr="005517A2">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5FD423FC" w14:textId="722387AF" w:rsidR="00345566" w:rsidRPr="00C3458E" w:rsidRDefault="00345566" w:rsidP="00345566">
            <w:pPr>
              <w:rPr>
                <w:b/>
                <w:iCs/>
                <w:lang w:eastAsia="en-US"/>
              </w:rPr>
            </w:pPr>
            <w:r w:rsidRPr="000C6365">
              <w:rPr>
                <w:b/>
                <w:color w:val="000000"/>
              </w:rPr>
              <w:t>Масса таблетки, покрытой пленочной оболочкой:</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8757581" w14:textId="58194513" w:rsidR="00345566" w:rsidRPr="00C751F3" w:rsidRDefault="00345566" w:rsidP="00345566">
            <w:pPr>
              <w:jc w:val="center"/>
              <w:rPr>
                <w:b/>
              </w:rPr>
            </w:pPr>
            <w:r w:rsidRPr="000C6365">
              <w:rPr>
                <w:b/>
                <w:lang w:eastAsia="ru-RU"/>
              </w:rPr>
              <w:t>185,0 мг</w:t>
            </w:r>
          </w:p>
        </w:tc>
        <w:tc>
          <w:tcPr>
            <w:tcW w:w="1559" w:type="dxa"/>
            <w:tcBorders>
              <w:top w:val="single" w:sz="4" w:space="0" w:color="auto"/>
              <w:left w:val="single" w:sz="4" w:space="0" w:color="auto"/>
              <w:bottom w:val="single" w:sz="4" w:space="0" w:color="auto"/>
              <w:right w:val="single" w:sz="4" w:space="0" w:color="auto"/>
            </w:tcBorders>
            <w:vAlign w:val="center"/>
          </w:tcPr>
          <w:p w14:paraId="7D29B279" w14:textId="64934213" w:rsidR="00345566" w:rsidRDefault="00345566" w:rsidP="00345566">
            <w:pPr>
              <w:jc w:val="center"/>
              <w:rPr>
                <w:b/>
              </w:rPr>
            </w:pPr>
            <w:r w:rsidRPr="000C6365">
              <w:rPr>
                <w:b/>
                <w:lang w:eastAsia="ru-RU"/>
              </w:rPr>
              <w:t>185,0 мг</w:t>
            </w:r>
          </w:p>
        </w:tc>
      </w:tr>
      <w:tr w:rsidR="007E4F51" w:rsidRPr="00D13688" w14:paraId="761EF92A" w14:textId="77777777" w:rsidTr="00823F8C">
        <w:trPr>
          <w:trHeight w:val="387"/>
        </w:trPr>
        <w:tc>
          <w:tcPr>
            <w:tcW w:w="9356" w:type="dxa"/>
            <w:gridSpan w:val="3"/>
            <w:tcBorders>
              <w:top w:val="single" w:sz="4" w:space="0" w:color="auto"/>
              <w:left w:val="single" w:sz="4" w:space="0" w:color="auto"/>
              <w:bottom w:val="single" w:sz="4" w:space="0" w:color="auto"/>
              <w:right w:val="single" w:sz="4" w:space="0" w:color="auto"/>
            </w:tcBorders>
            <w:shd w:val="clear" w:color="auto" w:fill="auto"/>
          </w:tcPr>
          <w:p w14:paraId="4CA07C9C" w14:textId="77777777" w:rsidR="007E4F51" w:rsidRPr="00BB6CED" w:rsidRDefault="007E4F51" w:rsidP="00537BF5">
            <w:pPr>
              <w:rPr>
                <w:b/>
                <w:sz w:val="20"/>
                <w:szCs w:val="20"/>
              </w:rPr>
            </w:pPr>
            <w:r w:rsidRPr="00BB6CED">
              <w:rPr>
                <w:b/>
                <w:sz w:val="20"/>
                <w:szCs w:val="20"/>
              </w:rPr>
              <w:t>Примечание:</w:t>
            </w:r>
          </w:p>
          <w:p w14:paraId="016761C8" w14:textId="41AE87F7" w:rsidR="007E4F51" w:rsidRPr="009776D4" w:rsidRDefault="00082AFE" w:rsidP="00537BF5">
            <w:pPr>
              <w:rPr>
                <w:sz w:val="20"/>
                <w:szCs w:val="20"/>
              </w:rPr>
            </w:pPr>
            <w:r w:rsidRPr="00E34D8C">
              <w:rPr>
                <w:color w:val="000000" w:themeColor="text1"/>
                <w:sz w:val="20"/>
                <w:szCs w:val="20"/>
              </w:rPr>
              <w:t>*макрогол с молекулярной массой 3350</w:t>
            </w:r>
            <w:r>
              <w:rPr>
                <w:color w:val="000000" w:themeColor="text1"/>
                <w:sz w:val="20"/>
                <w:szCs w:val="20"/>
              </w:rPr>
              <w:t>.</w:t>
            </w:r>
          </w:p>
        </w:tc>
      </w:tr>
    </w:tbl>
    <w:p w14:paraId="77BABEC2" w14:textId="03854CAB" w:rsidR="00F32D3D" w:rsidRDefault="00F32D3D" w:rsidP="007E4F51">
      <w:pPr>
        <w:rPr>
          <w:color w:val="000000"/>
        </w:rPr>
      </w:pPr>
    </w:p>
    <w:p w14:paraId="4D55531E" w14:textId="286B487A" w:rsidR="00FD7514" w:rsidRDefault="00FD7514" w:rsidP="00FD7514">
      <w:pPr>
        <w:ind w:firstLine="709"/>
        <w:rPr>
          <w:color w:val="000000" w:themeColor="text1"/>
        </w:rPr>
      </w:pPr>
      <w:r>
        <w:rPr>
          <w:color w:val="000000" w:themeColor="text1"/>
        </w:rPr>
        <w:t xml:space="preserve">Линаглиптин относится к </w:t>
      </w:r>
      <w:r>
        <w:rPr>
          <w:color w:val="000000" w:themeColor="text1"/>
          <w:lang w:val="en-US"/>
        </w:rPr>
        <w:t>III</w:t>
      </w:r>
      <w:r>
        <w:rPr>
          <w:color w:val="000000" w:themeColor="text1"/>
        </w:rPr>
        <w:t xml:space="preserve"> классу по БКС.</w:t>
      </w:r>
    </w:p>
    <w:p w14:paraId="5D628E7F" w14:textId="3B8B9611" w:rsidR="00FD7514" w:rsidRPr="007223E7" w:rsidRDefault="00FD7514" w:rsidP="00FD7514">
      <w:pPr>
        <w:ind w:firstLine="709"/>
        <w:rPr>
          <w:rFonts w:eastAsiaTheme="minorHAnsi"/>
          <w:color w:val="000000" w:themeColor="text1"/>
          <w:lang w:eastAsia="en-US"/>
        </w:rPr>
      </w:pPr>
      <w:r w:rsidRPr="00D6050D">
        <w:rPr>
          <w:color w:val="000000" w:themeColor="text1"/>
        </w:rPr>
        <w:t xml:space="preserve">Для доказательства эквивалентности препарата </w:t>
      </w:r>
      <w:r>
        <w:rPr>
          <w:rFonts w:eastAsiaTheme="minorHAnsi"/>
          <w:color w:val="000000" w:themeColor="text1"/>
          <w:lang w:eastAsia="en-US"/>
        </w:rPr>
        <w:t>DT-</w:t>
      </w:r>
      <w:r w:rsidR="00537BF5">
        <w:rPr>
          <w:lang w:val="en-US" w:eastAsia="ru-RU"/>
        </w:rPr>
        <w:t>LNG</w:t>
      </w:r>
      <w:r w:rsidRPr="00D6050D">
        <w:rPr>
          <w:color w:val="000000" w:themeColor="text1"/>
        </w:rPr>
        <w:t xml:space="preserve"> были проведены исследования сравнительной кинетики растворения в сравнении с референтным препаратом </w:t>
      </w:r>
      <w:r w:rsidR="0085743B">
        <w:rPr>
          <w:lang w:eastAsia="ru-RU"/>
        </w:rPr>
        <w:t>Тражента</w:t>
      </w:r>
      <w:r w:rsidRPr="007223E7">
        <w:rPr>
          <w:vertAlign w:val="superscript"/>
          <w:lang w:eastAsia="ru-RU"/>
        </w:rPr>
        <w:t>®</w:t>
      </w:r>
      <w:r w:rsidRPr="009A45DD">
        <w:rPr>
          <w:lang w:eastAsia="ru-RU"/>
        </w:rPr>
        <w:t xml:space="preserve">, </w:t>
      </w:r>
      <w:r w:rsidRPr="009A45DD">
        <w:rPr>
          <w:bCs/>
          <w:lang w:eastAsia="ru-RU"/>
        </w:rPr>
        <w:t xml:space="preserve">таблетки, </w:t>
      </w:r>
      <w:r w:rsidR="0085743B">
        <w:rPr>
          <w:bCs/>
          <w:lang w:eastAsia="ru-RU"/>
        </w:rPr>
        <w:t>покрытые пленочной оболочкой, 5</w:t>
      </w:r>
      <w:r w:rsidRPr="009A45DD">
        <w:rPr>
          <w:bCs/>
          <w:lang w:eastAsia="ru-RU"/>
        </w:rPr>
        <w:t xml:space="preserve"> мг</w:t>
      </w:r>
      <w:r w:rsidRPr="009A45DD">
        <w:rPr>
          <w:rFonts w:eastAsia="Calibri"/>
        </w:rPr>
        <w:t xml:space="preserve"> </w:t>
      </w:r>
      <w:r w:rsidRPr="009A45DD">
        <w:rPr>
          <w:color w:val="000000"/>
        </w:rPr>
        <w:t>(</w:t>
      </w:r>
      <w:r w:rsidR="009F2DF5" w:rsidRPr="004F5B1B">
        <w:rPr>
          <w:rFonts w:eastAsia="Calibri"/>
          <w:bCs/>
        </w:rPr>
        <w:t>Берингер Ингельхайм Интернешнл ГмбХ, Германия</w:t>
      </w:r>
      <w:r w:rsidRPr="00D6050D">
        <w:rPr>
          <w:color w:val="000000" w:themeColor="text1"/>
        </w:rPr>
        <w:t>)</w:t>
      </w:r>
      <w:r w:rsidRPr="00D6050D">
        <w:rPr>
          <w:rFonts w:eastAsiaTheme="minorHAnsi"/>
          <w:color w:val="000000" w:themeColor="text1"/>
          <w:lang w:eastAsia="en-US"/>
        </w:rPr>
        <w:t xml:space="preserve"> в дозировке </w:t>
      </w:r>
      <w:r w:rsidR="009F2DF5">
        <w:rPr>
          <w:rFonts w:eastAsiaTheme="minorHAnsi"/>
          <w:color w:val="000000" w:themeColor="text1"/>
          <w:lang w:eastAsia="en-US"/>
        </w:rPr>
        <w:t>5</w:t>
      </w:r>
      <w:r w:rsidRPr="00D6050D">
        <w:rPr>
          <w:rFonts w:eastAsiaTheme="minorHAnsi"/>
          <w:color w:val="000000" w:themeColor="text1"/>
          <w:lang w:eastAsia="en-US"/>
        </w:rPr>
        <w:t xml:space="preserve"> мг</w:t>
      </w:r>
      <w:r>
        <w:rPr>
          <w:rFonts w:eastAsiaTheme="minorHAnsi"/>
          <w:color w:val="000000" w:themeColor="text1"/>
          <w:lang w:eastAsia="en-US"/>
        </w:rPr>
        <w:t xml:space="preserve">. </w:t>
      </w:r>
      <w:r w:rsidRPr="007223E7">
        <w:rPr>
          <w:rFonts w:eastAsia="Calibri"/>
          <w:lang w:eastAsia="en-US"/>
        </w:rPr>
        <w:t>Исследование проводили с использованием прибора типа «</w:t>
      </w:r>
      <w:r w:rsidR="009F2DF5">
        <w:rPr>
          <w:rFonts w:eastAsia="Calibri"/>
          <w:lang w:eastAsia="en-US"/>
        </w:rPr>
        <w:t>Вращающаяся корзинка</w:t>
      </w:r>
      <w:r w:rsidRPr="007223E7">
        <w:rPr>
          <w:rFonts w:eastAsia="Calibri"/>
          <w:lang w:eastAsia="en-US"/>
        </w:rPr>
        <w:t xml:space="preserve">» в условиях скорости вращения 50 об/мин, температуре 37 ± 0,5 </w:t>
      </w:r>
      <w:r w:rsidRPr="007223E7">
        <w:rPr>
          <w:rFonts w:eastAsia="Calibri"/>
          <w:vertAlign w:val="superscript"/>
          <w:lang w:eastAsia="en-US"/>
        </w:rPr>
        <w:t>о</w:t>
      </w:r>
      <w:r w:rsidRPr="007223E7">
        <w:rPr>
          <w:rFonts w:eastAsia="Calibri"/>
          <w:lang w:eastAsia="en-US"/>
        </w:rPr>
        <w:t xml:space="preserve">С и объеме среды – 900 мл. </w:t>
      </w:r>
      <w:r w:rsidRPr="007223E7">
        <w:rPr>
          <w:rFonts w:eastAsiaTheme="minorHAnsi"/>
          <w:color w:val="000000" w:themeColor="text1"/>
          <w:lang w:eastAsia="en-US"/>
        </w:rPr>
        <w:t xml:space="preserve"> </w:t>
      </w:r>
    </w:p>
    <w:p w14:paraId="29018DDB" w14:textId="33D0AB7C" w:rsidR="00FD7514" w:rsidRPr="007223E7" w:rsidRDefault="00FD7514" w:rsidP="00FD7514">
      <w:pPr>
        <w:ind w:firstLine="709"/>
      </w:pPr>
      <w:r w:rsidRPr="007223E7">
        <w:rPr>
          <w:rFonts w:eastAsia="Calibri"/>
          <w:lang w:eastAsia="en-US"/>
        </w:rPr>
        <w:t>Для испытания использовали три среды растворения:</w:t>
      </w:r>
      <w:r w:rsidR="00F16F2F">
        <w:rPr>
          <w:spacing w:val="-4"/>
        </w:rPr>
        <w:t xml:space="preserve"> 0,</w:t>
      </w:r>
      <w:r w:rsidRPr="007223E7">
        <w:rPr>
          <w:spacing w:val="-4"/>
        </w:rPr>
        <w:t xml:space="preserve">1 М раствор хлороводородной кислоты </w:t>
      </w:r>
      <w:r w:rsidRPr="007223E7">
        <w:t xml:space="preserve">(среда по НД), ацетатный буферный раствор </w:t>
      </w:r>
      <w:r w:rsidRPr="007223E7">
        <w:rPr>
          <w:lang w:val="en-US"/>
        </w:rPr>
        <w:t>pH</w:t>
      </w:r>
      <w:r w:rsidRPr="007223E7">
        <w:t xml:space="preserve"> 4,5 и фосфатный буферный раствор </w:t>
      </w:r>
      <w:r w:rsidRPr="007223E7">
        <w:rPr>
          <w:lang w:val="en-US"/>
        </w:rPr>
        <w:t>pH</w:t>
      </w:r>
      <w:r w:rsidRPr="007223E7">
        <w:t xml:space="preserve"> 6,8. </w:t>
      </w:r>
      <w:r w:rsidRPr="007223E7">
        <w:rPr>
          <w:rFonts w:eastAsia="Calibri"/>
          <w:lang w:eastAsia="en-US"/>
        </w:rPr>
        <w:t xml:space="preserve">Анализ проб в точках 10, 15, </w:t>
      </w:r>
      <w:r w:rsidR="00F16F2F">
        <w:rPr>
          <w:rFonts w:eastAsia="Calibri"/>
          <w:lang w:eastAsia="en-US"/>
        </w:rPr>
        <w:t xml:space="preserve">20, </w:t>
      </w:r>
      <w:r w:rsidRPr="007223E7">
        <w:rPr>
          <w:rFonts w:eastAsia="Calibri"/>
          <w:lang w:eastAsia="en-US"/>
        </w:rPr>
        <w:t xml:space="preserve">30 </w:t>
      </w:r>
      <w:r w:rsidR="00F16F2F">
        <w:rPr>
          <w:rFonts w:eastAsia="Calibri"/>
          <w:lang w:eastAsia="en-US"/>
        </w:rPr>
        <w:t xml:space="preserve">и 45 </w:t>
      </w:r>
      <w:r w:rsidRPr="007223E7">
        <w:rPr>
          <w:rFonts w:eastAsia="Calibri"/>
          <w:lang w:eastAsia="en-US"/>
        </w:rPr>
        <w:t xml:space="preserve">мин выполняли методом </w:t>
      </w:r>
      <w:r w:rsidR="00F16F2F">
        <w:rPr>
          <w:rFonts w:eastAsia="Calibri"/>
          <w:lang w:eastAsia="en-US"/>
        </w:rPr>
        <w:t>УФ-спектрофотометрии</w:t>
      </w:r>
      <w:r w:rsidRPr="007223E7">
        <w:rPr>
          <w:rFonts w:eastAsia="Calibri"/>
          <w:lang w:eastAsia="en-US"/>
        </w:rPr>
        <w:t>.</w:t>
      </w:r>
    </w:p>
    <w:p w14:paraId="3BABDDBB" w14:textId="5F944796" w:rsidR="00FD7514" w:rsidRDefault="00FD7514" w:rsidP="00FD7514">
      <w:pPr>
        <w:ind w:firstLine="709"/>
        <w:rPr>
          <w:color w:val="000000" w:themeColor="text1"/>
        </w:rPr>
      </w:pPr>
      <w:r w:rsidRPr="007223E7">
        <w:rPr>
          <w:rFonts w:eastAsia="Calibri"/>
          <w:lang w:eastAsia="en-US"/>
        </w:rPr>
        <w:t>В результате исследований как исследуемого, так и референтного препарата, во всех средах растворения наблюдалось высвобождение более 85 % действующего вещества в течение 15 минут, что позволило считать кинетику растворения эквивалентной без математической оценки (в соответствии с требованиями Методических указаний Минздравсоцразвития «Оценка биоэквивалентности лекарственных средств» и с «Руководством по экспертизе лекарственных средств»).</w:t>
      </w:r>
      <w:r w:rsidRPr="007223E7">
        <w:rPr>
          <w:color w:val="000000" w:themeColor="text1"/>
        </w:rPr>
        <w:t xml:space="preserve"> Результаты теста сравнительной кинетики растворения (ТСКР) приведены в таблице 2-3 и на рисунках 2-2 – 2-</w:t>
      </w:r>
      <w:r w:rsidR="00543436">
        <w:rPr>
          <w:color w:val="000000" w:themeColor="text1"/>
        </w:rPr>
        <w:t>4</w:t>
      </w:r>
      <w:r w:rsidRPr="007223E7">
        <w:rPr>
          <w:color w:val="000000" w:themeColor="text1"/>
        </w:rPr>
        <w:t>.</w:t>
      </w:r>
    </w:p>
    <w:p w14:paraId="568B1F2E" w14:textId="45C7DEB1" w:rsidR="0049695C" w:rsidRPr="0049695C" w:rsidRDefault="0049695C" w:rsidP="0049695C">
      <w:pPr>
        <w:ind w:firstLine="709"/>
        <w:rPr>
          <w:color w:val="000000"/>
        </w:rPr>
      </w:pPr>
      <w:r>
        <w:rPr>
          <w:bCs/>
          <w:lang w:eastAsia="ru-RU"/>
        </w:rPr>
        <w:t xml:space="preserve">Промышленное производство препарата </w:t>
      </w:r>
      <w:r>
        <w:rPr>
          <w:color w:val="000000" w:themeColor="text1"/>
        </w:rPr>
        <w:t>DT-</w:t>
      </w:r>
      <w:r>
        <w:rPr>
          <w:lang w:val="en-US" w:eastAsia="ru-RU"/>
        </w:rPr>
        <w:t>LNG</w:t>
      </w:r>
      <w:r>
        <w:rPr>
          <w:bCs/>
          <w:lang w:eastAsia="ru-RU"/>
        </w:rPr>
        <w:t xml:space="preserve"> планируется на производственной площадке </w:t>
      </w:r>
      <w:r>
        <w:t>ООО «Р-Фарм Новоселки», Россия</w:t>
      </w:r>
      <w:r>
        <w:rPr>
          <w:color w:val="000000"/>
        </w:rPr>
        <w:t>. На указанной площадке были выпущены также серии препарата для клинических исследований.</w:t>
      </w:r>
    </w:p>
    <w:p w14:paraId="65C6CFEB" w14:textId="77777777" w:rsidR="0049695C" w:rsidRDefault="0049695C" w:rsidP="00FD7514">
      <w:pPr>
        <w:rPr>
          <w:b/>
        </w:rPr>
      </w:pPr>
    </w:p>
    <w:p w14:paraId="27095EB1" w14:textId="0765C1C1" w:rsidR="00FD7514" w:rsidRDefault="00FD7514" w:rsidP="00FD7514">
      <w:pPr>
        <w:rPr>
          <w:rFonts w:eastAsia="Calibri"/>
        </w:rPr>
      </w:pPr>
      <w:r w:rsidRPr="00D6050D">
        <w:rPr>
          <w:b/>
        </w:rPr>
        <w:lastRenderedPageBreak/>
        <w:t>Таблица 2-3.</w:t>
      </w:r>
      <w:r w:rsidRPr="00D6050D">
        <w:t xml:space="preserve"> </w:t>
      </w:r>
      <w:r w:rsidRPr="00D6050D">
        <w:rPr>
          <w:color w:val="000000" w:themeColor="text1"/>
        </w:rPr>
        <w:t xml:space="preserve">Результаты теста сравнительной кинетики растворения препарата </w:t>
      </w:r>
      <w:r>
        <w:rPr>
          <w:rFonts w:eastAsiaTheme="minorHAnsi"/>
          <w:color w:val="000000" w:themeColor="text1"/>
          <w:lang w:eastAsia="en-US"/>
        </w:rPr>
        <w:t>DT-</w:t>
      </w:r>
      <w:r w:rsidR="00543436">
        <w:rPr>
          <w:lang w:val="en-US" w:eastAsia="ru-RU"/>
        </w:rPr>
        <w:t>LNG</w:t>
      </w:r>
      <w:r>
        <w:rPr>
          <w:color w:val="000000" w:themeColor="text1"/>
        </w:rPr>
        <w:t>, таблетки, покрытые плёночной оболочкой, 5 мг</w:t>
      </w:r>
      <w:r w:rsidRPr="00D6050D">
        <w:rPr>
          <w:color w:val="000000" w:themeColor="text1"/>
        </w:rPr>
        <w:t xml:space="preserve"> в сравнении с препаратом </w:t>
      </w:r>
      <w:r w:rsidR="00543436">
        <w:rPr>
          <w:lang w:eastAsia="ru-RU"/>
        </w:rPr>
        <w:t>Тражента</w:t>
      </w:r>
      <w:r w:rsidRPr="000C32E5">
        <w:rPr>
          <w:vertAlign w:val="superscript"/>
          <w:lang w:eastAsia="ru-RU"/>
        </w:rPr>
        <w:t>®</w:t>
      </w:r>
      <w:r w:rsidRPr="009A45DD">
        <w:rPr>
          <w:lang w:eastAsia="ru-RU"/>
        </w:rPr>
        <w:t xml:space="preserve">, </w:t>
      </w:r>
      <w:r w:rsidRPr="009A45DD">
        <w:rPr>
          <w:bCs/>
          <w:lang w:eastAsia="ru-RU"/>
        </w:rPr>
        <w:t xml:space="preserve">таблетки, </w:t>
      </w:r>
      <w:r w:rsidR="00543436">
        <w:rPr>
          <w:color w:val="000000" w:themeColor="text1"/>
        </w:rPr>
        <w:t>покрытые плёночной оболочкой, 5 мг</w:t>
      </w:r>
      <w:r>
        <w:rPr>
          <w:rFonts w:eastAsia="Calibri"/>
        </w:rPr>
        <w:t>.</w:t>
      </w:r>
    </w:p>
    <w:tbl>
      <w:tblPr>
        <w:tblStyle w:val="a8"/>
        <w:tblW w:w="0" w:type="auto"/>
        <w:tblLook w:val="04A0" w:firstRow="1" w:lastRow="0" w:firstColumn="1" w:lastColumn="0" w:noHBand="0" w:noVBand="1"/>
      </w:tblPr>
      <w:tblGrid>
        <w:gridCol w:w="2524"/>
        <w:gridCol w:w="913"/>
        <w:gridCol w:w="3034"/>
        <w:gridCol w:w="2874"/>
      </w:tblGrid>
      <w:tr w:rsidR="00925B7F" w:rsidRPr="00925B7F" w14:paraId="2DA038C8" w14:textId="77777777" w:rsidTr="00A42708">
        <w:trPr>
          <w:trHeight w:val="255"/>
          <w:tblHeader/>
        </w:trPr>
        <w:tc>
          <w:tcPr>
            <w:tcW w:w="2524" w:type="dxa"/>
            <w:vMerge w:val="restart"/>
            <w:shd w:val="clear" w:color="auto" w:fill="D9D9D9" w:themeFill="background1" w:themeFillShade="D9"/>
            <w:vAlign w:val="center"/>
          </w:tcPr>
          <w:p w14:paraId="4C6702D0" w14:textId="77777777" w:rsidR="00925B7F" w:rsidRPr="00925B7F" w:rsidRDefault="00925B7F" w:rsidP="00925B7F">
            <w:pPr>
              <w:jc w:val="center"/>
              <w:rPr>
                <w:b/>
                <w:lang w:eastAsia="en-US"/>
              </w:rPr>
            </w:pPr>
            <w:r w:rsidRPr="00925B7F">
              <w:rPr>
                <w:b/>
                <w:lang w:eastAsia="en-US"/>
              </w:rPr>
              <w:t>Среда</w:t>
            </w:r>
          </w:p>
          <w:p w14:paraId="26E3D429" w14:textId="77777777" w:rsidR="00925B7F" w:rsidRPr="00925B7F" w:rsidRDefault="00925B7F" w:rsidP="00925B7F">
            <w:pPr>
              <w:jc w:val="center"/>
              <w:rPr>
                <w:b/>
                <w:lang w:eastAsia="en-US"/>
              </w:rPr>
            </w:pPr>
            <w:r w:rsidRPr="00925B7F">
              <w:rPr>
                <w:b/>
                <w:lang w:eastAsia="en-US"/>
              </w:rPr>
              <w:t>растворения</w:t>
            </w:r>
          </w:p>
        </w:tc>
        <w:tc>
          <w:tcPr>
            <w:tcW w:w="913" w:type="dxa"/>
            <w:vMerge w:val="restart"/>
            <w:shd w:val="clear" w:color="auto" w:fill="D9D9D9" w:themeFill="background1" w:themeFillShade="D9"/>
            <w:vAlign w:val="center"/>
          </w:tcPr>
          <w:p w14:paraId="0D4EE045" w14:textId="77777777" w:rsidR="00925B7F" w:rsidRPr="00925B7F" w:rsidRDefault="00925B7F" w:rsidP="00925B7F">
            <w:pPr>
              <w:ind w:left="-57" w:right="-57"/>
              <w:jc w:val="center"/>
              <w:rPr>
                <w:b/>
                <w:lang w:eastAsia="en-US"/>
              </w:rPr>
            </w:pPr>
            <w:r w:rsidRPr="00925B7F">
              <w:rPr>
                <w:b/>
                <w:lang w:eastAsia="en-US"/>
              </w:rPr>
              <w:t>Время. мин</w:t>
            </w:r>
          </w:p>
        </w:tc>
        <w:tc>
          <w:tcPr>
            <w:tcW w:w="5908" w:type="dxa"/>
            <w:gridSpan w:val="2"/>
            <w:shd w:val="clear" w:color="auto" w:fill="D9D9D9" w:themeFill="background1" w:themeFillShade="D9"/>
            <w:vAlign w:val="center"/>
          </w:tcPr>
          <w:p w14:paraId="25FE7376" w14:textId="77777777" w:rsidR="00925B7F" w:rsidRPr="00925B7F" w:rsidRDefault="00925B7F" w:rsidP="00925B7F">
            <w:pPr>
              <w:ind w:left="-57" w:right="-57"/>
              <w:jc w:val="center"/>
              <w:rPr>
                <w:b/>
                <w:lang w:eastAsia="en-US"/>
              </w:rPr>
            </w:pPr>
            <w:r w:rsidRPr="00925B7F">
              <w:rPr>
                <w:b/>
                <w:lang w:eastAsia="en-US"/>
              </w:rPr>
              <w:t>Количество высвободившегося линаглиптина в среду растворения, %</w:t>
            </w:r>
          </w:p>
        </w:tc>
      </w:tr>
      <w:tr w:rsidR="00925B7F" w:rsidRPr="00925B7F" w14:paraId="3613B727" w14:textId="77777777" w:rsidTr="00A42708">
        <w:trPr>
          <w:trHeight w:val="838"/>
          <w:tblHeader/>
        </w:trPr>
        <w:tc>
          <w:tcPr>
            <w:tcW w:w="2524" w:type="dxa"/>
            <w:vMerge/>
            <w:shd w:val="clear" w:color="auto" w:fill="D9D9D9" w:themeFill="background1" w:themeFillShade="D9"/>
          </w:tcPr>
          <w:p w14:paraId="76AF0BFF" w14:textId="77777777" w:rsidR="00925B7F" w:rsidRPr="00925B7F" w:rsidRDefault="00925B7F" w:rsidP="00925B7F">
            <w:pPr>
              <w:spacing w:before="120"/>
              <w:jc w:val="left"/>
              <w:rPr>
                <w:b/>
                <w:lang w:eastAsia="en-US"/>
              </w:rPr>
            </w:pPr>
          </w:p>
        </w:tc>
        <w:tc>
          <w:tcPr>
            <w:tcW w:w="913" w:type="dxa"/>
            <w:vMerge/>
            <w:shd w:val="clear" w:color="auto" w:fill="D9D9D9" w:themeFill="background1" w:themeFillShade="D9"/>
          </w:tcPr>
          <w:p w14:paraId="346C3072" w14:textId="77777777" w:rsidR="00925B7F" w:rsidRPr="00925B7F" w:rsidRDefault="00925B7F" w:rsidP="00925B7F">
            <w:pPr>
              <w:spacing w:before="120"/>
              <w:jc w:val="left"/>
              <w:rPr>
                <w:b/>
                <w:lang w:eastAsia="en-US"/>
              </w:rPr>
            </w:pPr>
          </w:p>
        </w:tc>
        <w:tc>
          <w:tcPr>
            <w:tcW w:w="3034" w:type="dxa"/>
            <w:shd w:val="clear" w:color="auto" w:fill="D9D9D9" w:themeFill="background1" w:themeFillShade="D9"/>
            <w:vAlign w:val="center"/>
          </w:tcPr>
          <w:p w14:paraId="6D2BF80B" w14:textId="77777777" w:rsidR="0049695C" w:rsidRDefault="00925B7F" w:rsidP="0049695C">
            <w:pPr>
              <w:jc w:val="center"/>
              <w:rPr>
                <w:b/>
                <w:lang w:eastAsia="en-US"/>
              </w:rPr>
            </w:pPr>
            <w:r w:rsidRPr="00925B7F">
              <w:rPr>
                <w:b/>
                <w:lang w:eastAsia="en-US"/>
              </w:rPr>
              <w:t>ЛИНАГЛИПТИН</w:t>
            </w:r>
            <w:r w:rsidR="0049695C">
              <w:rPr>
                <w:b/>
                <w:lang w:eastAsia="en-US"/>
              </w:rPr>
              <w:t xml:space="preserve"> </w:t>
            </w:r>
            <w:r w:rsidR="0049695C" w:rsidRPr="0049695C">
              <w:rPr>
                <w:b/>
                <w:lang w:eastAsia="en-US"/>
              </w:rPr>
              <w:t>(</w:t>
            </w:r>
            <w:r w:rsidR="0049695C">
              <w:rPr>
                <w:b/>
                <w:lang w:val="en-US" w:eastAsia="en-US"/>
              </w:rPr>
              <w:t>DT</w:t>
            </w:r>
            <w:r w:rsidR="0049695C" w:rsidRPr="0049695C">
              <w:rPr>
                <w:b/>
                <w:lang w:eastAsia="en-US"/>
              </w:rPr>
              <w:t>-</w:t>
            </w:r>
            <w:r w:rsidR="0049695C">
              <w:rPr>
                <w:b/>
                <w:lang w:val="en-US" w:eastAsia="en-US"/>
              </w:rPr>
              <w:t>LNG</w:t>
            </w:r>
            <w:r w:rsidR="0049695C" w:rsidRPr="0049695C">
              <w:rPr>
                <w:b/>
                <w:lang w:eastAsia="en-US"/>
              </w:rPr>
              <w:t>)</w:t>
            </w:r>
            <w:r w:rsidRPr="00925B7F">
              <w:rPr>
                <w:b/>
                <w:lang w:eastAsia="en-US"/>
              </w:rPr>
              <w:t xml:space="preserve">, </w:t>
            </w:r>
            <w:r w:rsidR="0049695C">
              <w:rPr>
                <w:b/>
                <w:lang w:eastAsia="en-US"/>
              </w:rPr>
              <w:t>ТППО</w:t>
            </w:r>
            <w:r w:rsidRPr="00925B7F">
              <w:rPr>
                <w:b/>
                <w:lang w:eastAsia="en-US"/>
              </w:rPr>
              <w:t>, 5 мг</w:t>
            </w:r>
            <w:r>
              <w:rPr>
                <w:b/>
                <w:lang w:eastAsia="en-US"/>
              </w:rPr>
              <w:t>,</w:t>
            </w:r>
          </w:p>
          <w:p w14:paraId="3D28A56D" w14:textId="5EB8A8AE" w:rsidR="00925B7F" w:rsidRPr="00925B7F" w:rsidRDefault="00925B7F" w:rsidP="0049695C">
            <w:pPr>
              <w:jc w:val="center"/>
              <w:rPr>
                <w:b/>
                <w:lang w:eastAsia="en-US"/>
              </w:rPr>
            </w:pPr>
            <w:r w:rsidRPr="00925B7F">
              <w:rPr>
                <w:b/>
                <w:lang w:eastAsia="en-US"/>
              </w:rPr>
              <w:t>серия 10423</w:t>
            </w:r>
          </w:p>
        </w:tc>
        <w:tc>
          <w:tcPr>
            <w:tcW w:w="2874" w:type="dxa"/>
            <w:shd w:val="clear" w:color="auto" w:fill="D9D9D9" w:themeFill="background1" w:themeFillShade="D9"/>
            <w:vAlign w:val="center"/>
          </w:tcPr>
          <w:p w14:paraId="5B5F1C17" w14:textId="68E3807C" w:rsidR="00925B7F" w:rsidRPr="00925B7F" w:rsidRDefault="00925B7F" w:rsidP="00925B7F">
            <w:pPr>
              <w:jc w:val="center"/>
              <w:rPr>
                <w:b/>
                <w:lang w:eastAsia="en-US"/>
              </w:rPr>
            </w:pPr>
            <w:r w:rsidRPr="00925B7F">
              <w:rPr>
                <w:b/>
                <w:lang w:eastAsia="en-US"/>
              </w:rPr>
              <w:t>Тражента</w:t>
            </w:r>
            <w:r w:rsidRPr="00925B7F">
              <w:rPr>
                <w:b/>
                <w:vertAlign w:val="superscript"/>
                <w:lang w:eastAsia="en-US"/>
              </w:rPr>
              <w:t>®</w:t>
            </w:r>
            <w:r w:rsidRPr="00925B7F">
              <w:rPr>
                <w:b/>
                <w:lang w:eastAsia="en-US"/>
              </w:rPr>
              <w:t>,</w:t>
            </w:r>
          </w:p>
          <w:p w14:paraId="0E2C7C55" w14:textId="77777777" w:rsidR="0049695C" w:rsidRDefault="0049695C" w:rsidP="0049695C">
            <w:pPr>
              <w:jc w:val="center"/>
              <w:rPr>
                <w:b/>
                <w:lang w:val="en-US" w:eastAsia="en-US"/>
              </w:rPr>
            </w:pPr>
            <w:r>
              <w:rPr>
                <w:b/>
                <w:lang w:eastAsia="en-US"/>
              </w:rPr>
              <w:t>ТППО</w:t>
            </w:r>
            <w:r w:rsidR="00925B7F" w:rsidRPr="00925B7F">
              <w:rPr>
                <w:b/>
                <w:lang w:eastAsia="en-US"/>
              </w:rPr>
              <w:t>, 5 мг</w:t>
            </w:r>
            <w:r w:rsidR="00925B7F">
              <w:rPr>
                <w:b/>
                <w:lang w:eastAsia="en-US"/>
              </w:rPr>
              <w:t>,</w:t>
            </w:r>
          </w:p>
          <w:p w14:paraId="6AC581DC" w14:textId="316BC334" w:rsidR="00925B7F" w:rsidRPr="00925B7F" w:rsidRDefault="00A42708" w:rsidP="0049695C">
            <w:pPr>
              <w:jc w:val="center"/>
              <w:rPr>
                <w:b/>
                <w:lang w:eastAsia="en-US"/>
              </w:rPr>
            </w:pPr>
            <w:r>
              <w:rPr>
                <w:b/>
                <w:lang w:eastAsia="en-US"/>
              </w:rPr>
              <w:t>с</w:t>
            </w:r>
            <w:r w:rsidR="00925B7F" w:rsidRPr="00925B7F">
              <w:rPr>
                <w:b/>
                <w:lang w:eastAsia="en-US"/>
              </w:rPr>
              <w:t>ерия АВ5207А</w:t>
            </w:r>
          </w:p>
        </w:tc>
      </w:tr>
      <w:tr w:rsidR="00925B7F" w:rsidRPr="00925B7F" w14:paraId="17A50520" w14:textId="77777777" w:rsidTr="00203C36">
        <w:trPr>
          <w:trHeight w:val="1214"/>
        </w:trPr>
        <w:tc>
          <w:tcPr>
            <w:tcW w:w="2524" w:type="dxa"/>
            <w:vAlign w:val="center"/>
          </w:tcPr>
          <w:p w14:paraId="4286DD7F" w14:textId="77777777" w:rsidR="00925B7F" w:rsidRPr="00925B7F" w:rsidRDefault="00925B7F" w:rsidP="00925B7F">
            <w:pPr>
              <w:jc w:val="center"/>
              <w:rPr>
                <w:color w:val="000000"/>
                <w:lang w:eastAsia="en-US"/>
              </w:rPr>
            </w:pPr>
            <w:r w:rsidRPr="00925B7F">
              <w:rPr>
                <w:color w:val="000000"/>
                <w:lang w:eastAsia="en-US"/>
              </w:rPr>
              <w:t>0,1 М хлороводородная кислота</w:t>
            </w:r>
          </w:p>
        </w:tc>
        <w:tc>
          <w:tcPr>
            <w:tcW w:w="913" w:type="dxa"/>
            <w:vAlign w:val="center"/>
          </w:tcPr>
          <w:p w14:paraId="4AEC17F2" w14:textId="77777777" w:rsidR="00925B7F" w:rsidRPr="00925B7F" w:rsidRDefault="00925B7F" w:rsidP="00925B7F">
            <w:pPr>
              <w:jc w:val="center"/>
              <w:rPr>
                <w:color w:val="000000"/>
                <w:lang w:eastAsia="en-US"/>
              </w:rPr>
            </w:pPr>
            <w:r w:rsidRPr="00925B7F">
              <w:rPr>
                <w:color w:val="000000"/>
                <w:lang w:eastAsia="en-US"/>
              </w:rPr>
              <w:t>10</w:t>
            </w:r>
          </w:p>
          <w:p w14:paraId="5E5F6B57" w14:textId="77777777" w:rsidR="00925B7F" w:rsidRPr="00925B7F" w:rsidRDefault="00925B7F" w:rsidP="00925B7F">
            <w:pPr>
              <w:jc w:val="center"/>
              <w:rPr>
                <w:color w:val="000000"/>
                <w:lang w:eastAsia="en-US"/>
              </w:rPr>
            </w:pPr>
            <w:r w:rsidRPr="00925B7F">
              <w:rPr>
                <w:color w:val="000000"/>
                <w:lang w:eastAsia="en-US"/>
              </w:rPr>
              <w:t>15</w:t>
            </w:r>
          </w:p>
          <w:p w14:paraId="0DA5CCF0" w14:textId="77777777" w:rsidR="00925B7F" w:rsidRPr="00925B7F" w:rsidRDefault="00925B7F" w:rsidP="00925B7F">
            <w:pPr>
              <w:jc w:val="center"/>
              <w:rPr>
                <w:color w:val="000000"/>
                <w:lang w:eastAsia="en-US"/>
              </w:rPr>
            </w:pPr>
            <w:r w:rsidRPr="00925B7F">
              <w:rPr>
                <w:color w:val="000000"/>
                <w:lang w:eastAsia="en-US"/>
              </w:rPr>
              <w:t>20</w:t>
            </w:r>
          </w:p>
          <w:p w14:paraId="2CB3CEFB" w14:textId="77777777" w:rsidR="00925B7F" w:rsidRPr="00925B7F" w:rsidRDefault="00925B7F" w:rsidP="00925B7F">
            <w:pPr>
              <w:jc w:val="center"/>
              <w:rPr>
                <w:color w:val="000000"/>
                <w:lang w:eastAsia="en-US"/>
              </w:rPr>
            </w:pPr>
            <w:r w:rsidRPr="00925B7F">
              <w:rPr>
                <w:color w:val="000000"/>
                <w:lang w:eastAsia="en-US"/>
              </w:rPr>
              <w:t>30</w:t>
            </w:r>
          </w:p>
          <w:p w14:paraId="09184B14" w14:textId="77777777" w:rsidR="00925B7F" w:rsidRPr="00925B7F" w:rsidRDefault="00925B7F" w:rsidP="00925B7F">
            <w:pPr>
              <w:jc w:val="center"/>
              <w:rPr>
                <w:color w:val="000000"/>
                <w:lang w:eastAsia="en-US"/>
              </w:rPr>
            </w:pPr>
            <w:r w:rsidRPr="00925B7F">
              <w:rPr>
                <w:color w:val="000000"/>
                <w:lang w:eastAsia="en-US"/>
              </w:rPr>
              <w:t>45</w:t>
            </w:r>
          </w:p>
        </w:tc>
        <w:tc>
          <w:tcPr>
            <w:tcW w:w="3034" w:type="dxa"/>
            <w:vAlign w:val="center"/>
          </w:tcPr>
          <w:p w14:paraId="0404F438" w14:textId="77777777" w:rsidR="00925B7F" w:rsidRPr="00925B7F" w:rsidRDefault="00925B7F" w:rsidP="00925B7F">
            <w:pPr>
              <w:jc w:val="center"/>
              <w:rPr>
                <w:color w:val="000000"/>
                <w:lang w:eastAsia="en-US"/>
              </w:rPr>
            </w:pPr>
            <w:r w:rsidRPr="00925B7F">
              <w:rPr>
                <w:color w:val="000000"/>
                <w:lang w:eastAsia="en-US"/>
              </w:rPr>
              <w:t>75,0</w:t>
            </w:r>
          </w:p>
          <w:p w14:paraId="4D19B36D" w14:textId="77777777" w:rsidR="00925B7F" w:rsidRPr="00925B7F" w:rsidRDefault="00925B7F" w:rsidP="00925B7F">
            <w:pPr>
              <w:jc w:val="center"/>
              <w:rPr>
                <w:color w:val="000000"/>
                <w:lang w:eastAsia="en-US"/>
              </w:rPr>
            </w:pPr>
            <w:r w:rsidRPr="00925B7F">
              <w:rPr>
                <w:color w:val="000000"/>
                <w:lang w:eastAsia="en-US"/>
              </w:rPr>
              <w:t>97,0</w:t>
            </w:r>
          </w:p>
          <w:p w14:paraId="6E054771" w14:textId="77777777" w:rsidR="00925B7F" w:rsidRPr="00925B7F" w:rsidRDefault="00925B7F" w:rsidP="00925B7F">
            <w:pPr>
              <w:jc w:val="center"/>
              <w:rPr>
                <w:color w:val="000000"/>
                <w:lang w:eastAsia="en-US"/>
              </w:rPr>
            </w:pPr>
            <w:r w:rsidRPr="00925B7F">
              <w:rPr>
                <w:color w:val="000000"/>
                <w:lang w:eastAsia="en-US"/>
              </w:rPr>
              <w:t>97,5</w:t>
            </w:r>
          </w:p>
          <w:p w14:paraId="5B92BB00" w14:textId="77777777" w:rsidR="00925B7F" w:rsidRPr="00925B7F" w:rsidRDefault="00925B7F" w:rsidP="00925B7F">
            <w:pPr>
              <w:jc w:val="center"/>
              <w:rPr>
                <w:color w:val="000000"/>
                <w:lang w:eastAsia="en-US"/>
              </w:rPr>
            </w:pPr>
            <w:r w:rsidRPr="00925B7F">
              <w:rPr>
                <w:color w:val="000000"/>
                <w:lang w:eastAsia="en-US"/>
              </w:rPr>
              <w:t>97,8</w:t>
            </w:r>
          </w:p>
          <w:p w14:paraId="271CE012" w14:textId="77777777" w:rsidR="00925B7F" w:rsidRPr="00925B7F" w:rsidRDefault="00925B7F" w:rsidP="00925B7F">
            <w:pPr>
              <w:jc w:val="center"/>
              <w:rPr>
                <w:color w:val="000000"/>
                <w:lang w:eastAsia="en-US"/>
              </w:rPr>
            </w:pPr>
            <w:r w:rsidRPr="00925B7F">
              <w:rPr>
                <w:color w:val="000000"/>
                <w:lang w:eastAsia="en-US"/>
              </w:rPr>
              <w:t>98,2</w:t>
            </w:r>
          </w:p>
        </w:tc>
        <w:tc>
          <w:tcPr>
            <w:tcW w:w="2874" w:type="dxa"/>
            <w:vAlign w:val="center"/>
          </w:tcPr>
          <w:p w14:paraId="19CCC9B0" w14:textId="77777777" w:rsidR="00925B7F" w:rsidRPr="00925B7F" w:rsidRDefault="00925B7F" w:rsidP="00925B7F">
            <w:pPr>
              <w:jc w:val="center"/>
              <w:rPr>
                <w:color w:val="000000"/>
                <w:lang w:eastAsia="en-US"/>
              </w:rPr>
            </w:pPr>
            <w:r w:rsidRPr="00925B7F">
              <w:rPr>
                <w:color w:val="000000"/>
                <w:lang w:eastAsia="en-US"/>
              </w:rPr>
              <w:t>73,5</w:t>
            </w:r>
          </w:p>
          <w:p w14:paraId="606232C9" w14:textId="77777777" w:rsidR="00925B7F" w:rsidRPr="00925B7F" w:rsidRDefault="00925B7F" w:rsidP="00925B7F">
            <w:pPr>
              <w:jc w:val="center"/>
              <w:rPr>
                <w:color w:val="000000"/>
                <w:lang w:eastAsia="en-US"/>
              </w:rPr>
            </w:pPr>
            <w:r w:rsidRPr="00925B7F">
              <w:rPr>
                <w:color w:val="000000"/>
                <w:lang w:eastAsia="en-US"/>
              </w:rPr>
              <w:t>100,6</w:t>
            </w:r>
          </w:p>
          <w:p w14:paraId="32433EA8" w14:textId="77777777" w:rsidR="00925B7F" w:rsidRPr="00925B7F" w:rsidRDefault="00925B7F" w:rsidP="00925B7F">
            <w:pPr>
              <w:jc w:val="center"/>
              <w:rPr>
                <w:color w:val="000000"/>
                <w:lang w:eastAsia="en-US"/>
              </w:rPr>
            </w:pPr>
            <w:r w:rsidRPr="00925B7F">
              <w:rPr>
                <w:color w:val="000000"/>
                <w:lang w:eastAsia="en-US"/>
              </w:rPr>
              <w:t>100,8</w:t>
            </w:r>
          </w:p>
          <w:p w14:paraId="58C7939D" w14:textId="77777777" w:rsidR="00925B7F" w:rsidRPr="00925B7F" w:rsidRDefault="00925B7F" w:rsidP="00925B7F">
            <w:pPr>
              <w:jc w:val="center"/>
              <w:rPr>
                <w:color w:val="000000"/>
                <w:lang w:eastAsia="en-US"/>
              </w:rPr>
            </w:pPr>
            <w:r w:rsidRPr="00925B7F">
              <w:rPr>
                <w:color w:val="000000"/>
                <w:lang w:eastAsia="en-US"/>
              </w:rPr>
              <w:t>101,0</w:t>
            </w:r>
          </w:p>
          <w:p w14:paraId="7B76CD0A" w14:textId="77777777" w:rsidR="00925B7F" w:rsidRPr="00925B7F" w:rsidRDefault="00925B7F" w:rsidP="00925B7F">
            <w:pPr>
              <w:jc w:val="center"/>
              <w:rPr>
                <w:color w:val="000000"/>
                <w:lang w:eastAsia="en-US"/>
              </w:rPr>
            </w:pPr>
            <w:r w:rsidRPr="00925B7F">
              <w:rPr>
                <w:color w:val="000000"/>
                <w:lang w:eastAsia="en-US"/>
              </w:rPr>
              <w:t>101,4</w:t>
            </w:r>
          </w:p>
        </w:tc>
      </w:tr>
      <w:tr w:rsidR="00925B7F" w:rsidRPr="00925B7F" w14:paraId="5A5912EC" w14:textId="77777777" w:rsidTr="00585061">
        <w:trPr>
          <w:trHeight w:val="60"/>
        </w:trPr>
        <w:tc>
          <w:tcPr>
            <w:tcW w:w="3437" w:type="dxa"/>
            <w:gridSpan w:val="2"/>
            <w:vAlign w:val="center"/>
          </w:tcPr>
          <w:p w14:paraId="30C26648" w14:textId="77777777" w:rsidR="00925B7F" w:rsidRPr="00925B7F" w:rsidRDefault="00925B7F" w:rsidP="00A42708">
            <w:pPr>
              <w:jc w:val="center"/>
              <w:rPr>
                <w:b/>
                <w:i/>
                <w:color w:val="000000"/>
                <w:highlight w:val="yellow"/>
                <w:lang w:eastAsia="en-US"/>
              </w:rPr>
            </w:pPr>
            <w:r w:rsidRPr="00925B7F">
              <w:rPr>
                <w:b/>
                <w:i/>
                <w:color w:val="000000"/>
                <w:lang w:eastAsia="en-US"/>
              </w:rPr>
              <w:t>фактор подобия f2</w:t>
            </w:r>
          </w:p>
        </w:tc>
        <w:tc>
          <w:tcPr>
            <w:tcW w:w="5908" w:type="dxa"/>
            <w:gridSpan w:val="2"/>
            <w:vAlign w:val="center"/>
          </w:tcPr>
          <w:p w14:paraId="2CDAA0D7" w14:textId="77777777" w:rsidR="00925B7F" w:rsidRPr="00925B7F" w:rsidRDefault="00925B7F" w:rsidP="00A42708">
            <w:pPr>
              <w:jc w:val="center"/>
              <w:rPr>
                <w:b/>
                <w:i/>
                <w:color w:val="000000"/>
                <w:lang w:eastAsia="en-US"/>
              </w:rPr>
            </w:pPr>
            <w:r w:rsidRPr="00925B7F">
              <w:rPr>
                <w:b/>
                <w:i/>
                <w:color w:val="000000"/>
                <w:lang w:eastAsia="en-US"/>
              </w:rPr>
              <w:t>Эквивалентно без математической оценки</w:t>
            </w:r>
          </w:p>
        </w:tc>
      </w:tr>
      <w:tr w:rsidR="00925B7F" w:rsidRPr="00925B7F" w14:paraId="675D2F49" w14:textId="77777777" w:rsidTr="00C85EE8">
        <w:tc>
          <w:tcPr>
            <w:tcW w:w="2524" w:type="dxa"/>
            <w:vAlign w:val="center"/>
          </w:tcPr>
          <w:p w14:paraId="2637D821" w14:textId="77777777" w:rsidR="00925B7F" w:rsidRPr="00925B7F" w:rsidRDefault="00925B7F" w:rsidP="00925B7F">
            <w:pPr>
              <w:jc w:val="center"/>
              <w:rPr>
                <w:color w:val="000000"/>
                <w:lang w:eastAsia="en-US"/>
              </w:rPr>
            </w:pPr>
            <w:r w:rsidRPr="00925B7F">
              <w:rPr>
                <w:color w:val="000000"/>
                <w:lang w:eastAsia="en-US"/>
              </w:rPr>
              <w:t>Ацетатный буферный раствор рН 4,5</w:t>
            </w:r>
          </w:p>
        </w:tc>
        <w:tc>
          <w:tcPr>
            <w:tcW w:w="913" w:type="dxa"/>
            <w:vAlign w:val="center"/>
          </w:tcPr>
          <w:p w14:paraId="476B2F26" w14:textId="77777777" w:rsidR="00925B7F" w:rsidRPr="00925B7F" w:rsidRDefault="00925B7F" w:rsidP="00925B7F">
            <w:pPr>
              <w:jc w:val="center"/>
              <w:rPr>
                <w:color w:val="000000"/>
                <w:lang w:eastAsia="en-US"/>
              </w:rPr>
            </w:pPr>
            <w:r w:rsidRPr="00925B7F">
              <w:rPr>
                <w:color w:val="000000"/>
                <w:lang w:eastAsia="en-US"/>
              </w:rPr>
              <w:t>10</w:t>
            </w:r>
          </w:p>
          <w:p w14:paraId="75FC9161" w14:textId="77777777" w:rsidR="00925B7F" w:rsidRPr="00925B7F" w:rsidRDefault="00925B7F" w:rsidP="00925B7F">
            <w:pPr>
              <w:jc w:val="center"/>
              <w:rPr>
                <w:color w:val="000000"/>
                <w:lang w:eastAsia="en-US"/>
              </w:rPr>
            </w:pPr>
            <w:r w:rsidRPr="00925B7F">
              <w:rPr>
                <w:color w:val="000000"/>
                <w:lang w:eastAsia="en-US"/>
              </w:rPr>
              <w:t>15</w:t>
            </w:r>
          </w:p>
          <w:p w14:paraId="75622880" w14:textId="77777777" w:rsidR="00925B7F" w:rsidRPr="00925B7F" w:rsidRDefault="00925B7F" w:rsidP="00925B7F">
            <w:pPr>
              <w:jc w:val="center"/>
              <w:rPr>
                <w:color w:val="000000"/>
                <w:lang w:eastAsia="en-US"/>
              </w:rPr>
            </w:pPr>
            <w:r w:rsidRPr="00925B7F">
              <w:rPr>
                <w:color w:val="000000"/>
                <w:lang w:eastAsia="en-US"/>
              </w:rPr>
              <w:t>20</w:t>
            </w:r>
          </w:p>
          <w:p w14:paraId="51B8B6DA" w14:textId="77777777" w:rsidR="00925B7F" w:rsidRPr="00925B7F" w:rsidRDefault="00925B7F" w:rsidP="00925B7F">
            <w:pPr>
              <w:jc w:val="center"/>
              <w:rPr>
                <w:color w:val="000000"/>
                <w:lang w:eastAsia="en-US"/>
              </w:rPr>
            </w:pPr>
            <w:r w:rsidRPr="00925B7F">
              <w:rPr>
                <w:color w:val="000000"/>
                <w:lang w:eastAsia="en-US"/>
              </w:rPr>
              <w:t>30</w:t>
            </w:r>
          </w:p>
          <w:p w14:paraId="364BA8E1" w14:textId="77777777" w:rsidR="00925B7F" w:rsidRPr="00925B7F" w:rsidRDefault="00925B7F" w:rsidP="00925B7F">
            <w:pPr>
              <w:jc w:val="center"/>
              <w:rPr>
                <w:color w:val="000000"/>
                <w:lang w:eastAsia="en-US"/>
              </w:rPr>
            </w:pPr>
            <w:r w:rsidRPr="00925B7F">
              <w:rPr>
                <w:color w:val="000000"/>
                <w:lang w:eastAsia="en-US"/>
              </w:rPr>
              <w:t>45</w:t>
            </w:r>
          </w:p>
        </w:tc>
        <w:tc>
          <w:tcPr>
            <w:tcW w:w="3034" w:type="dxa"/>
            <w:vAlign w:val="center"/>
          </w:tcPr>
          <w:p w14:paraId="0F9A97DB" w14:textId="77777777" w:rsidR="00925B7F" w:rsidRPr="00925B7F" w:rsidRDefault="00925B7F" w:rsidP="00925B7F">
            <w:pPr>
              <w:jc w:val="center"/>
              <w:rPr>
                <w:color w:val="000000"/>
                <w:lang w:eastAsia="en-US"/>
              </w:rPr>
            </w:pPr>
            <w:r w:rsidRPr="00925B7F">
              <w:rPr>
                <w:color w:val="000000"/>
                <w:lang w:eastAsia="en-US"/>
              </w:rPr>
              <w:t>81,9</w:t>
            </w:r>
          </w:p>
          <w:p w14:paraId="38C0776A" w14:textId="77777777" w:rsidR="00925B7F" w:rsidRPr="00925B7F" w:rsidRDefault="00925B7F" w:rsidP="00925B7F">
            <w:pPr>
              <w:jc w:val="center"/>
              <w:rPr>
                <w:color w:val="000000"/>
                <w:lang w:eastAsia="en-US"/>
              </w:rPr>
            </w:pPr>
            <w:r w:rsidRPr="00925B7F">
              <w:rPr>
                <w:color w:val="000000"/>
                <w:lang w:eastAsia="en-US"/>
              </w:rPr>
              <w:t>96,3</w:t>
            </w:r>
          </w:p>
          <w:p w14:paraId="4AB1E297" w14:textId="77777777" w:rsidR="00925B7F" w:rsidRPr="00925B7F" w:rsidRDefault="00925B7F" w:rsidP="00925B7F">
            <w:pPr>
              <w:jc w:val="center"/>
              <w:rPr>
                <w:color w:val="000000"/>
                <w:lang w:eastAsia="en-US"/>
              </w:rPr>
            </w:pPr>
            <w:r w:rsidRPr="00925B7F">
              <w:rPr>
                <w:color w:val="000000"/>
                <w:lang w:eastAsia="en-US"/>
              </w:rPr>
              <w:t>98,8</w:t>
            </w:r>
          </w:p>
          <w:p w14:paraId="254EA6D4" w14:textId="77777777" w:rsidR="00925B7F" w:rsidRPr="00925B7F" w:rsidRDefault="00925B7F" w:rsidP="00925B7F">
            <w:pPr>
              <w:jc w:val="center"/>
              <w:rPr>
                <w:color w:val="000000"/>
                <w:lang w:eastAsia="en-US"/>
              </w:rPr>
            </w:pPr>
            <w:r w:rsidRPr="00925B7F">
              <w:rPr>
                <w:color w:val="000000"/>
                <w:lang w:eastAsia="en-US"/>
              </w:rPr>
              <w:t>99,1</w:t>
            </w:r>
          </w:p>
          <w:p w14:paraId="5562E30A" w14:textId="77777777" w:rsidR="00925B7F" w:rsidRPr="00925B7F" w:rsidRDefault="00925B7F" w:rsidP="00925B7F">
            <w:pPr>
              <w:jc w:val="center"/>
              <w:rPr>
                <w:color w:val="000000"/>
                <w:lang w:eastAsia="en-US"/>
              </w:rPr>
            </w:pPr>
            <w:r w:rsidRPr="00925B7F">
              <w:rPr>
                <w:color w:val="000000"/>
                <w:lang w:eastAsia="en-US"/>
              </w:rPr>
              <w:t>99,3</w:t>
            </w:r>
          </w:p>
        </w:tc>
        <w:tc>
          <w:tcPr>
            <w:tcW w:w="2874" w:type="dxa"/>
            <w:vAlign w:val="center"/>
          </w:tcPr>
          <w:p w14:paraId="4DACD02C" w14:textId="77777777" w:rsidR="00925B7F" w:rsidRPr="00925B7F" w:rsidRDefault="00925B7F" w:rsidP="00925B7F">
            <w:pPr>
              <w:jc w:val="center"/>
              <w:rPr>
                <w:color w:val="000000"/>
                <w:lang w:eastAsia="en-US"/>
              </w:rPr>
            </w:pPr>
            <w:r w:rsidRPr="00925B7F">
              <w:rPr>
                <w:color w:val="000000"/>
                <w:lang w:eastAsia="en-US"/>
              </w:rPr>
              <w:t>90,3</w:t>
            </w:r>
          </w:p>
          <w:p w14:paraId="79BB0425" w14:textId="77777777" w:rsidR="00925B7F" w:rsidRPr="00925B7F" w:rsidRDefault="00925B7F" w:rsidP="00925B7F">
            <w:pPr>
              <w:jc w:val="center"/>
              <w:rPr>
                <w:color w:val="000000"/>
                <w:lang w:eastAsia="en-US"/>
              </w:rPr>
            </w:pPr>
            <w:r w:rsidRPr="00925B7F">
              <w:rPr>
                <w:color w:val="000000"/>
                <w:lang w:eastAsia="en-US"/>
              </w:rPr>
              <w:t>98,7</w:t>
            </w:r>
          </w:p>
          <w:p w14:paraId="169AE951" w14:textId="77777777" w:rsidR="00925B7F" w:rsidRPr="00925B7F" w:rsidRDefault="00925B7F" w:rsidP="00925B7F">
            <w:pPr>
              <w:jc w:val="center"/>
              <w:rPr>
                <w:color w:val="000000"/>
                <w:lang w:eastAsia="en-US"/>
              </w:rPr>
            </w:pPr>
            <w:r w:rsidRPr="00925B7F">
              <w:rPr>
                <w:color w:val="000000"/>
                <w:lang w:eastAsia="en-US"/>
              </w:rPr>
              <w:t>99,6</w:t>
            </w:r>
          </w:p>
          <w:p w14:paraId="4FF5953A" w14:textId="77777777" w:rsidR="00925B7F" w:rsidRPr="00925B7F" w:rsidRDefault="00925B7F" w:rsidP="00925B7F">
            <w:pPr>
              <w:jc w:val="center"/>
              <w:rPr>
                <w:color w:val="000000"/>
                <w:lang w:eastAsia="en-US"/>
              </w:rPr>
            </w:pPr>
            <w:r w:rsidRPr="00925B7F">
              <w:rPr>
                <w:color w:val="000000"/>
                <w:lang w:eastAsia="en-US"/>
              </w:rPr>
              <w:t>100,7</w:t>
            </w:r>
          </w:p>
          <w:p w14:paraId="1B6AB2E1" w14:textId="77777777" w:rsidR="00925B7F" w:rsidRPr="00925B7F" w:rsidRDefault="00925B7F" w:rsidP="00925B7F">
            <w:pPr>
              <w:jc w:val="center"/>
              <w:rPr>
                <w:color w:val="000000"/>
                <w:lang w:eastAsia="en-US"/>
              </w:rPr>
            </w:pPr>
            <w:r w:rsidRPr="00925B7F">
              <w:rPr>
                <w:color w:val="000000"/>
                <w:lang w:eastAsia="en-US"/>
              </w:rPr>
              <w:t>100,6</w:t>
            </w:r>
          </w:p>
        </w:tc>
      </w:tr>
      <w:tr w:rsidR="00925B7F" w:rsidRPr="00925B7F" w14:paraId="1FA3A450" w14:textId="77777777" w:rsidTr="00A42708">
        <w:trPr>
          <w:trHeight w:val="86"/>
        </w:trPr>
        <w:tc>
          <w:tcPr>
            <w:tcW w:w="3437" w:type="dxa"/>
            <w:gridSpan w:val="2"/>
            <w:vAlign w:val="center"/>
          </w:tcPr>
          <w:p w14:paraId="7CEC03A5" w14:textId="77777777" w:rsidR="00925B7F" w:rsidRPr="00925B7F" w:rsidRDefault="00925B7F" w:rsidP="00925B7F">
            <w:pPr>
              <w:jc w:val="center"/>
              <w:rPr>
                <w:b/>
                <w:i/>
                <w:color w:val="000000"/>
                <w:lang w:eastAsia="en-US"/>
              </w:rPr>
            </w:pPr>
            <w:r w:rsidRPr="00925B7F">
              <w:rPr>
                <w:b/>
                <w:i/>
                <w:color w:val="000000"/>
                <w:lang w:eastAsia="en-US"/>
              </w:rPr>
              <w:t>фактор подобия f2</w:t>
            </w:r>
          </w:p>
        </w:tc>
        <w:tc>
          <w:tcPr>
            <w:tcW w:w="5908" w:type="dxa"/>
            <w:gridSpan w:val="2"/>
            <w:vAlign w:val="center"/>
          </w:tcPr>
          <w:p w14:paraId="0554C203" w14:textId="77777777" w:rsidR="00925B7F" w:rsidRPr="00925B7F" w:rsidRDefault="00925B7F" w:rsidP="00925B7F">
            <w:pPr>
              <w:jc w:val="center"/>
              <w:rPr>
                <w:color w:val="000000"/>
                <w:lang w:eastAsia="en-US"/>
              </w:rPr>
            </w:pPr>
            <w:r w:rsidRPr="00925B7F">
              <w:rPr>
                <w:b/>
                <w:i/>
                <w:color w:val="000000"/>
                <w:lang w:eastAsia="en-US"/>
              </w:rPr>
              <w:t>Эквивалентно без математической оценки</w:t>
            </w:r>
          </w:p>
        </w:tc>
      </w:tr>
      <w:tr w:rsidR="00925B7F" w:rsidRPr="00925B7F" w14:paraId="1D6D8184" w14:textId="77777777" w:rsidTr="00C85EE8">
        <w:tc>
          <w:tcPr>
            <w:tcW w:w="2524" w:type="dxa"/>
            <w:vAlign w:val="center"/>
          </w:tcPr>
          <w:p w14:paraId="63E365E1" w14:textId="77777777" w:rsidR="00925B7F" w:rsidRPr="00925B7F" w:rsidRDefault="00925B7F" w:rsidP="00925B7F">
            <w:pPr>
              <w:jc w:val="center"/>
              <w:rPr>
                <w:color w:val="000000"/>
                <w:lang w:eastAsia="en-US"/>
              </w:rPr>
            </w:pPr>
            <w:r w:rsidRPr="00925B7F">
              <w:rPr>
                <w:color w:val="000000"/>
                <w:lang w:eastAsia="en-US"/>
              </w:rPr>
              <w:t>Фосфатный буферный раствор рН 6,8</w:t>
            </w:r>
          </w:p>
        </w:tc>
        <w:tc>
          <w:tcPr>
            <w:tcW w:w="913" w:type="dxa"/>
            <w:vAlign w:val="center"/>
          </w:tcPr>
          <w:p w14:paraId="25C85A42" w14:textId="77777777" w:rsidR="00925B7F" w:rsidRPr="00925B7F" w:rsidRDefault="00925B7F" w:rsidP="00925B7F">
            <w:pPr>
              <w:jc w:val="center"/>
              <w:rPr>
                <w:color w:val="000000"/>
                <w:lang w:eastAsia="en-US"/>
              </w:rPr>
            </w:pPr>
            <w:r w:rsidRPr="00925B7F">
              <w:rPr>
                <w:color w:val="000000"/>
                <w:lang w:eastAsia="en-US"/>
              </w:rPr>
              <w:t>10</w:t>
            </w:r>
          </w:p>
          <w:p w14:paraId="123B5093" w14:textId="77777777" w:rsidR="00925B7F" w:rsidRPr="00925B7F" w:rsidRDefault="00925B7F" w:rsidP="00925B7F">
            <w:pPr>
              <w:jc w:val="center"/>
              <w:rPr>
                <w:color w:val="000000"/>
                <w:lang w:eastAsia="en-US"/>
              </w:rPr>
            </w:pPr>
            <w:r w:rsidRPr="00925B7F">
              <w:rPr>
                <w:color w:val="000000"/>
                <w:lang w:eastAsia="en-US"/>
              </w:rPr>
              <w:t>15</w:t>
            </w:r>
          </w:p>
          <w:p w14:paraId="088ECC88" w14:textId="77777777" w:rsidR="00925B7F" w:rsidRPr="00925B7F" w:rsidRDefault="00925B7F" w:rsidP="00925B7F">
            <w:pPr>
              <w:jc w:val="center"/>
              <w:rPr>
                <w:color w:val="000000"/>
                <w:lang w:eastAsia="en-US"/>
              </w:rPr>
            </w:pPr>
            <w:r w:rsidRPr="00925B7F">
              <w:rPr>
                <w:color w:val="000000"/>
                <w:lang w:eastAsia="en-US"/>
              </w:rPr>
              <w:t>20</w:t>
            </w:r>
          </w:p>
          <w:p w14:paraId="69492890" w14:textId="77777777" w:rsidR="00925B7F" w:rsidRPr="00925B7F" w:rsidRDefault="00925B7F" w:rsidP="00925B7F">
            <w:pPr>
              <w:jc w:val="center"/>
              <w:rPr>
                <w:color w:val="000000"/>
                <w:lang w:eastAsia="en-US"/>
              </w:rPr>
            </w:pPr>
            <w:r w:rsidRPr="00925B7F">
              <w:rPr>
                <w:color w:val="000000"/>
                <w:lang w:eastAsia="en-US"/>
              </w:rPr>
              <w:t>30</w:t>
            </w:r>
          </w:p>
          <w:p w14:paraId="36A60E21" w14:textId="77777777" w:rsidR="00925B7F" w:rsidRPr="00925B7F" w:rsidRDefault="00925B7F" w:rsidP="00925B7F">
            <w:pPr>
              <w:jc w:val="center"/>
              <w:rPr>
                <w:color w:val="000000"/>
                <w:lang w:eastAsia="en-US"/>
              </w:rPr>
            </w:pPr>
            <w:r w:rsidRPr="00925B7F">
              <w:rPr>
                <w:color w:val="000000"/>
                <w:lang w:eastAsia="en-US"/>
              </w:rPr>
              <w:t>45</w:t>
            </w:r>
          </w:p>
        </w:tc>
        <w:tc>
          <w:tcPr>
            <w:tcW w:w="3034" w:type="dxa"/>
            <w:vAlign w:val="center"/>
          </w:tcPr>
          <w:p w14:paraId="1B78DE75" w14:textId="77777777" w:rsidR="00925B7F" w:rsidRPr="00925B7F" w:rsidRDefault="00925B7F" w:rsidP="00925B7F">
            <w:pPr>
              <w:jc w:val="center"/>
              <w:rPr>
                <w:color w:val="000000"/>
                <w:lang w:eastAsia="en-US"/>
              </w:rPr>
            </w:pPr>
            <w:r w:rsidRPr="00925B7F">
              <w:rPr>
                <w:color w:val="000000"/>
                <w:lang w:eastAsia="en-US"/>
              </w:rPr>
              <w:t>92,8</w:t>
            </w:r>
          </w:p>
          <w:p w14:paraId="06FAF983" w14:textId="77777777" w:rsidR="00925B7F" w:rsidRPr="00925B7F" w:rsidRDefault="00925B7F" w:rsidP="00925B7F">
            <w:pPr>
              <w:jc w:val="center"/>
              <w:rPr>
                <w:color w:val="000000"/>
                <w:lang w:eastAsia="en-US"/>
              </w:rPr>
            </w:pPr>
            <w:r w:rsidRPr="00925B7F">
              <w:rPr>
                <w:color w:val="000000"/>
                <w:lang w:eastAsia="en-US"/>
              </w:rPr>
              <w:t>100,2</w:t>
            </w:r>
          </w:p>
          <w:p w14:paraId="6542C33F" w14:textId="77777777" w:rsidR="00925B7F" w:rsidRPr="00925B7F" w:rsidRDefault="00925B7F" w:rsidP="00925B7F">
            <w:pPr>
              <w:jc w:val="center"/>
              <w:rPr>
                <w:color w:val="000000"/>
                <w:lang w:eastAsia="en-US"/>
              </w:rPr>
            </w:pPr>
            <w:r w:rsidRPr="00925B7F">
              <w:rPr>
                <w:color w:val="000000"/>
                <w:lang w:eastAsia="en-US"/>
              </w:rPr>
              <w:t>101,8</w:t>
            </w:r>
          </w:p>
          <w:p w14:paraId="4D492B9E" w14:textId="77777777" w:rsidR="00925B7F" w:rsidRPr="00925B7F" w:rsidRDefault="00925B7F" w:rsidP="00925B7F">
            <w:pPr>
              <w:jc w:val="center"/>
              <w:rPr>
                <w:color w:val="000000"/>
                <w:lang w:eastAsia="en-US"/>
              </w:rPr>
            </w:pPr>
            <w:r w:rsidRPr="00925B7F">
              <w:rPr>
                <w:color w:val="000000"/>
                <w:lang w:eastAsia="en-US"/>
              </w:rPr>
              <w:t>102,0</w:t>
            </w:r>
          </w:p>
          <w:p w14:paraId="0B1B1D2D" w14:textId="77777777" w:rsidR="00925B7F" w:rsidRPr="00925B7F" w:rsidRDefault="00925B7F" w:rsidP="00925B7F">
            <w:pPr>
              <w:jc w:val="center"/>
              <w:rPr>
                <w:color w:val="000000"/>
                <w:lang w:eastAsia="en-US"/>
              </w:rPr>
            </w:pPr>
            <w:r w:rsidRPr="00925B7F">
              <w:rPr>
                <w:color w:val="000000"/>
                <w:lang w:eastAsia="en-US"/>
              </w:rPr>
              <w:t>102,6</w:t>
            </w:r>
          </w:p>
        </w:tc>
        <w:tc>
          <w:tcPr>
            <w:tcW w:w="2874" w:type="dxa"/>
            <w:vAlign w:val="center"/>
          </w:tcPr>
          <w:p w14:paraId="2A3AF37B" w14:textId="77777777" w:rsidR="00925B7F" w:rsidRPr="00925B7F" w:rsidRDefault="00925B7F" w:rsidP="00925B7F">
            <w:pPr>
              <w:jc w:val="center"/>
              <w:rPr>
                <w:color w:val="000000"/>
                <w:lang w:eastAsia="en-US"/>
              </w:rPr>
            </w:pPr>
            <w:r w:rsidRPr="00925B7F">
              <w:rPr>
                <w:color w:val="000000"/>
                <w:lang w:eastAsia="en-US"/>
              </w:rPr>
              <w:t>99,7</w:t>
            </w:r>
          </w:p>
          <w:p w14:paraId="329B8F00" w14:textId="77777777" w:rsidR="00925B7F" w:rsidRPr="00925B7F" w:rsidRDefault="00925B7F" w:rsidP="00925B7F">
            <w:pPr>
              <w:jc w:val="center"/>
              <w:rPr>
                <w:color w:val="000000"/>
                <w:lang w:eastAsia="en-US"/>
              </w:rPr>
            </w:pPr>
            <w:r w:rsidRPr="00925B7F">
              <w:rPr>
                <w:color w:val="000000"/>
                <w:lang w:eastAsia="en-US"/>
              </w:rPr>
              <w:t>101,0</w:t>
            </w:r>
          </w:p>
          <w:p w14:paraId="14C9BA43" w14:textId="77777777" w:rsidR="00925B7F" w:rsidRPr="00925B7F" w:rsidRDefault="00925B7F" w:rsidP="00925B7F">
            <w:pPr>
              <w:jc w:val="center"/>
              <w:rPr>
                <w:color w:val="000000"/>
                <w:lang w:eastAsia="en-US"/>
              </w:rPr>
            </w:pPr>
            <w:r w:rsidRPr="00925B7F">
              <w:rPr>
                <w:color w:val="000000"/>
                <w:lang w:eastAsia="en-US"/>
              </w:rPr>
              <w:t>101,5</w:t>
            </w:r>
          </w:p>
          <w:p w14:paraId="19FB45DA" w14:textId="77777777" w:rsidR="00925B7F" w:rsidRPr="00925B7F" w:rsidRDefault="00925B7F" w:rsidP="00925B7F">
            <w:pPr>
              <w:jc w:val="center"/>
              <w:rPr>
                <w:color w:val="000000"/>
                <w:lang w:eastAsia="en-US"/>
              </w:rPr>
            </w:pPr>
            <w:r w:rsidRPr="00925B7F">
              <w:rPr>
                <w:color w:val="000000"/>
                <w:lang w:eastAsia="en-US"/>
              </w:rPr>
              <w:t>101,6</w:t>
            </w:r>
          </w:p>
          <w:p w14:paraId="57B387CC" w14:textId="77777777" w:rsidR="00925B7F" w:rsidRPr="00925B7F" w:rsidRDefault="00925B7F" w:rsidP="00925B7F">
            <w:pPr>
              <w:jc w:val="center"/>
              <w:rPr>
                <w:color w:val="000000"/>
                <w:lang w:eastAsia="en-US"/>
              </w:rPr>
            </w:pPr>
            <w:r w:rsidRPr="00925B7F">
              <w:rPr>
                <w:color w:val="000000"/>
                <w:lang w:eastAsia="en-US"/>
              </w:rPr>
              <w:t>101,7</w:t>
            </w:r>
          </w:p>
        </w:tc>
      </w:tr>
      <w:tr w:rsidR="00925B7F" w:rsidRPr="00925B7F" w14:paraId="2D8F92F0" w14:textId="77777777" w:rsidTr="00A42708">
        <w:trPr>
          <w:trHeight w:val="64"/>
        </w:trPr>
        <w:tc>
          <w:tcPr>
            <w:tcW w:w="3437" w:type="dxa"/>
            <w:gridSpan w:val="2"/>
            <w:vAlign w:val="center"/>
          </w:tcPr>
          <w:p w14:paraId="0D0E67B8" w14:textId="77777777" w:rsidR="00925B7F" w:rsidRPr="00925B7F" w:rsidRDefault="00925B7F" w:rsidP="00925B7F">
            <w:pPr>
              <w:jc w:val="center"/>
              <w:rPr>
                <w:b/>
                <w:i/>
                <w:color w:val="000000"/>
                <w:highlight w:val="yellow"/>
                <w:lang w:eastAsia="en-US"/>
              </w:rPr>
            </w:pPr>
            <w:r w:rsidRPr="00925B7F">
              <w:rPr>
                <w:b/>
                <w:i/>
                <w:color w:val="000000"/>
                <w:lang w:eastAsia="en-US"/>
              </w:rPr>
              <w:t>фактор подобия f2</w:t>
            </w:r>
          </w:p>
        </w:tc>
        <w:tc>
          <w:tcPr>
            <w:tcW w:w="5908" w:type="dxa"/>
            <w:gridSpan w:val="2"/>
            <w:vAlign w:val="center"/>
          </w:tcPr>
          <w:p w14:paraId="7CADAB3F" w14:textId="77777777" w:rsidR="00925B7F" w:rsidRPr="00925B7F" w:rsidRDefault="00925B7F" w:rsidP="00925B7F">
            <w:pPr>
              <w:jc w:val="center"/>
              <w:rPr>
                <w:b/>
                <w:lang w:eastAsia="en-US"/>
              </w:rPr>
            </w:pPr>
            <w:r w:rsidRPr="00925B7F">
              <w:rPr>
                <w:b/>
                <w:i/>
                <w:color w:val="000000"/>
                <w:lang w:eastAsia="en-US"/>
              </w:rPr>
              <w:t>Эквивалентно без математической оценки</w:t>
            </w:r>
          </w:p>
        </w:tc>
      </w:tr>
      <w:tr w:rsidR="00A42708" w:rsidRPr="00925B7F" w14:paraId="352E1CE8" w14:textId="77777777" w:rsidTr="00C85EE8">
        <w:trPr>
          <w:trHeight w:val="64"/>
        </w:trPr>
        <w:tc>
          <w:tcPr>
            <w:tcW w:w="9345" w:type="dxa"/>
            <w:gridSpan w:val="4"/>
            <w:vAlign w:val="center"/>
          </w:tcPr>
          <w:p w14:paraId="18B12855" w14:textId="77777777" w:rsidR="00A42708" w:rsidRPr="00260D8E" w:rsidRDefault="00260D8E" w:rsidP="00260D8E">
            <w:pPr>
              <w:rPr>
                <w:b/>
                <w:color w:val="000000"/>
                <w:sz w:val="20"/>
                <w:szCs w:val="20"/>
                <w:lang w:eastAsia="en-US"/>
              </w:rPr>
            </w:pPr>
            <w:r w:rsidRPr="00260D8E">
              <w:rPr>
                <w:b/>
                <w:color w:val="000000"/>
                <w:sz w:val="20"/>
                <w:szCs w:val="20"/>
                <w:lang w:eastAsia="en-US"/>
              </w:rPr>
              <w:t>Примечание:</w:t>
            </w:r>
          </w:p>
          <w:p w14:paraId="1A0E6464" w14:textId="1D8B4F1A" w:rsidR="00260D8E" w:rsidRPr="00260D8E" w:rsidRDefault="00260D8E" w:rsidP="00260D8E">
            <w:pPr>
              <w:rPr>
                <w:color w:val="000000"/>
                <w:sz w:val="20"/>
                <w:szCs w:val="20"/>
                <w:lang w:eastAsia="en-US"/>
              </w:rPr>
            </w:pPr>
            <w:r w:rsidRPr="00260D8E">
              <w:rPr>
                <w:color w:val="000000"/>
                <w:sz w:val="20"/>
                <w:szCs w:val="20"/>
                <w:lang w:eastAsia="en-US"/>
              </w:rPr>
              <w:t>Тппо – таблетки, покрытые пленочной оболочкой</w:t>
            </w:r>
          </w:p>
        </w:tc>
      </w:tr>
    </w:tbl>
    <w:p w14:paraId="2BDAEFD3" w14:textId="005BEE2A" w:rsidR="00FD7514" w:rsidRDefault="00FD7514" w:rsidP="007E4F51">
      <w:pPr>
        <w:rPr>
          <w:color w:val="000000"/>
        </w:rPr>
      </w:pPr>
    </w:p>
    <w:p w14:paraId="07E88F6D" w14:textId="2ECF27DC" w:rsidR="00482E54" w:rsidRDefault="00482E54" w:rsidP="00482E54">
      <w:r w:rsidRPr="007A55CB">
        <w:rPr>
          <w:b/>
        </w:rPr>
        <w:t>Рисунок 2-2.</w:t>
      </w:r>
      <w:r w:rsidRPr="007A55CB">
        <w:t xml:space="preserve"> Усредненные профили высвобождения </w:t>
      </w:r>
      <w:r w:rsidRPr="00482E54">
        <w:t>действующего вещества</w:t>
      </w:r>
      <w:r w:rsidRPr="007A55CB">
        <w:t xml:space="preserve"> из препаратов </w:t>
      </w:r>
      <w:r w:rsidRPr="007A55CB">
        <w:rPr>
          <w:color w:val="000000" w:themeColor="text1"/>
          <w:lang w:val="en-US"/>
        </w:rPr>
        <w:t>DT</w:t>
      </w:r>
      <w:r w:rsidRPr="007A55CB">
        <w:rPr>
          <w:color w:val="000000" w:themeColor="text1"/>
        </w:rPr>
        <w:t>-</w:t>
      </w:r>
      <w:r>
        <w:rPr>
          <w:lang w:val="en-US" w:eastAsia="ru-RU"/>
        </w:rPr>
        <w:t>LNG</w:t>
      </w:r>
      <w:r w:rsidRPr="007A55CB">
        <w:rPr>
          <w:color w:val="000000" w:themeColor="text1"/>
        </w:rPr>
        <w:t xml:space="preserve"> </w:t>
      </w:r>
      <w:r w:rsidRPr="00904040">
        <w:rPr>
          <w:color w:val="000000" w:themeColor="text1"/>
        </w:rPr>
        <w:t xml:space="preserve">и </w:t>
      </w:r>
      <w:r>
        <w:rPr>
          <w:lang w:eastAsia="ru-RU"/>
        </w:rPr>
        <w:t>Тражента</w:t>
      </w:r>
      <w:r w:rsidRPr="00904040">
        <w:rPr>
          <w:vertAlign w:val="superscript"/>
          <w:lang w:eastAsia="ru-RU"/>
        </w:rPr>
        <w:t>®</w:t>
      </w:r>
      <w:r w:rsidRPr="00904040">
        <w:rPr>
          <w:lang w:eastAsia="ru-RU"/>
        </w:rPr>
        <w:t xml:space="preserve">, </w:t>
      </w:r>
      <w:r>
        <w:rPr>
          <w:color w:val="000000" w:themeColor="text1"/>
        </w:rPr>
        <w:t>в дозировке 5</w:t>
      </w:r>
      <w:r w:rsidRPr="00904040">
        <w:rPr>
          <w:color w:val="000000" w:themeColor="text1"/>
        </w:rPr>
        <w:t xml:space="preserve"> мг </w:t>
      </w:r>
      <w:r w:rsidRPr="00904040">
        <w:t xml:space="preserve">в </w:t>
      </w:r>
      <w:r w:rsidRPr="00904040">
        <w:rPr>
          <w:spacing w:val="-4"/>
        </w:rPr>
        <w:t>0,1 М растворе хлороводородной кислоты</w:t>
      </w:r>
      <w:r w:rsidRPr="00904040">
        <w:t>.</w:t>
      </w:r>
    </w:p>
    <w:p w14:paraId="5C38E8E7" w14:textId="2B886293" w:rsidR="00482E54" w:rsidRDefault="00416311" w:rsidP="00482E54">
      <w:r>
        <w:rPr>
          <w:noProof/>
          <w:lang w:eastAsia="ru-RU"/>
        </w:rPr>
        <w:drawing>
          <wp:inline distT="0" distB="0" distL="0" distR="0" wp14:anchorId="2A3A7D7E" wp14:editId="7E7A9946">
            <wp:extent cx="5943600" cy="2449002"/>
            <wp:effectExtent l="0" t="0" r="0" b="889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300395" w14:textId="77777777" w:rsidR="00472B57" w:rsidRDefault="00472B57" w:rsidP="00482E54"/>
    <w:p w14:paraId="0A33CDAF" w14:textId="27A4D649" w:rsidR="00482E54" w:rsidRPr="00904040" w:rsidRDefault="00482E54" w:rsidP="00482E54">
      <w:r w:rsidRPr="007A55CB">
        <w:rPr>
          <w:b/>
        </w:rPr>
        <w:lastRenderedPageBreak/>
        <w:t>Рисунок 2-</w:t>
      </w:r>
      <w:r>
        <w:rPr>
          <w:b/>
        </w:rPr>
        <w:t>3</w:t>
      </w:r>
      <w:r w:rsidRPr="007A55CB">
        <w:rPr>
          <w:b/>
        </w:rPr>
        <w:t>.</w:t>
      </w:r>
      <w:r w:rsidRPr="007A55CB">
        <w:t xml:space="preserve"> Усредненные профили высвобождения </w:t>
      </w:r>
      <w:r w:rsidRPr="00482E54">
        <w:t>действующего вещества</w:t>
      </w:r>
      <w:r w:rsidRPr="007A55CB">
        <w:t xml:space="preserve"> из препаратов </w:t>
      </w:r>
      <w:r w:rsidRPr="007A55CB">
        <w:rPr>
          <w:color w:val="000000" w:themeColor="text1"/>
          <w:lang w:val="en-US"/>
        </w:rPr>
        <w:t>DT</w:t>
      </w:r>
      <w:r w:rsidRPr="007A55CB">
        <w:rPr>
          <w:color w:val="000000" w:themeColor="text1"/>
        </w:rPr>
        <w:t>-</w:t>
      </w:r>
      <w:r>
        <w:rPr>
          <w:lang w:val="en-US" w:eastAsia="ru-RU"/>
        </w:rPr>
        <w:t>LNG</w:t>
      </w:r>
      <w:r w:rsidRPr="007A55CB">
        <w:rPr>
          <w:color w:val="000000" w:themeColor="text1"/>
        </w:rPr>
        <w:t xml:space="preserve"> </w:t>
      </w:r>
      <w:r w:rsidRPr="00904040">
        <w:rPr>
          <w:color w:val="000000" w:themeColor="text1"/>
        </w:rPr>
        <w:t xml:space="preserve">и </w:t>
      </w:r>
      <w:r>
        <w:rPr>
          <w:lang w:eastAsia="ru-RU"/>
        </w:rPr>
        <w:t>Тражента</w:t>
      </w:r>
      <w:r w:rsidRPr="00904040">
        <w:rPr>
          <w:vertAlign w:val="superscript"/>
          <w:lang w:eastAsia="ru-RU"/>
        </w:rPr>
        <w:t>®</w:t>
      </w:r>
      <w:r w:rsidRPr="00904040">
        <w:rPr>
          <w:lang w:eastAsia="ru-RU"/>
        </w:rPr>
        <w:t xml:space="preserve">, </w:t>
      </w:r>
      <w:r>
        <w:rPr>
          <w:color w:val="000000" w:themeColor="text1"/>
        </w:rPr>
        <w:t>в дозировке 5</w:t>
      </w:r>
      <w:r w:rsidRPr="00904040">
        <w:rPr>
          <w:color w:val="000000" w:themeColor="text1"/>
        </w:rPr>
        <w:t xml:space="preserve"> мг </w:t>
      </w:r>
      <w:r w:rsidRPr="00904040">
        <w:t xml:space="preserve">в </w:t>
      </w:r>
      <w:r>
        <w:rPr>
          <w:spacing w:val="-4"/>
        </w:rPr>
        <w:t xml:space="preserve">ацетатном буферном растворе с </w:t>
      </w:r>
      <w:r>
        <w:rPr>
          <w:spacing w:val="-4"/>
          <w:lang w:val="en-US"/>
        </w:rPr>
        <w:t>pH</w:t>
      </w:r>
      <w:r>
        <w:rPr>
          <w:spacing w:val="-4"/>
        </w:rPr>
        <w:t xml:space="preserve"> 4,5</w:t>
      </w:r>
      <w:r w:rsidRPr="00904040">
        <w:t>.</w:t>
      </w:r>
    </w:p>
    <w:p w14:paraId="611D5B2D" w14:textId="17A9C1A6" w:rsidR="00482E54" w:rsidRDefault="00681B29" w:rsidP="00482E54">
      <w:r>
        <w:rPr>
          <w:noProof/>
          <w:lang w:eastAsia="ru-RU"/>
        </w:rPr>
        <w:drawing>
          <wp:inline distT="0" distB="0" distL="0" distR="0" wp14:anchorId="6676CB01" wp14:editId="5E658255">
            <wp:extent cx="5962015" cy="2552369"/>
            <wp:effectExtent l="0" t="0" r="635" b="63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826AED" w14:textId="2B542863" w:rsidR="00482E54" w:rsidRPr="00904040" w:rsidRDefault="00482E54" w:rsidP="00482E54">
      <w:r w:rsidRPr="007A55CB">
        <w:rPr>
          <w:b/>
        </w:rPr>
        <w:t>Рисунок 2-</w:t>
      </w:r>
      <w:r>
        <w:rPr>
          <w:b/>
        </w:rPr>
        <w:t>4</w:t>
      </w:r>
      <w:r w:rsidRPr="007A55CB">
        <w:rPr>
          <w:b/>
        </w:rPr>
        <w:t>.</w:t>
      </w:r>
      <w:r w:rsidRPr="007A55CB">
        <w:t xml:space="preserve"> Усредненные профили высвобождения </w:t>
      </w:r>
      <w:r w:rsidRPr="00482E54">
        <w:t>действующего вещества</w:t>
      </w:r>
      <w:r w:rsidRPr="007A55CB">
        <w:t xml:space="preserve"> из препаратов </w:t>
      </w:r>
      <w:r w:rsidRPr="007A55CB">
        <w:rPr>
          <w:color w:val="000000" w:themeColor="text1"/>
          <w:lang w:val="en-US"/>
        </w:rPr>
        <w:t>DT</w:t>
      </w:r>
      <w:r w:rsidRPr="007A55CB">
        <w:rPr>
          <w:color w:val="000000" w:themeColor="text1"/>
        </w:rPr>
        <w:t>-</w:t>
      </w:r>
      <w:r>
        <w:rPr>
          <w:lang w:val="en-US" w:eastAsia="ru-RU"/>
        </w:rPr>
        <w:t>LNG</w:t>
      </w:r>
      <w:r w:rsidRPr="007A55CB">
        <w:rPr>
          <w:color w:val="000000" w:themeColor="text1"/>
        </w:rPr>
        <w:t xml:space="preserve"> </w:t>
      </w:r>
      <w:r w:rsidRPr="00904040">
        <w:rPr>
          <w:color w:val="000000" w:themeColor="text1"/>
        </w:rPr>
        <w:t xml:space="preserve">и </w:t>
      </w:r>
      <w:r>
        <w:rPr>
          <w:lang w:eastAsia="ru-RU"/>
        </w:rPr>
        <w:t>Тражента</w:t>
      </w:r>
      <w:r w:rsidRPr="00904040">
        <w:rPr>
          <w:vertAlign w:val="superscript"/>
          <w:lang w:eastAsia="ru-RU"/>
        </w:rPr>
        <w:t>®</w:t>
      </w:r>
      <w:r w:rsidRPr="00904040">
        <w:rPr>
          <w:lang w:eastAsia="ru-RU"/>
        </w:rPr>
        <w:t xml:space="preserve">, </w:t>
      </w:r>
      <w:r>
        <w:rPr>
          <w:color w:val="000000" w:themeColor="text1"/>
        </w:rPr>
        <w:t>в дозировке 5</w:t>
      </w:r>
      <w:r w:rsidRPr="00904040">
        <w:rPr>
          <w:color w:val="000000" w:themeColor="text1"/>
        </w:rPr>
        <w:t xml:space="preserve"> мг </w:t>
      </w:r>
      <w:r w:rsidRPr="00904040">
        <w:t xml:space="preserve">в </w:t>
      </w:r>
      <w:r w:rsidR="00472B57">
        <w:rPr>
          <w:spacing w:val="-4"/>
        </w:rPr>
        <w:t>фосфатном</w:t>
      </w:r>
      <w:r>
        <w:rPr>
          <w:spacing w:val="-4"/>
        </w:rPr>
        <w:t xml:space="preserve"> буферном растворе с </w:t>
      </w:r>
      <w:r>
        <w:rPr>
          <w:spacing w:val="-4"/>
          <w:lang w:val="en-US"/>
        </w:rPr>
        <w:t>pH</w:t>
      </w:r>
      <w:r>
        <w:rPr>
          <w:spacing w:val="-4"/>
        </w:rPr>
        <w:t xml:space="preserve"> </w:t>
      </w:r>
      <w:r w:rsidR="00472B57">
        <w:rPr>
          <w:spacing w:val="-4"/>
        </w:rPr>
        <w:t>6</w:t>
      </w:r>
      <w:r>
        <w:rPr>
          <w:spacing w:val="-4"/>
        </w:rPr>
        <w:t>,</w:t>
      </w:r>
      <w:r w:rsidR="00472B57">
        <w:rPr>
          <w:spacing w:val="-4"/>
        </w:rPr>
        <w:t>8</w:t>
      </w:r>
      <w:r w:rsidRPr="00904040">
        <w:t>.</w:t>
      </w:r>
    </w:p>
    <w:p w14:paraId="29498BB2" w14:textId="4D3DEC42" w:rsidR="00482E54" w:rsidRPr="00904040" w:rsidRDefault="00915DDB" w:rsidP="00482E54">
      <w:r>
        <w:rPr>
          <w:noProof/>
          <w:lang w:eastAsia="ru-RU"/>
        </w:rPr>
        <w:drawing>
          <wp:inline distT="0" distB="0" distL="0" distR="0" wp14:anchorId="5B9D7FCF" wp14:editId="4F42E905">
            <wp:extent cx="5951855" cy="2380891"/>
            <wp:effectExtent l="0" t="0" r="10795" b="63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CC8272" w14:textId="77777777" w:rsidR="00482E54" w:rsidRPr="0073333B" w:rsidRDefault="00482E54" w:rsidP="00915DDB">
      <w:pPr>
        <w:rPr>
          <w:color w:val="000000"/>
        </w:rPr>
      </w:pPr>
    </w:p>
    <w:p w14:paraId="465A9929" w14:textId="43292025" w:rsidR="00295007" w:rsidRDefault="00295007" w:rsidP="00915DDB">
      <w:pPr>
        <w:pStyle w:val="111"/>
        <w:spacing w:before="0"/>
      </w:pPr>
      <w:bookmarkStart w:id="67" w:name="_Toc139361940"/>
      <w:r w:rsidRPr="00EB0650">
        <w:t>2.2.4 Форма выпуска</w:t>
      </w:r>
      <w:bookmarkEnd w:id="67"/>
    </w:p>
    <w:p w14:paraId="7A3AB99C" w14:textId="77777777" w:rsidR="006B2D17" w:rsidRPr="006B2D17" w:rsidRDefault="006B2D17" w:rsidP="006B2D17">
      <w:pPr>
        <w:ind w:firstLine="709"/>
      </w:pPr>
      <w:r w:rsidRPr="006B2D17">
        <w:t>По 7 таблеток в контурную ячейковую упаковку из фольги алюминиевой и фольги алюминиевой печатной лакированной. По 2, 4 или 8 контурные ячейковые упаковки вместе с инструкцией по применению (листком-вкладышем) помещают в пачку из картона коробочного.</w:t>
      </w:r>
    </w:p>
    <w:p w14:paraId="39EF97AC" w14:textId="77777777" w:rsidR="006B2D17" w:rsidRPr="006B2D17" w:rsidRDefault="006B2D17" w:rsidP="006B2D17">
      <w:pPr>
        <w:ind w:firstLine="709"/>
      </w:pPr>
      <w:r w:rsidRPr="006B2D17">
        <w:t>По 10 таблеток в контурную ячейковую упаковку из фольги алюминиевой и фольги алюминиевой печатной лакированной. По 3 контурные ячейковые упаковки вместе с инструкцией по применению (листком-вкладышем) помещают в пачку из картона коробочного.</w:t>
      </w:r>
    </w:p>
    <w:p w14:paraId="1BC30C67" w14:textId="6C5A00A1" w:rsidR="009563A8" w:rsidRDefault="006B2D17" w:rsidP="006B2D17">
      <w:pPr>
        <w:ind w:firstLine="709"/>
      </w:pPr>
      <w:r w:rsidRPr="006B2D17">
        <w:t>Пачки помещают в групповую упаковку.</w:t>
      </w:r>
    </w:p>
    <w:p w14:paraId="53D70438" w14:textId="77777777" w:rsidR="0049695C" w:rsidRDefault="0049695C" w:rsidP="006B2D17">
      <w:pPr>
        <w:ind w:firstLine="709"/>
      </w:pPr>
    </w:p>
    <w:p w14:paraId="20359C01" w14:textId="77777777" w:rsidR="0049695C" w:rsidRPr="0049695C" w:rsidRDefault="0049695C" w:rsidP="0049695C">
      <w:pPr>
        <w:pStyle w:val="2"/>
        <w:spacing w:line="240" w:lineRule="auto"/>
        <w:rPr>
          <w:color w:val="000000" w:themeColor="text1"/>
          <w:szCs w:val="24"/>
        </w:rPr>
      </w:pPr>
      <w:bookmarkStart w:id="68" w:name="_Toc135635376"/>
      <w:bookmarkStart w:id="69" w:name="_Toc138587341"/>
      <w:bookmarkStart w:id="70" w:name="_Toc139361941"/>
      <w:r w:rsidRPr="0049695C">
        <w:rPr>
          <w:color w:val="000000" w:themeColor="text1"/>
          <w:szCs w:val="24"/>
        </w:rPr>
        <w:lastRenderedPageBreak/>
        <w:t>2.3. Правила хранения и обращения</w:t>
      </w:r>
      <w:bookmarkEnd w:id="68"/>
      <w:bookmarkEnd w:id="69"/>
      <w:bookmarkEnd w:id="70"/>
    </w:p>
    <w:p w14:paraId="04ABBE91" w14:textId="78E21DCC" w:rsidR="00295007" w:rsidRDefault="00295007" w:rsidP="00295007">
      <w:pPr>
        <w:pStyle w:val="3"/>
        <w:spacing w:after="240"/>
        <w:rPr>
          <w:rFonts w:ascii="Times New Roman" w:hAnsi="Times New Roman"/>
          <w:color w:val="000000" w:themeColor="text1"/>
          <w:szCs w:val="24"/>
        </w:rPr>
      </w:pPr>
      <w:bookmarkStart w:id="71" w:name="_Toc139361942"/>
      <w:r w:rsidRPr="005E6358">
        <w:rPr>
          <w:rFonts w:ascii="Times New Roman" w:hAnsi="Times New Roman"/>
          <w:color w:val="000000" w:themeColor="text1"/>
          <w:szCs w:val="24"/>
        </w:rPr>
        <w:t>2.3.1</w:t>
      </w:r>
      <w:r w:rsidR="0049695C" w:rsidRPr="0049695C">
        <w:rPr>
          <w:rFonts w:ascii="Times New Roman" w:hAnsi="Times New Roman"/>
          <w:color w:val="000000" w:themeColor="text1"/>
          <w:szCs w:val="24"/>
        </w:rPr>
        <w:t>.</w:t>
      </w:r>
      <w:r w:rsidRPr="005E6358">
        <w:rPr>
          <w:rFonts w:ascii="Times New Roman" w:hAnsi="Times New Roman"/>
          <w:color w:val="000000" w:themeColor="text1"/>
          <w:szCs w:val="24"/>
        </w:rPr>
        <w:t xml:space="preserve"> Условия хранения и транспортировки</w:t>
      </w:r>
      <w:bookmarkEnd w:id="71"/>
    </w:p>
    <w:p w14:paraId="69DC12E2" w14:textId="53AA1C33" w:rsidR="009563A8" w:rsidRDefault="0049695C" w:rsidP="006B2D17">
      <w:pPr>
        <w:ind w:firstLine="709"/>
      </w:pPr>
      <w:r>
        <w:t>При температуре не выше 25°</w:t>
      </w:r>
      <w:r>
        <w:rPr>
          <w:lang w:val="en-US"/>
        </w:rPr>
        <w:t>C</w:t>
      </w:r>
      <w:r w:rsidR="009563A8">
        <w:t>.</w:t>
      </w:r>
    </w:p>
    <w:p w14:paraId="5AE86B0C" w14:textId="097181A6" w:rsidR="00295007" w:rsidRDefault="00295007" w:rsidP="00295007">
      <w:pPr>
        <w:pStyle w:val="3"/>
        <w:spacing w:after="240"/>
        <w:rPr>
          <w:rFonts w:ascii="Times New Roman" w:hAnsi="Times New Roman"/>
          <w:color w:val="000000" w:themeColor="text1"/>
          <w:szCs w:val="24"/>
        </w:rPr>
      </w:pPr>
      <w:bookmarkStart w:id="72" w:name="_Toc139361943"/>
      <w:r w:rsidRPr="00884C56">
        <w:rPr>
          <w:rFonts w:ascii="Times New Roman" w:hAnsi="Times New Roman"/>
          <w:color w:val="000000" w:themeColor="text1"/>
          <w:szCs w:val="24"/>
        </w:rPr>
        <w:t>2.3.2. Срок годности</w:t>
      </w:r>
      <w:bookmarkEnd w:id="72"/>
    </w:p>
    <w:p w14:paraId="62877FC4" w14:textId="0FEFCF85" w:rsidR="009563A8" w:rsidRPr="009563A8" w:rsidRDefault="006B2D17" w:rsidP="006B2D17">
      <w:pPr>
        <w:ind w:firstLine="709"/>
      </w:pPr>
      <w:r>
        <w:t>2</w:t>
      </w:r>
      <w:r w:rsidR="009563A8">
        <w:t xml:space="preserve"> года.</w:t>
      </w:r>
    </w:p>
    <w:p w14:paraId="67F04DEC" w14:textId="12B720A3" w:rsidR="00295007" w:rsidRPr="009563A8" w:rsidRDefault="00295007" w:rsidP="00295007">
      <w:pPr>
        <w:pStyle w:val="3"/>
        <w:spacing w:after="240"/>
        <w:rPr>
          <w:rFonts w:ascii="Times New Roman" w:hAnsi="Times New Roman"/>
          <w:color w:val="000000" w:themeColor="text1"/>
          <w:szCs w:val="24"/>
        </w:rPr>
      </w:pPr>
      <w:bookmarkStart w:id="73" w:name="_Toc139361944"/>
      <w:r w:rsidRPr="005E6358">
        <w:rPr>
          <w:rFonts w:ascii="Times New Roman" w:hAnsi="Times New Roman"/>
          <w:color w:val="000000" w:themeColor="text1"/>
          <w:szCs w:val="24"/>
        </w:rPr>
        <w:t>2.3.3</w:t>
      </w:r>
      <w:r>
        <w:rPr>
          <w:rFonts w:ascii="Times New Roman" w:hAnsi="Times New Roman"/>
          <w:color w:val="000000" w:themeColor="text1"/>
          <w:szCs w:val="24"/>
        </w:rPr>
        <w:t>.</w:t>
      </w:r>
      <w:r w:rsidRPr="005E6358">
        <w:rPr>
          <w:rFonts w:ascii="Times New Roman" w:hAnsi="Times New Roman"/>
          <w:color w:val="000000" w:themeColor="text1"/>
          <w:szCs w:val="24"/>
        </w:rPr>
        <w:t xml:space="preserve"> </w:t>
      </w:r>
      <w:r w:rsidRPr="009563A8">
        <w:rPr>
          <w:rFonts w:ascii="Times New Roman" w:hAnsi="Times New Roman"/>
          <w:color w:val="000000" w:themeColor="text1"/>
          <w:szCs w:val="24"/>
        </w:rPr>
        <w:t>Правила по обращению с препаратом</w:t>
      </w:r>
      <w:bookmarkEnd w:id="73"/>
    </w:p>
    <w:p w14:paraId="0F1E8099" w14:textId="1E97F7B5" w:rsidR="000A53A6" w:rsidRPr="001A2932" w:rsidRDefault="009563A8" w:rsidP="001A2932">
      <w:pPr>
        <w:ind w:firstLine="709"/>
        <w:rPr>
          <w:rFonts w:eastAsia="Calibri"/>
          <w:color w:val="000000" w:themeColor="text1"/>
          <w:lang w:eastAsia="en-US"/>
        </w:rPr>
      </w:pPr>
      <w:r w:rsidRPr="009563A8">
        <w:rPr>
          <w:color w:val="000000" w:themeColor="text1"/>
        </w:rPr>
        <w:t>Не требует особых мер предосторожности при использовании</w:t>
      </w:r>
      <w:r w:rsidRPr="009563A8">
        <w:rPr>
          <w:rFonts w:eastAsia="Courier New"/>
          <w:color w:val="000000" w:themeColor="text1"/>
          <w:lang w:bidi="ru-RU"/>
        </w:rPr>
        <w:t>.</w:t>
      </w:r>
    </w:p>
    <w:p w14:paraId="26333AD8" w14:textId="77777777" w:rsidR="000A53A6" w:rsidRPr="00A3626B" w:rsidRDefault="000A53A6" w:rsidP="000A53A6">
      <w:pPr>
        <w:pStyle w:val="3"/>
        <w:spacing w:after="240"/>
        <w:contextualSpacing/>
        <w:rPr>
          <w:rFonts w:ascii="Times New Roman" w:hAnsi="Times New Roman"/>
          <w:color w:val="000000" w:themeColor="text1"/>
          <w:szCs w:val="24"/>
        </w:rPr>
      </w:pPr>
      <w:bookmarkStart w:id="74" w:name="_Toc118754968"/>
      <w:bookmarkStart w:id="75" w:name="_Toc116519541"/>
      <w:bookmarkStart w:id="76" w:name="_Toc139361945"/>
      <w:r>
        <w:rPr>
          <w:rFonts w:ascii="Times New Roman" w:hAnsi="Times New Roman"/>
          <w:color w:val="000000" w:themeColor="text1"/>
          <w:szCs w:val="24"/>
        </w:rPr>
        <w:t>Список литературы</w:t>
      </w:r>
      <w:bookmarkEnd w:id="74"/>
      <w:bookmarkEnd w:id="76"/>
      <w:r>
        <w:rPr>
          <w:rFonts w:ascii="Times New Roman" w:hAnsi="Times New Roman"/>
          <w:color w:val="000000" w:themeColor="text1"/>
          <w:szCs w:val="24"/>
        </w:rPr>
        <w:t xml:space="preserve"> </w:t>
      </w:r>
      <w:bookmarkEnd w:id="75"/>
    </w:p>
    <w:p w14:paraId="6BB6904E" w14:textId="2042CFA7" w:rsidR="000A53A6" w:rsidRPr="007F5E52" w:rsidRDefault="000A53A6" w:rsidP="007F5E52">
      <w:pPr>
        <w:widowControl w:val="0"/>
        <w:rPr>
          <w:rFonts w:eastAsia="Times New Roman"/>
          <w:lang w:eastAsia="en-US"/>
        </w:rPr>
      </w:pPr>
      <w:r w:rsidRPr="00447B4C">
        <w:rPr>
          <w:color w:val="000000" w:themeColor="text1"/>
        </w:rPr>
        <w:t xml:space="preserve">1. </w:t>
      </w:r>
      <w:r w:rsidRPr="00D04FCA">
        <w:rPr>
          <w:color w:val="000000" w:themeColor="text1"/>
        </w:rPr>
        <w:t>Отчет о проведении теста сравнительной кинетики растворения лекарственного препарата «</w:t>
      </w:r>
      <w:r w:rsidR="00D04FCA" w:rsidRPr="00D04FCA">
        <w:rPr>
          <w:rFonts w:eastAsia="Times New Roman"/>
          <w:lang w:eastAsia="en-US"/>
        </w:rPr>
        <w:t>Изучение сравнительной кинетики растворения лекарственных препаратов «ЛИНАГЛИПТИН, таблетки, покрытые пленочной оболочкой, 5 мг» производства ООО «Р-Фарм Новоселки», Российская Федерация с препаратом «Тражента, таблетки, покрытые пленочной оболочкой, 5 мг», производства</w:t>
      </w:r>
      <w:r w:rsidR="00D04FCA">
        <w:rPr>
          <w:rFonts w:eastAsia="Times New Roman"/>
          <w:lang w:eastAsia="en-US"/>
        </w:rPr>
        <w:t xml:space="preserve"> «Вест-Ворд Колумбус Инк.», США</w:t>
      </w:r>
      <w:r w:rsidRPr="00D04FCA">
        <w:rPr>
          <w:lang w:eastAsia="ru-RU"/>
        </w:rPr>
        <w:t>»</w:t>
      </w:r>
      <w:r w:rsidRPr="00D04FCA">
        <w:rPr>
          <w:rFonts w:eastAsiaTheme="minorHAnsi"/>
          <w:color w:val="000000" w:themeColor="text1"/>
          <w:lang w:eastAsia="en-US"/>
        </w:rPr>
        <w:t xml:space="preserve"> </w:t>
      </w:r>
      <w:r w:rsidRPr="00D04FCA">
        <w:rPr>
          <w:color w:val="000000" w:themeColor="text1"/>
        </w:rPr>
        <w:t xml:space="preserve">от </w:t>
      </w:r>
      <w:r w:rsidR="00276DD1">
        <w:rPr>
          <w:color w:val="000000" w:themeColor="text1"/>
        </w:rPr>
        <w:t>05</w:t>
      </w:r>
      <w:r w:rsidRPr="00D04FCA">
        <w:rPr>
          <w:color w:val="000000" w:themeColor="text1"/>
        </w:rPr>
        <w:t xml:space="preserve"> </w:t>
      </w:r>
      <w:r w:rsidR="00276DD1">
        <w:rPr>
          <w:color w:val="000000" w:themeColor="text1"/>
        </w:rPr>
        <w:t>мая</w:t>
      </w:r>
      <w:r w:rsidRPr="00D04FCA">
        <w:rPr>
          <w:color w:val="000000" w:themeColor="text1"/>
        </w:rPr>
        <w:t xml:space="preserve"> 202</w:t>
      </w:r>
      <w:r w:rsidR="00276DD1">
        <w:rPr>
          <w:color w:val="000000" w:themeColor="text1"/>
        </w:rPr>
        <w:t>3</w:t>
      </w:r>
      <w:r w:rsidRPr="00D04FCA">
        <w:rPr>
          <w:color w:val="000000" w:themeColor="text1"/>
        </w:rPr>
        <w:t xml:space="preserve"> г.</w:t>
      </w:r>
    </w:p>
    <w:p w14:paraId="136E5ED7" w14:textId="77777777" w:rsidR="004B1452" w:rsidRPr="005E6358" w:rsidRDefault="004B1452" w:rsidP="007F5E52">
      <w:pPr>
        <w:pStyle w:val="12"/>
        <w:tabs>
          <w:tab w:val="left" w:pos="142"/>
          <w:tab w:val="left" w:pos="284"/>
        </w:tabs>
        <w:spacing w:line="240" w:lineRule="auto"/>
        <w:rPr>
          <w:rFonts w:cs="Times New Roman"/>
          <w:color w:val="000000" w:themeColor="text1"/>
          <w:szCs w:val="24"/>
        </w:rPr>
      </w:pPr>
      <w:bookmarkStart w:id="77" w:name="_Toc139361946"/>
      <w:r w:rsidRPr="005E6358">
        <w:rPr>
          <w:rFonts w:cs="Times New Roman"/>
          <w:color w:val="000000" w:themeColor="text1"/>
          <w:szCs w:val="24"/>
        </w:rPr>
        <w:t>3. РЕЗУЛЬТАТЫ ДОКЛИНИЧЕСКИХ ИССЛЕДОВАНИЙ</w:t>
      </w:r>
      <w:bookmarkEnd w:id="77"/>
    </w:p>
    <w:p w14:paraId="0C3921FE" w14:textId="77777777" w:rsidR="004B1452" w:rsidRPr="005E6358" w:rsidRDefault="004B1452" w:rsidP="004B1452">
      <w:pPr>
        <w:pStyle w:val="2"/>
        <w:spacing w:line="240" w:lineRule="auto"/>
        <w:rPr>
          <w:color w:val="000000" w:themeColor="text1"/>
          <w:szCs w:val="24"/>
        </w:rPr>
      </w:pPr>
      <w:bookmarkStart w:id="78" w:name="_Toc139361947"/>
      <w:r w:rsidRPr="005E6358">
        <w:rPr>
          <w:color w:val="000000" w:themeColor="text1"/>
          <w:szCs w:val="24"/>
        </w:rPr>
        <w:t>Введение</w:t>
      </w:r>
      <w:r>
        <w:rPr>
          <w:color w:val="000000" w:themeColor="text1"/>
          <w:szCs w:val="24"/>
        </w:rPr>
        <w:t xml:space="preserve"> и резюме</w:t>
      </w:r>
      <w:bookmarkEnd w:id="78"/>
    </w:p>
    <w:p w14:paraId="7408E508" w14:textId="2880FE43" w:rsidR="00965A69" w:rsidRDefault="00D273A8" w:rsidP="005B4F45">
      <w:pPr>
        <w:ind w:firstLine="709"/>
      </w:pPr>
      <w:bookmarkStart w:id="79" w:name="_Hlk118302503"/>
      <w:r>
        <w:rPr>
          <w:bCs/>
          <w:lang w:eastAsia="ru-RU"/>
        </w:rPr>
        <w:t xml:space="preserve">Так как препарат </w:t>
      </w:r>
      <w:r w:rsidR="00203C36" w:rsidRPr="002561BB">
        <w:rPr>
          <w:bCs/>
          <w:lang w:val="en-US" w:eastAsia="ru-RU"/>
        </w:rPr>
        <w:t>D</w:t>
      </w:r>
      <w:r w:rsidR="00203C36" w:rsidRPr="002561BB">
        <w:rPr>
          <w:lang w:val="en-US"/>
        </w:rPr>
        <w:t>T</w:t>
      </w:r>
      <w:r w:rsidR="00203C36" w:rsidRPr="002561BB">
        <w:t>-</w:t>
      </w:r>
      <w:r w:rsidR="00203C36" w:rsidRPr="002561BB">
        <w:rPr>
          <w:lang w:val="en-US"/>
        </w:rPr>
        <w:t>LNG</w:t>
      </w:r>
      <w:r>
        <w:t xml:space="preserve"> </w:t>
      </w:r>
      <w:r>
        <w:rPr>
          <w:bCs/>
          <w:lang w:eastAsia="ru-RU"/>
        </w:rPr>
        <w:t>(АО «Р-Фарм», Россия) представляет собой</w:t>
      </w:r>
      <w:r w:rsidR="00203C36" w:rsidRPr="002561BB">
        <w:rPr>
          <w:bCs/>
          <w:lang w:eastAsia="ru-RU"/>
        </w:rPr>
        <w:t xml:space="preserve"> воспроизведенный препарат линаглиптина, </w:t>
      </w:r>
      <w:r>
        <w:rPr>
          <w:bCs/>
          <w:lang w:eastAsia="ru-RU"/>
        </w:rPr>
        <w:t>который</w:t>
      </w:r>
      <w:r w:rsidR="00203C36" w:rsidRPr="002561BB">
        <w:rPr>
          <w:color w:val="000000"/>
        </w:rPr>
        <w:t xml:space="preserve"> полностью соответствует по качественному и количественному соста</w:t>
      </w:r>
      <w:r w:rsidR="00203C36">
        <w:rPr>
          <w:color w:val="000000"/>
        </w:rPr>
        <w:t>ву действующего вещества и качест</w:t>
      </w:r>
      <w:r w:rsidR="00203C36" w:rsidRPr="002561BB">
        <w:rPr>
          <w:color w:val="000000"/>
        </w:rPr>
        <w:t xml:space="preserve">венному составу </w:t>
      </w:r>
      <w:r w:rsidR="00203C36" w:rsidRPr="004F5B1B">
        <w:rPr>
          <w:color w:val="000000"/>
        </w:rPr>
        <w:t xml:space="preserve">вспомогательных веществ, лекарственной форме и дозировке референтному препарату </w:t>
      </w:r>
      <w:r w:rsidR="00203C36" w:rsidRPr="00965A69">
        <w:rPr>
          <w:color w:val="000000"/>
        </w:rPr>
        <w:t xml:space="preserve">линаглиптина </w:t>
      </w:r>
      <w:r w:rsidR="00203C36" w:rsidRPr="00965A69">
        <w:t>Тражента</w:t>
      </w:r>
      <w:r w:rsidR="00203C36" w:rsidRPr="00965A69">
        <w:rPr>
          <w:vertAlign w:val="superscript"/>
          <w:lang w:eastAsia="ru-RU"/>
        </w:rPr>
        <w:t>®</w:t>
      </w:r>
      <w:r w:rsidR="00965A69" w:rsidRPr="00965A69">
        <w:rPr>
          <w:lang w:eastAsia="ru-RU"/>
        </w:rPr>
        <w:t>, таблетки, покрытыте пленочной оболочкой, 5 мг</w:t>
      </w:r>
      <w:r w:rsidR="00203C36" w:rsidRPr="00965A69">
        <w:rPr>
          <w:rFonts w:eastAsia="Calibri"/>
        </w:rPr>
        <w:t xml:space="preserve"> </w:t>
      </w:r>
      <w:r w:rsidR="00203C36" w:rsidRPr="00965A69">
        <w:rPr>
          <w:color w:val="000000"/>
        </w:rPr>
        <w:t>(</w:t>
      </w:r>
      <w:r w:rsidR="00203C36" w:rsidRPr="00965A69">
        <w:rPr>
          <w:rFonts w:eastAsia="Calibri"/>
          <w:bCs/>
        </w:rPr>
        <w:t>Берингер Ингельхайм Интернешнл ГмбХ, Германия</w:t>
      </w:r>
      <w:r w:rsidR="00203C36" w:rsidRPr="00965A69">
        <w:rPr>
          <w:color w:val="000000"/>
        </w:rPr>
        <w:t xml:space="preserve">), </w:t>
      </w:r>
      <w:r w:rsidR="00965A69" w:rsidRPr="00965A69">
        <w:t>ожидается, что его свойства</w:t>
      </w:r>
      <w:r w:rsidR="00965A69" w:rsidRPr="00965A69">
        <w:rPr>
          <w:rFonts w:eastAsia="Calibri"/>
        </w:rPr>
        <w:t xml:space="preserve"> будут идентичны свойствам оригинального препарата. </w:t>
      </w:r>
      <w:r w:rsidR="00965A69" w:rsidRPr="00965A69">
        <w:t xml:space="preserve">Для прогнозирования токсического </w:t>
      </w:r>
      <w:r w:rsidR="003D383C">
        <w:t>действия</w:t>
      </w:r>
      <w:r w:rsidR="00965A69" w:rsidRPr="00965A69">
        <w:t xml:space="preserve"> планируемого к регистрации и коммерческому выпуску препарата </w:t>
      </w:r>
      <w:r w:rsidR="00965A69" w:rsidRPr="00965A69">
        <w:rPr>
          <w:lang w:val="en-US" w:eastAsia="ru-RU"/>
        </w:rPr>
        <w:t>D</w:t>
      </w:r>
      <w:r w:rsidR="00965A69" w:rsidRPr="00965A69">
        <w:rPr>
          <w:lang w:eastAsia="ru-RU"/>
        </w:rPr>
        <w:t>T-</w:t>
      </w:r>
      <w:r w:rsidR="00965A69" w:rsidRPr="00965A69">
        <w:rPr>
          <w:lang w:val="en-US" w:eastAsia="ru-RU"/>
        </w:rPr>
        <w:t>LNG</w:t>
      </w:r>
      <w:r w:rsidR="00965A69" w:rsidRPr="00965A69">
        <w:rPr>
          <w:rFonts w:eastAsia="Calibri"/>
        </w:rPr>
        <w:t xml:space="preserve"> </w:t>
      </w:r>
      <w:r w:rsidR="00965A69" w:rsidRPr="00965A69">
        <w:t xml:space="preserve">были проанализированы данные исследований по изучению фармакологии и токсикологии оригинального препарата линаглиптина. Поскольку лекарственный препарат </w:t>
      </w:r>
      <w:r w:rsidR="00965A69" w:rsidRPr="00965A69">
        <w:rPr>
          <w:lang w:val="en-US" w:eastAsia="ru-RU"/>
        </w:rPr>
        <w:t>D</w:t>
      </w:r>
      <w:r w:rsidR="00965A69" w:rsidRPr="00965A69">
        <w:rPr>
          <w:lang w:eastAsia="ru-RU"/>
        </w:rPr>
        <w:t>T-</w:t>
      </w:r>
      <w:r w:rsidR="00965A69" w:rsidRPr="00965A69">
        <w:rPr>
          <w:lang w:val="en-US" w:eastAsia="ru-RU"/>
        </w:rPr>
        <w:t>LNG</w:t>
      </w:r>
      <w:r w:rsidR="00965A69" w:rsidRPr="00965A69">
        <w:rPr>
          <w:rFonts w:eastAsia="Calibri"/>
        </w:rPr>
        <w:t xml:space="preserve"> </w:t>
      </w:r>
      <w:r w:rsidR="00965A69" w:rsidRPr="00965A69">
        <w:t>является воспроизведенным препаратом, собственные доклинические исследования не проводились.</w:t>
      </w:r>
    </w:p>
    <w:p w14:paraId="751E97EA" w14:textId="66660CE0" w:rsidR="004B1452" w:rsidRDefault="004B1452" w:rsidP="005B4F45">
      <w:pPr>
        <w:ind w:firstLine="709"/>
        <w:rPr>
          <w:bCs/>
          <w:color w:val="FF0000"/>
        </w:rPr>
      </w:pPr>
      <w:r w:rsidRPr="00AF7CFB">
        <w:rPr>
          <w:color w:val="000000" w:themeColor="text1"/>
        </w:rPr>
        <w:t xml:space="preserve">Для изучения </w:t>
      </w:r>
      <w:r w:rsidRPr="009C3181">
        <w:rPr>
          <w:bCs/>
        </w:rPr>
        <w:t>линаглиптин</w:t>
      </w:r>
      <w:r>
        <w:rPr>
          <w:color w:val="000000" w:themeColor="text1"/>
        </w:rPr>
        <w:t>а</w:t>
      </w:r>
      <w:r w:rsidRPr="009C3181">
        <w:rPr>
          <w:color w:val="000000" w:themeColor="text1"/>
        </w:rPr>
        <w:t xml:space="preserve"> </w:t>
      </w:r>
      <w:r w:rsidRPr="00AF7CFB">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AF7CFB">
        <w:rPr>
          <w:i/>
          <w:iCs/>
          <w:color w:val="000000" w:themeColor="text1"/>
        </w:rPr>
        <w:t>in vitro</w:t>
      </w:r>
      <w:r w:rsidRPr="00AF7CFB">
        <w:rPr>
          <w:color w:val="000000" w:themeColor="text1"/>
        </w:rPr>
        <w:t xml:space="preserve">, так и </w:t>
      </w:r>
      <w:r w:rsidRPr="00AF7CFB">
        <w:rPr>
          <w:i/>
          <w:iCs/>
          <w:color w:val="000000" w:themeColor="text1"/>
        </w:rPr>
        <w:t>in vivo</w:t>
      </w:r>
      <w:r w:rsidRPr="00AF7CFB">
        <w:rPr>
          <w:color w:val="000000" w:themeColor="text1"/>
        </w:rPr>
        <w:t xml:space="preserve">, в результате которых были хорошо изучены фармакодинамические, фармакокинетические и токсикологические свойства </w:t>
      </w:r>
      <w:r w:rsidRPr="009C3181">
        <w:rPr>
          <w:bCs/>
        </w:rPr>
        <w:t>линаглиптина.</w:t>
      </w:r>
    </w:p>
    <w:p w14:paraId="31B6DA3B" w14:textId="67C077F3" w:rsidR="004B1452" w:rsidRDefault="004B1452" w:rsidP="005B4F45">
      <w:pPr>
        <w:ind w:firstLine="709"/>
      </w:pPr>
      <w:r w:rsidRPr="009F43BF">
        <w:t xml:space="preserve">При </w:t>
      </w:r>
      <w:r w:rsidRPr="00F1363D">
        <w:t xml:space="preserve">изучении </w:t>
      </w:r>
      <w:r w:rsidRPr="00F1363D">
        <w:rPr>
          <w:bCs/>
        </w:rPr>
        <w:t>первичной фармакодинамики</w:t>
      </w:r>
      <w:r w:rsidRPr="00F1363D">
        <w:t xml:space="preserve"> </w:t>
      </w:r>
      <w:bookmarkEnd w:id="79"/>
      <w:r w:rsidRPr="00F1363D">
        <w:rPr>
          <w:bCs/>
          <w:i/>
          <w:iCs/>
        </w:rPr>
        <w:t>in vitro</w:t>
      </w:r>
      <w:r w:rsidRPr="00F1363D">
        <w:t xml:space="preserve"> </w:t>
      </w:r>
      <w:r w:rsidR="00F1363D">
        <w:t>установлено</w:t>
      </w:r>
      <w:r>
        <w:t xml:space="preserve">, что линаглиптин является высокоэффективным, конкурентным, обратимым ингибитором ДПП-4. Высокая эффективность была показана </w:t>
      </w:r>
      <w:r w:rsidRPr="00A172B6">
        <w:rPr>
          <w:i/>
          <w:iCs/>
        </w:rPr>
        <w:t>in vitro</w:t>
      </w:r>
      <w:r>
        <w:t xml:space="preserve"> в экстрактах клеток CaCo-2 человека, при этом </w:t>
      </w:r>
      <w:r w:rsidR="006D2246">
        <w:t>полумаксимально</w:t>
      </w:r>
      <w:r w:rsidR="00A0598A">
        <w:t>е</w:t>
      </w:r>
      <w:r w:rsidR="006D2246">
        <w:t xml:space="preserve"> ингибировани</w:t>
      </w:r>
      <w:r w:rsidR="00A0598A">
        <w:t>е</w:t>
      </w:r>
      <w:r w:rsidR="006D2246">
        <w:t xml:space="preserve"> (IC</w:t>
      </w:r>
      <w:r w:rsidR="006D2246" w:rsidRPr="00A0598A">
        <w:rPr>
          <w:vertAlign w:val="subscript"/>
        </w:rPr>
        <w:t>50</w:t>
      </w:r>
      <w:r w:rsidR="006D2246">
        <w:t xml:space="preserve">) </w:t>
      </w:r>
      <w:r>
        <w:t>линаглиптина составил</w:t>
      </w:r>
      <w:r w:rsidR="00A0598A">
        <w:t>о</w:t>
      </w:r>
      <w:r>
        <w:t xml:space="preserve"> 1 нМ. Эффективность также была показана в плазме крови человека, при этом IC</w:t>
      </w:r>
      <w:r w:rsidRPr="00A0598A">
        <w:rPr>
          <w:vertAlign w:val="subscript"/>
        </w:rPr>
        <w:t>50</w:t>
      </w:r>
      <w:r>
        <w:t xml:space="preserve"> линаглиптина составил 3,6 нМ. Линаглиптин ингибирует ДПП-4 у нескольких видов животных, при этом IC</w:t>
      </w:r>
      <w:r w:rsidRPr="00A172B6">
        <w:rPr>
          <w:vertAlign w:val="subscript"/>
        </w:rPr>
        <w:t>50</w:t>
      </w:r>
      <w:r>
        <w:t xml:space="preserve"> составил 6,8, 10,2 и 10,4 нМ у крыс, мышей и собак, соответственно. </w:t>
      </w:r>
    </w:p>
    <w:p w14:paraId="4EDEC467" w14:textId="5F291DEB" w:rsidR="004B1452" w:rsidRDefault="004B1452" w:rsidP="005B4F45">
      <w:pPr>
        <w:ind w:firstLine="709"/>
      </w:pPr>
      <w:r>
        <w:lastRenderedPageBreak/>
        <w:t xml:space="preserve">Линаглиптин обладает высоким сродством к </w:t>
      </w:r>
      <w:r w:rsidR="00F1363D">
        <w:t>белку</w:t>
      </w:r>
      <w:r>
        <w:t xml:space="preserve"> ДПП-4. Высокая аффинность </w:t>
      </w:r>
      <w:r w:rsidR="00F1363D">
        <w:t>к</w:t>
      </w:r>
      <w:r>
        <w:t xml:space="preserve"> ДПП-4 влияет на фармакокинетику линаглиптина и на зависимое </w:t>
      </w:r>
      <w:r w:rsidR="001F057F">
        <w:t xml:space="preserve">от концентрации </w:t>
      </w:r>
      <w:r>
        <w:t>ингибирование ДПП-4</w:t>
      </w:r>
      <w:r w:rsidR="006D2246">
        <w:t>.</w:t>
      </w:r>
      <w:r>
        <w:t xml:space="preserve"> Моделирование и исследования связывания показали, что константа сродства связывания с ДПП-4 составляет 231 </w:t>
      </w:r>
      <w:r w:rsidR="001F057F">
        <w:t>пМ, насыщение</w:t>
      </w:r>
      <w:r>
        <w:t xml:space="preserve"> связывания </w:t>
      </w:r>
      <w:r w:rsidR="001F057F">
        <w:t xml:space="preserve">отмечается </w:t>
      </w:r>
      <w:r>
        <w:t xml:space="preserve">при приблизительно 1 нМ линаглиптина. ДПП-4 определялся в плазме крови при концентрации приблизительно 5 нМ. </w:t>
      </w:r>
    </w:p>
    <w:p w14:paraId="53217B62" w14:textId="3E7CCD0A" w:rsidR="004B1452" w:rsidRDefault="004B1452" w:rsidP="005B4F45">
      <w:pPr>
        <w:ind w:firstLine="709"/>
      </w:pPr>
      <w:r w:rsidRPr="001F057F">
        <w:rPr>
          <w:bCs/>
        </w:rPr>
        <w:t>Первичн</w:t>
      </w:r>
      <w:r w:rsidR="006D2246" w:rsidRPr="001F057F">
        <w:rPr>
          <w:bCs/>
        </w:rPr>
        <w:t>ую</w:t>
      </w:r>
      <w:r w:rsidRPr="001F057F">
        <w:rPr>
          <w:bCs/>
        </w:rPr>
        <w:t xml:space="preserve"> фармакодинамик</w:t>
      </w:r>
      <w:r w:rsidR="006D2246" w:rsidRPr="001F057F">
        <w:rPr>
          <w:bCs/>
        </w:rPr>
        <w:t>у</w:t>
      </w:r>
      <w:r w:rsidRPr="001F057F">
        <w:rPr>
          <w:bCs/>
        </w:rPr>
        <w:t xml:space="preserve"> </w:t>
      </w:r>
      <w:r w:rsidRPr="001F057F">
        <w:rPr>
          <w:bCs/>
          <w:i/>
          <w:iCs/>
        </w:rPr>
        <w:t>in vivo</w:t>
      </w:r>
      <w:r>
        <w:t xml:space="preserve"> линаглиптина оценивали на различных экспериментальных моделях животных. Было оценено влияние линаглиптина на уровень глюкозы в крови здоровых животных и животных с СД. </w:t>
      </w:r>
    </w:p>
    <w:p w14:paraId="468741E2" w14:textId="49D0901A" w:rsidR="004B1452" w:rsidRDefault="004B1452" w:rsidP="005B4F45">
      <w:pPr>
        <w:ind w:firstLine="709"/>
      </w:pPr>
      <w:r>
        <w:t xml:space="preserve">При оценке влияния линаглиптина на уровень глюкозы в крови здоровых крыс, собак и обезьян </w:t>
      </w:r>
      <w:r w:rsidR="001F057F">
        <w:t>установлено</w:t>
      </w:r>
      <w:r>
        <w:t xml:space="preserve">, что эффект снижения уровня глюкозы в крови ожидается при примерно 80% ингибировании </w:t>
      </w:r>
      <w:r w:rsidRPr="00DB6987">
        <w:t>ДПП-4</w:t>
      </w:r>
      <w:r>
        <w:t xml:space="preserve">. Ингибирование </w:t>
      </w:r>
      <w:r w:rsidRPr="00DB6987">
        <w:t>ДПП-4</w:t>
      </w:r>
      <w:r>
        <w:t xml:space="preserve"> </w:t>
      </w:r>
      <w:r w:rsidRPr="00987CD0">
        <w:rPr>
          <w:i/>
          <w:iCs/>
        </w:rPr>
        <w:t>in viv</w:t>
      </w:r>
      <w:r>
        <w:t xml:space="preserve">o происходило быстро, в течение 30 минут после перорального приема линаглиптина </w:t>
      </w:r>
      <w:r w:rsidR="00493E3C">
        <w:t>на</w:t>
      </w:r>
      <w:r>
        <w:t xml:space="preserve"> модели здоровых крыс, собак и обезьян. Эффективное ингибирование </w:t>
      </w:r>
      <w:r w:rsidRPr="00DB6987">
        <w:t>ДПП-4</w:t>
      </w:r>
      <w:r>
        <w:t xml:space="preserve"> развивалось в течение ≥ 7 ч после однократного перорального приема линаглиптина у крыс (0,26 мг/кг), собак (1 мг/кг) и макак-резусов (1 мг/кг). Несколько более высокие дозы приводили к ингибированию </w:t>
      </w:r>
      <w:r w:rsidRPr="00DB6987">
        <w:t>ДПП-4</w:t>
      </w:r>
      <w:r>
        <w:t xml:space="preserve"> </w:t>
      </w:r>
      <w:r w:rsidR="00493E3C">
        <w:t>в</w:t>
      </w:r>
      <w:r>
        <w:t xml:space="preserve"> течение 24 ч (например, 0,69 мг/кг у крыс). </w:t>
      </w:r>
    </w:p>
    <w:p w14:paraId="4DF7486D" w14:textId="74426A6C" w:rsidR="004B1452" w:rsidRDefault="004B1452" w:rsidP="005B4F45">
      <w:pPr>
        <w:ind w:firstLine="709"/>
      </w:pPr>
      <w:r>
        <w:t xml:space="preserve">Аналогичное ингибирование </w:t>
      </w:r>
      <w:r w:rsidRPr="00DB6987">
        <w:t>ДПП-4</w:t>
      </w:r>
      <w:r>
        <w:t xml:space="preserve"> </w:t>
      </w:r>
      <w:r w:rsidRPr="0031677C">
        <w:rPr>
          <w:i/>
          <w:iCs/>
        </w:rPr>
        <w:t>in vivo</w:t>
      </w:r>
      <w:r>
        <w:t xml:space="preserve"> наблюдалось у животных с экспериментальным диабетом, например, ≥ 70% ингибирование у крыс Zucker Fatty (fa/fa) в течение 20 мин после </w:t>
      </w:r>
      <w:r w:rsidR="0070277A">
        <w:t>введения 1</w:t>
      </w:r>
      <w:r>
        <w:t xml:space="preserve"> мг/кг линаглиптина через </w:t>
      </w:r>
      <w:r w:rsidR="0070277A">
        <w:t>желудочный зонд</w:t>
      </w:r>
      <w:r>
        <w:t>.</w:t>
      </w:r>
    </w:p>
    <w:p w14:paraId="22A268D2" w14:textId="48167485" w:rsidR="004B1452" w:rsidRDefault="004B1452" w:rsidP="005B4F45">
      <w:pPr>
        <w:ind w:firstLine="709"/>
      </w:pPr>
      <w:r>
        <w:t xml:space="preserve">Эффект снижения уровня глюкозы при лечении линаглиптином был продемонстрирован </w:t>
      </w:r>
      <w:r w:rsidRPr="00BB3E21">
        <w:rPr>
          <w:i/>
          <w:iCs/>
        </w:rPr>
        <w:t>in vivo</w:t>
      </w:r>
      <w:r>
        <w:t xml:space="preserve">. Ингибирование у крыс </w:t>
      </w:r>
      <w:r w:rsidRPr="00DB6987">
        <w:t>ДПП-4</w:t>
      </w:r>
      <w:r>
        <w:t xml:space="preserve"> наступает через 0,5 часа после введения линаглиптина, устойчивое ингибирование наступает через 7 ч после введения дозы и продолжается до 24 ч после введения в эффективных дозах. Исследования на собаках и макаках-резусах показали, что ингибирование </w:t>
      </w:r>
      <w:r w:rsidRPr="00DB6987">
        <w:t>ДПП-4</w:t>
      </w:r>
      <w:r>
        <w:t xml:space="preserve"> после однократного введения линаглиптина через желудочный зонд продолжается до 48 часов у собак и до 72 часов у обезьян.</w:t>
      </w:r>
    </w:p>
    <w:p w14:paraId="4B9C175B" w14:textId="03101A24" w:rsidR="004B1452" w:rsidRPr="00D15235" w:rsidRDefault="004B1452" w:rsidP="005B4F45">
      <w:pPr>
        <w:ind w:firstLine="709"/>
      </w:pPr>
      <w:r w:rsidRPr="0070277A">
        <w:rPr>
          <w:bCs/>
        </w:rPr>
        <w:t>Фармакокинетика</w:t>
      </w:r>
      <w:r w:rsidRPr="00D36158">
        <w:t xml:space="preserve"> линаглиптина оценивалась </w:t>
      </w:r>
      <w:r w:rsidRPr="00D36158">
        <w:rPr>
          <w:i/>
          <w:iCs/>
        </w:rPr>
        <w:t>in vivo</w:t>
      </w:r>
      <w:r w:rsidRPr="00D36158">
        <w:t xml:space="preserve"> после перорального введения у мышей, крыс, собак и обезьян. </w:t>
      </w:r>
      <w:r w:rsidRPr="00D15235">
        <w:t>Линаглиптин быстро всасывается после перорального приема, максимальная концентрация в плазме (T</w:t>
      </w:r>
      <w:r w:rsidRPr="00705C41">
        <w:rPr>
          <w:vertAlign w:val="subscript"/>
        </w:rPr>
        <w:t>max</w:t>
      </w:r>
      <w:r w:rsidRPr="00D15235">
        <w:t>) обычно достигается через 30-60 минут после приема</w:t>
      </w:r>
      <w:r>
        <w:t xml:space="preserve"> у экспериментальных животных (мыши, крысы, собаки и обезьяны), </w:t>
      </w:r>
      <w:r w:rsidRPr="00D15235">
        <w:t>T</w:t>
      </w:r>
      <w:r w:rsidRPr="00705C41">
        <w:rPr>
          <w:vertAlign w:val="subscript"/>
        </w:rPr>
        <w:t>max</w:t>
      </w:r>
      <w:r w:rsidRPr="00D15235">
        <w:t xml:space="preserve"> = 1,5 часа у людей. Двухфазная абсорбция наблюдалась у крыс после однократного перорального приема с быстрым достижением T</w:t>
      </w:r>
      <w:r w:rsidRPr="00D36158">
        <w:rPr>
          <w:vertAlign w:val="subscript"/>
        </w:rPr>
        <w:t>max</w:t>
      </w:r>
      <w:r w:rsidRPr="00D15235">
        <w:t xml:space="preserve"> в плазме через 30 минут, за которым последовал второй, более низкий пик в плазме через 4 часа после приема </w:t>
      </w:r>
      <w:r>
        <w:t>л</w:t>
      </w:r>
      <w:r w:rsidRPr="00D15235">
        <w:t>инаглиптин</w:t>
      </w:r>
      <w:r>
        <w:t>а</w:t>
      </w:r>
      <w:r w:rsidRPr="00D15235">
        <w:t xml:space="preserve">. Двухфазная абсорбция не наблюдалась после многократного приема. Пероральная биодоступность варьировалась от 18% до 69% у разных видов </w:t>
      </w:r>
      <w:r>
        <w:t>животных.</w:t>
      </w:r>
      <w:r w:rsidRPr="00D15235">
        <w:t xml:space="preserve"> </w:t>
      </w:r>
    </w:p>
    <w:p w14:paraId="3E38DA72" w14:textId="77777777" w:rsidR="004B1452" w:rsidRDefault="004B1452" w:rsidP="005B4F45">
      <w:pPr>
        <w:ind w:firstLine="709"/>
      </w:pPr>
      <w:r w:rsidRPr="00D15235">
        <w:t xml:space="preserve">Время </w:t>
      </w:r>
      <w:r>
        <w:t>полувыведения</w:t>
      </w:r>
      <w:r w:rsidRPr="00D15235">
        <w:t xml:space="preserve"> (</w:t>
      </w:r>
      <w:r>
        <w:rPr>
          <w:lang w:val="en-US"/>
        </w:rPr>
        <w:t>T</w:t>
      </w:r>
      <w:r w:rsidRPr="003C6D2C">
        <w:rPr>
          <w:vertAlign w:val="subscript"/>
        </w:rPr>
        <w:t>1/2</w:t>
      </w:r>
      <w:r w:rsidRPr="00D15235">
        <w:t>) в плазме также было высоким у всех видов</w:t>
      </w:r>
      <w:r>
        <w:t xml:space="preserve"> животных</w:t>
      </w:r>
      <w:r w:rsidRPr="00D15235">
        <w:t xml:space="preserve">, начиная с минимального </w:t>
      </w:r>
      <w:r>
        <w:rPr>
          <w:lang w:val="en-US"/>
        </w:rPr>
        <w:t>T</w:t>
      </w:r>
      <w:r w:rsidRPr="003C6D2C">
        <w:rPr>
          <w:vertAlign w:val="subscript"/>
        </w:rPr>
        <w:t>1/2</w:t>
      </w:r>
      <w:r>
        <w:rPr>
          <w:vertAlign w:val="subscript"/>
        </w:rPr>
        <w:t xml:space="preserve"> </w:t>
      </w:r>
      <w:r w:rsidRPr="00D15235">
        <w:t xml:space="preserve">10-12 часов после </w:t>
      </w:r>
      <w:r>
        <w:t>введения</w:t>
      </w:r>
      <w:r w:rsidRPr="00D15235">
        <w:t xml:space="preserve"> высокой дозы</w:t>
      </w:r>
      <w:r>
        <w:t xml:space="preserve"> </w:t>
      </w:r>
      <w:r w:rsidRPr="00D15235">
        <w:t>у кроликов и крыс и до 131 час</w:t>
      </w:r>
      <w:r>
        <w:t>ов</w:t>
      </w:r>
      <w:r w:rsidRPr="00D15235">
        <w:t xml:space="preserve"> у людей</w:t>
      </w:r>
      <w:r>
        <w:t>.</w:t>
      </w:r>
    </w:p>
    <w:p w14:paraId="2CB6B605" w14:textId="0242534F" w:rsidR="004B1452" w:rsidRDefault="004B1452" w:rsidP="00F70097">
      <w:pPr>
        <w:ind w:firstLine="709"/>
      </w:pPr>
      <w:r>
        <w:t xml:space="preserve">Метаболизм линаглиптина изучался в нескольких специальных исследованиях. </w:t>
      </w:r>
      <w:r w:rsidR="00192F88">
        <w:t>Уровень м</w:t>
      </w:r>
      <w:r>
        <w:t>етаболизм</w:t>
      </w:r>
      <w:r w:rsidR="00192F88">
        <w:t>а</w:t>
      </w:r>
      <w:r>
        <w:t xml:space="preserve"> линаглиптина </w:t>
      </w:r>
      <w:r w:rsidRPr="00E40FF5">
        <w:rPr>
          <w:i/>
          <w:iCs/>
        </w:rPr>
        <w:t>in vitro</w:t>
      </w:r>
      <w:r w:rsidRPr="009E45B3">
        <w:t xml:space="preserve"> в печени человека</w:t>
      </w:r>
      <w:r>
        <w:t xml:space="preserve">, </w:t>
      </w:r>
      <w:r w:rsidRPr="009E45B3">
        <w:t>микросом</w:t>
      </w:r>
      <w:r>
        <w:t>ах</w:t>
      </w:r>
      <w:r w:rsidRPr="009E45B3">
        <w:t xml:space="preserve"> почек и гепатоцит</w:t>
      </w:r>
      <w:r>
        <w:t>ах</w:t>
      </w:r>
      <w:r w:rsidRPr="009E45B3">
        <w:t xml:space="preserve"> человека был очень низким (менее 2% метаболизма после</w:t>
      </w:r>
      <w:r>
        <w:t xml:space="preserve"> 90 минут), CYP3A4 является преобладающим метаболизирующим ферментом. </w:t>
      </w:r>
    </w:p>
    <w:p w14:paraId="404ED4BC" w14:textId="3CACB4E1" w:rsidR="004B1452" w:rsidRDefault="004B1452" w:rsidP="00F70097">
      <w:pPr>
        <w:ind w:firstLine="709"/>
      </w:pPr>
      <w:r>
        <w:t>Линаглиптин в целом хорошо переносился здоровыми животными и животными с диабетом. Необратимая и/или неконтролируемая токсичность возникала только при очень высоких дозах, достигавш</w:t>
      </w:r>
      <w:r w:rsidR="001B491C">
        <w:t>их</w:t>
      </w:r>
      <w:r>
        <w:t xml:space="preserve"> 50 </w:t>
      </w:r>
      <w:r w:rsidRPr="00543150">
        <w:t>кратно</w:t>
      </w:r>
      <w:r>
        <w:t>го</w:t>
      </w:r>
      <w:r w:rsidRPr="00543150">
        <w:t xml:space="preserve"> увеличени</w:t>
      </w:r>
      <w:r>
        <w:t>я</w:t>
      </w:r>
      <w:r w:rsidRPr="00543150">
        <w:t xml:space="preserve"> максимально рекомендованной дозы человека</w:t>
      </w:r>
      <w:r>
        <w:t>.</w:t>
      </w:r>
      <w:r w:rsidRPr="00543150">
        <w:t xml:space="preserve"> </w:t>
      </w:r>
      <w:r>
        <w:t xml:space="preserve">Реакция гиперчувствительности по типу псевдоаллергии наблюдалась у собак и у обезьян только после внутривенного введения при чрезвычайно высокой экспозиции </w:t>
      </w:r>
      <w:r>
        <w:lastRenderedPageBreak/>
        <w:t xml:space="preserve">кратные (&gt;600 </w:t>
      </w:r>
      <w:r w:rsidRPr="00543150">
        <w:t>кратно</w:t>
      </w:r>
      <w:r>
        <w:t>го</w:t>
      </w:r>
      <w:r w:rsidRPr="00543150">
        <w:t xml:space="preserve"> увеличени</w:t>
      </w:r>
      <w:r>
        <w:t>я</w:t>
      </w:r>
      <w:r w:rsidRPr="00543150">
        <w:t xml:space="preserve"> максимально рекомендованной дозы человека</w:t>
      </w:r>
      <w:r w:rsidR="00F70097">
        <w:t xml:space="preserve">). </w:t>
      </w:r>
      <w:r>
        <w:t>Органы-мишени – п</w:t>
      </w:r>
      <w:r w:rsidR="00863166">
        <w:t>очки, печень, легкие, желудок</w:t>
      </w:r>
      <w:r>
        <w:t>.</w:t>
      </w:r>
    </w:p>
    <w:p w14:paraId="6AE9E208" w14:textId="06957228" w:rsidR="004B1452" w:rsidRDefault="00F70097" w:rsidP="00863166">
      <w:pPr>
        <w:ind w:firstLine="709"/>
      </w:pPr>
      <w:r>
        <w:t xml:space="preserve">Линаглиптин </w:t>
      </w:r>
      <w:r w:rsidRPr="003B3424">
        <w:t>и</w:t>
      </w:r>
      <w:r w:rsidR="004B1452">
        <w:t xml:space="preserve"> его метаболит CD 1750 не показали признаков генотоксичности в стандартной батарее </w:t>
      </w:r>
      <w:r w:rsidR="00255CCA">
        <w:t xml:space="preserve">тестов по изучению </w:t>
      </w:r>
      <w:r w:rsidR="004B1452">
        <w:t>геноток</w:t>
      </w:r>
      <w:r w:rsidR="00863166">
        <w:t xml:space="preserve">сичности. </w:t>
      </w:r>
      <w:r w:rsidR="004B1452" w:rsidRPr="00F70097">
        <w:rPr>
          <w:bCs/>
        </w:rPr>
        <w:t>Канцерогенный потенциал</w:t>
      </w:r>
      <w:r w:rsidR="004B1452" w:rsidRPr="00F70097">
        <w:t xml:space="preserve"> линаглиптина</w:t>
      </w:r>
      <w:r w:rsidR="004B1452">
        <w:t xml:space="preserve"> при пероральном введении изучался в двухгодичных исследованиях у мышей и крыс. Не наблюдалось дозозависимого или статистически значимого увеличения частоты возникновения опухолей в исследовании крыс. Таким образом, NOAEL для опухолей, связанных с введением линаглиптина, равно 80 и 60 мг/кг/день перорально у мышей и крыс, соответственно. </w:t>
      </w:r>
    </w:p>
    <w:p w14:paraId="4633DDC0" w14:textId="71074C76" w:rsidR="004B1452" w:rsidRDefault="004B1452" w:rsidP="00AA5076">
      <w:pPr>
        <w:ind w:firstLine="709"/>
      </w:pPr>
      <w:r>
        <w:t xml:space="preserve">NOAEL </w:t>
      </w:r>
      <w:r w:rsidR="00923E2B">
        <w:t>(д</w:t>
      </w:r>
      <w:r w:rsidR="00923E2B" w:rsidRPr="00923E2B">
        <w:t>оза, не оказывающая видимого нежелательного эффекта</w:t>
      </w:r>
      <w:r w:rsidR="00923E2B">
        <w:t xml:space="preserve">) </w:t>
      </w:r>
      <w:r>
        <w:t xml:space="preserve">для </w:t>
      </w:r>
      <w:r w:rsidRPr="00F70097">
        <w:rPr>
          <w:bCs/>
        </w:rPr>
        <w:t>репродуктивной и ранней эмбриофетальной</w:t>
      </w:r>
      <w:r>
        <w:t xml:space="preserve"> токсичности у крыс был &gt; 240 мг/кг/</w:t>
      </w:r>
      <w:r w:rsidR="00D37B19" w:rsidRPr="00D37B19">
        <w:t xml:space="preserve"> </w:t>
      </w:r>
      <w:r w:rsidR="00D37B19">
        <w:t>сутки</w:t>
      </w:r>
      <w:r>
        <w:t>. При дозе 240 мг/кг/</w:t>
      </w:r>
      <w:r w:rsidR="00D37B19" w:rsidRPr="00D37B19">
        <w:t xml:space="preserve"> </w:t>
      </w:r>
      <w:r w:rsidR="00D37B19">
        <w:t>сутки</w:t>
      </w:r>
      <w:r w:rsidR="00D37B19" w:rsidRPr="00D21625">
        <w:t xml:space="preserve"> </w:t>
      </w:r>
      <w:r>
        <w:t xml:space="preserve">наблюдались признаки легкой токсичности у половозрелых самцов и самок крыс, характеризующиеся значительным снижением прибавки массы тела и снижение потребления пищи по сравнению с контролем. При исследовании влияния </w:t>
      </w:r>
      <w:r w:rsidRPr="00D21625">
        <w:t>линаглиптин</w:t>
      </w:r>
      <w:r>
        <w:t>а</w:t>
      </w:r>
      <w:r w:rsidRPr="00D21625">
        <w:t xml:space="preserve"> </w:t>
      </w:r>
      <w:r>
        <w:t xml:space="preserve">на развитие эмбриона и плода у крыс, </w:t>
      </w:r>
      <w:r w:rsidRPr="00D21625">
        <w:t xml:space="preserve">линаглиптин вводили перорально один раз в </w:t>
      </w:r>
      <w:r w:rsidR="00D37B19">
        <w:t>сутки</w:t>
      </w:r>
      <w:r w:rsidRPr="00D21625">
        <w:t xml:space="preserve"> через желудочный зонд </w:t>
      </w:r>
      <w:r>
        <w:t>в дозах 10, 30, 240 мг/кг/сут</w:t>
      </w:r>
      <w:r w:rsidR="00923E2B">
        <w:t>ки</w:t>
      </w:r>
      <w:r>
        <w:t>. NOAEL (материнский) = 25 мг/кг (78 кратное увеличении максимально</w:t>
      </w:r>
      <w:r w:rsidRPr="00093E95">
        <w:t xml:space="preserve"> </w:t>
      </w:r>
      <w:r>
        <w:t>рекомендованной дозы человека). Определение NOAEL для материнской токсичности было основан на 39% снижении прибавки массы тела по сравнению с контрольной группой на 28-й день беременности и снижение потребление пищи в период приема препарата при дозе 150 мг/кг/день. NOAEL (фетальный) = 150 мг/кг (пороки развития плода</w:t>
      </w:r>
      <w:r w:rsidR="00D37B19">
        <w:t xml:space="preserve"> 200</w:t>
      </w:r>
      <w:r w:rsidRPr="004B1C8B">
        <w:t xml:space="preserve"> </w:t>
      </w:r>
      <w:r>
        <w:t>кратно</w:t>
      </w:r>
      <w:r w:rsidR="00D37B19">
        <w:t xml:space="preserve">м </w:t>
      </w:r>
      <w:r>
        <w:t>увеличении максимально</w:t>
      </w:r>
      <w:r w:rsidRPr="00093E95">
        <w:t xml:space="preserve"> </w:t>
      </w:r>
      <w:r>
        <w:t>рекомендованной дозы человека). Определение NOAEL для фетальной токсичности было основано на выявлении повышенная частота внутриутробных вариаций малого желчного пузыря/гипоплазии желчного пузыря</w:t>
      </w:r>
      <w:r w:rsidR="00D37B19">
        <w:t>).</w:t>
      </w:r>
      <w:r>
        <w:t xml:space="preserve"> </w:t>
      </w:r>
    </w:p>
    <w:p w14:paraId="713F6BBA" w14:textId="12C8365E" w:rsidR="004B1452" w:rsidRDefault="004B1452" w:rsidP="005B4F45">
      <w:pPr>
        <w:ind w:firstLine="709"/>
      </w:pPr>
      <w:r>
        <w:t>Введение крысам во время беременности (F0), в период внутриутробного развития и в период лактации (F1) 300</w:t>
      </w:r>
      <w:r w:rsidR="00C81648">
        <w:t xml:space="preserve"> </w:t>
      </w:r>
      <w:r>
        <w:t>мг/кг линаглиптина (&gt; 1000 кратное увеличении максимально</w:t>
      </w:r>
      <w:r w:rsidRPr="00093E95">
        <w:t xml:space="preserve"> </w:t>
      </w:r>
      <w:r>
        <w:t xml:space="preserve">рекомендованной дозы человека) приводили к задержке роста и развития потомства в исследовании. Вес потомства (F1) был низким при рождении и оставался ниже, чем в контрольной группе. Потомство (F1) также имели умеренные задержки в физическом развитии, обучении/памяти, физической активность/исследовательском поведении и </w:t>
      </w:r>
      <w:r w:rsidR="00DA4AED">
        <w:t xml:space="preserve">в </w:t>
      </w:r>
      <w:r>
        <w:t>количеств</w:t>
      </w:r>
      <w:r w:rsidR="00DA4AED">
        <w:t>е</w:t>
      </w:r>
      <w:r>
        <w:t xml:space="preserve"> жизнеспособного потомства (F2) после спаривания.</w:t>
      </w:r>
    </w:p>
    <w:p w14:paraId="260B0406" w14:textId="77777777" w:rsidR="004B1452" w:rsidRDefault="004B1452" w:rsidP="004B1452">
      <w:pPr>
        <w:pStyle w:val="2"/>
        <w:tabs>
          <w:tab w:val="left" w:pos="284"/>
          <w:tab w:val="left" w:pos="567"/>
        </w:tabs>
        <w:spacing w:line="240" w:lineRule="auto"/>
        <w:rPr>
          <w:color w:val="000000" w:themeColor="text1"/>
        </w:rPr>
      </w:pPr>
      <w:bookmarkStart w:id="80" w:name="_Toc139361948"/>
      <w:r w:rsidRPr="005E6358">
        <w:rPr>
          <w:color w:val="000000" w:themeColor="text1"/>
        </w:rPr>
        <w:t>3.1 Доклиническая фармакология</w:t>
      </w:r>
      <w:bookmarkEnd w:id="80"/>
    </w:p>
    <w:p w14:paraId="0FA61048" w14:textId="77777777" w:rsidR="004B1452" w:rsidRDefault="004B1452" w:rsidP="004B1452">
      <w:pPr>
        <w:pStyle w:val="3"/>
        <w:spacing w:after="240"/>
        <w:rPr>
          <w:rFonts w:ascii="Times New Roman" w:hAnsi="Times New Roman"/>
          <w:color w:val="000000" w:themeColor="text1"/>
          <w:szCs w:val="24"/>
        </w:rPr>
      </w:pPr>
      <w:bookmarkStart w:id="81" w:name="_Toc139361949"/>
      <w:r w:rsidRPr="005E6358">
        <w:rPr>
          <w:rFonts w:ascii="Times New Roman" w:hAnsi="Times New Roman"/>
          <w:color w:val="000000" w:themeColor="text1"/>
          <w:szCs w:val="24"/>
        </w:rPr>
        <w:t>3.1.1.</w:t>
      </w:r>
      <w:r>
        <w:rPr>
          <w:rFonts w:ascii="Times New Roman" w:hAnsi="Times New Roman"/>
          <w:color w:val="000000" w:themeColor="text1"/>
          <w:szCs w:val="24"/>
        </w:rPr>
        <w:t xml:space="preserve"> </w:t>
      </w:r>
      <w:r w:rsidRPr="005E6358">
        <w:rPr>
          <w:rFonts w:ascii="Times New Roman" w:hAnsi="Times New Roman"/>
          <w:color w:val="000000" w:themeColor="text1"/>
          <w:szCs w:val="24"/>
        </w:rPr>
        <w:t>Механизм действия</w:t>
      </w:r>
      <w:bookmarkEnd w:id="81"/>
    </w:p>
    <w:p w14:paraId="70CBB009" w14:textId="7C975BC7" w:rsidR="00255CCA" w:rsidRPr="0049695C" w:rsidRDefault="004B1452" w:rsidP="0049695C">
      <w:pPr>
        <w:autoSpaceDE w:val="0"/>
        <w:autoSpaceDN w:val="0"/>
        <w:adjustRightInd w:val="0"/>
        <w:ind w:firstLine="708"/>
        <w:rPr>
          <w:i/>
          <w:iCs/>
        </w:rPr>
      </w:pPr>
      <w:bookmarkStart w:id="82" w:name="_Toc499821138"/>
      <w:bookmarkStart w:id="83" w:name="_Toc505020000"/>
      <w:r>
        <w:t>Линаглиптин является ингибитором фермента ДПП-4, который участвует в инактива</w:t>
      </w:r>
      <w:r w:rsidR="00D2655C">
        <w:t xml:space="preserve">ции гормонов инкретинов </w:t>
      </w:r>
      <w:r w:rsidR="00A04BBA">
        <w:t xml:space="preserve">– </w:t>
      </w:r>
      <w:r w:rsidR="00D2655C">
        <w:t>ГПП-1</w:t>
      </w:r>
      <w:r>
        <w:t xml:space="preserve">и </w:t>
      </w:r>
      <w:bookmarkStart w:id="84" w:name="_Hlk120398417"/>
      <w:r>
        <w:t xml:space="preserve">ГИП. </w:t>
      </w:r>
      <w:bookmarkEnd w:id="84"/>
      <w:r>
        <w:t xml:space="preserve">Эти гормоны быстро разрушаются ферментом ДПП-4. Оба эти инкретина участвуют в поддержании концентрации глюкозы на физиологическом уровне. Базальные концентрации ГПП-1 и ГИП в течение суток низкие, они быстро повышаются в ответ на прием пищи. ГПП-1 и ГИП усиливают биосинтез инсулина и его секрецию бета-клетками поджелудочной железы при нормальной или повышенной концентрации глюкозы крови. Кроме того, ГПП-1 снижает секрецию глюкагона альфа-клетками поджелудочной железы, что приводит к уменьшению продукции глюкозы в печени. Линаглиптин активно связывается с ферментом ДПП-4 (связь обратимая), что вызывает устойчивое повышение концентрации инкретинов и длительное сохранение их активности. Линаглиптин увеличивает глюкозозависимую секрецию инсулина и снижает секрецию глюкагона, что приводит к нормализации концентрации глюкозы в крови. Линаглиптин избирательно связывается с ферментом ДПП-4 и обладает </w:t>
      </w:r>
      <w:r>
        <w:lastRenderedPageBreak/>
        <w:t xml:space="preserve">в 10000 раз большей селективностью по отношению к ДПП-4 по сравнению с ферментами дипептидилпептидазы-8 или дипептидилпептидазы-9 </w:t>
      </w:r>
      <w:r w:rsidRPr="00111897">
        <w:rPr>
          <w:i/>
          <w:iCs/>
        </w:rPr>
        <w:t>in vitro</w:t>
      </w:r>
      <w:r>
        <w:rPr>
          <w:i/>
          <w:iCs/>
        </w:rPr>
        <w:t xml:space="preserve"> </w:t>
      </w:r>
      <w:r>
        <w:rPr>
          <w:i/>
          <w:iCs/>
        </w:rPr>
        <w:fldChar w:fldCharType="begin"/>
      </w:r>
      <w:r>
        <w:rPr>
          <w:i/>
          <w:iCs/>
        </w:rPr>
        <w:instrText xml:space="preserve"> ADDIN ZOTERO_ITEM CSL_CITATION {"citationID":"IzflHdOq","properties":{"formattedCitation":"[1\\uc0\\u8211{}3]","plainCitation":"[1–3]","noteIndex":0},"citationItems":[{"id":3008,"uris":["http://zotero.org/users/5483459/items/A4YJC5H7"],"itemData":{"id":3008,"type":"document","title":"European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04.03.2011"},"label":"page"}],"schema":"https://github.com/citation-style-language/schema/raw/master/csl-citation.json"} </w:instrText>
      </w:r>
      <w:r>
        <w:rPr>
          <w:i/>
          <w:iCs/>
        </w:rPr>
        <w:fldChar w:fldCharType="separate"/>
      </w:r>
      <w:r w:rsidRPr="00F058A0">
        <w:t>[1–3]</w:t>
      </w:r>
      <w:r>
        <w:rPr>
          <w:i/>
          <w:iCs/>
        </w:rPr>
        <w:fldChar w:fldCharType="end"/>
      </w:r>
      <w:r w:rsidR="0049695C">
        <w:rPr>
          <w:i/>
          <w:iCs/>
        </w:rPr>
        <w:t>.</w:t>
      </w:r>
    </w:p>
    <w:p w14:paraId="73FDB6FA" w14:textId="77777777" w:rsidR="004B1452" w:rsidRPr="0049695C" w:rsidRDefault="004B1452" w:rsidP="0049695C">
      <w:pPr>
        <w:pStyle w:val="3"/>
        <w:spacing w:after="240"/>
        <w:rPr>
          <w:rFonts w:ascii="Times New Roman" w:hAnsi="Times New Roman"/>
          <w:color w:val="000000" w:themeColor="text1"/>
          <w:szCs w:val="24"/>
        </w:rPr>
      </w:pPr>
      <w:bookmarkStart w:id="85" w:name="_Toc139361950"/>
      <w:r w:rsidRPr="0049695C">
        <w:rPr>
          <w:rFonts w:ascii="Times New Roman" w:hAnsi="Times New Roman"/>
          <w:color w:val="000000" w:themeColor="text1"/>
          <w:szCs w:val="24"/>
        </w:rPr>
        <w:t xml:space="preserve">3.1.2. </w:t>
      </w:r>
      <w:bookmarkEnd w:id="82"/>
      <w:bookmarkEnd w:id="83"/>
      <w:r w:rsidRPr="0049695C">
        <w:rPr>
          <w:rFonts w:ascii="Times New Roman" w:hAnsi="Times New Roman"/>
          <w:color w:val="000000" w:themeColor="text1"/>
          <w:szCs w:val="24"/>
        </w:rPr>
        <w:t>Первичная фармакодинамика</w:t>
      </w:r>
      <w:bookmarkEnd w:id="85"/>
    </w:p>
    <w:p w14:paraId="67617EC4" w14:textId="77777777" w:rsidR="004B1452" w:rsidRDefault="004B1452" w:rsidP="004B1452">
      <w:pPr>
        <w:pStyle w:val="4"/>
        <w:spacing w:after="240"/>
        <w:rPr>
          <w:rFonts w:ascii="Times New Roman" w:hAnsi="Times New Roman"/>
          <w:i/>
          <w:color w:val="000000" w:themeColor="text1"/>
          <w:sz w:val="24"/>
          <w:szCs w:val="24"/>
        </w:rPr>
      </w:pPr>
      <w:bookmarkStart w:id="86" w:name="_Hlk521883669"/>
      <w:bookmarkStart w:id="87" w:name="_Toc139361951"/>
      <w:r>
        <w:rPr>
          <w:rFonts w:ascii="Times New Roman" w:hAnsi="Times New Roman"/>
          <w:color w:val="000000" w:themeColor="text1"/>
          <w:sz w:val="24"/>
          <w:szCs w:val="24"/>
        </w:rPr>
        <w:t>3.1.2.1. Первичная ф</w:t>
      </w:r>
      <w:r w:rsidRPr="00AD62F6">
        <w:rPr>
          <w:rFonts w:ascii="Times New Roman" w:hAnsi="Times New Roman"/>
          <w:color w:val="000000" w:themeColor="text1"/>
          <w:sz w:val="24"/>
          <w:szCs w:val="24"/>
        </w:rPr>
        <w:t xml:space="preserve">армакодинамика </w:t>
      </w:r>
      <w:r w:rsidRPr="00AD62F6">
        <w:rPr>
          <w:rFonts w:ascii="Times New Roman" w:hAnsi="Times New Roman"/>
          <w:i/>
          <w:color w:val="000000" w:themeColor="text1"/>
          <w:sz w:val="24"/>
          <w:szCs w:val="24"/>
        </w:rPr>
        <w:t>in</w:t>
      </w:r>
      <w:r>
        <w:rPr>
          <w:rFonts w:ascii="Times New Roman" w:hAnsi="Times New Roman"/>
          <w:i/>
          <w:color w:val="000000" w:themeColor="text1"/>
          <w:sz w:val="24"/>
          <w:szCs w:val="24"/>
        </w:rPr>
        <w:t xml:space="preserve"> </w:t>
      </w:r>
      <w:r w:rsidRPr="00AD62F6">
        <w:rPr>
          <w:rFonts w:ascii="Times New Roman" w:hAnsi="Times New Roman"/>
          <w:i/>
          <w:color w:val="000000" w:themeColor="text1"/>
          <w:sz w:val="24"/>
          <w:szCs w:val="24"/>
        </w:rPr>
        <w:t>vitro</w:t>
      </w:r>
      <w:bookmarkEnd w:id="87"/>
    </w:p>
    <w:p w14:paraId="22491F6A" w14:textId="5A8CD00A" w:rsidR="004B1452" w:rsidRDefault="004B1452" w:rsidP="00975E04">
      <w:pPr>
        <w:ind w:firstLine="709"/>
      </w:pPr>
      <w:bookmarkStart w:id="88" w:name="_Hlk121099636"/>
      <w:bookmarkEnd w:id="86"/>
      <w:r w:rsidRPr="0088434E">
        <w:t xml:space="preserve">Линаглиптин является высокоэффективным, конкурентным, обратимым ингибитором ДПП-4. Высокая эффективность была показана </w:t>
      </w:r>
      <w:r w:rsidRPr="00D406A7">
        <w:rPr>
          <w:i/>
          <w:iCs/>
        </w:rPr>
        <w:t>in vitro</w:t>
      </w:r>
      <w:r w:rsidRPr="0088434E">
        <w:t xml:space="preserve"> в экстрактах клеток CaCo-2 человека, при этом IC</w:t>
      </w:r>
      <w:r w:rsidRPr="0088434E">
        <w:rPr>
          <w:vertAlign w:val="subscript"/>
        </w:rPr>
        <w:t>50</w:t>
      </w:r>
      <w:r w:rsidRPr="0088434E">
        <w:t xml:space="preserve"> линаглиптина составил 1 нМ. Эффективность также была показана в плазме крови человека, при этом </w:t>
      </w:r>
      <w:r w:rsidR="00563064">
        <w:t>значение поазателя</w:t>
      </w:r>
      <w:r w:rsidRPr="0088434E">
        <w:t xml:space="preserve"> IC</w:t>
      </w:r>
      <w:r w:rsidRPr="009C327B">
        <w:rPr>
          <w:vertAlign w:val="subscript"/>
        </w:rPr>
        <w:t>50</w:t>
      </w:r>
      <w:r w:rsidRPr="0088434E">
        <w:t xml:space="preserve"> линаглиптина составил</w:t>
      </w:r>
      <w:r w:rsidR="00563064">
        <w:t>о</w:t>
      </w:r>
      <w:r w:rsidRPr="0088434E">
        <w:t xml:space="preserve"> 3,6 нМ. Линаглиптин ингибирует ДПП-4 у нескольких видов животных, при этом IC</w:t>
      </w:r>
      <w:r w:rsidRPr="009C327B">
        <w:rPr>
          <w:vertAlign w:val="subscript"/>
        </w:rPr>
        <w:t>50</w:t>
      </w:r>
      <w:r w:rsidRPr="0088434E">
        <w:t xml:space="preserve"> составила 6,8, 10,2 и 10,4 нМ у крыс, мышей и собак, соответственно. </w:t>
      </w:r>
    </w:p>
    <w:p w14:paraId="6A46E2CC" w14:textId="744EAAE8" w:rsidR="004B1452" w:rsidRDefault="004B1452" w:rsidP="00975E04">
      <w:pPr>
        <w:ind w:firstLine="709"/>
      </w:pPr>
      <w:r w:rsidRPr="0088434E">
        <w:t>Линаглиптин обладает высоким сродством к ДПП-4. Высокая аффинность связывания с ДПП-4 влияет на фармакокинетику линаглиптина и на концентрационно-зависимое ингибирование ДПП-4</w:t>
      </w:r>
      <w:r w:rsidR="007727B3">
        <w:t>.</w:t>
      </w:r>
      <w:r w:rsidRPr="0088434E">
        <w:t xml:space="preserve"> Моделирование и исследования связывания показали, что константа сродства связыва</w:t>
      </w:r>
      <w:r w:rsidR="00975E04">
        <w:t xml:space="preserve">ния с ДПП-4 составляет 231 пМ, </w:t>
      </w:r>
      <w:r w:rsidRPr="0088434E">
        <w:t xml:space="preserve">насыщение связывания </w:t>
      </w:r>
      <w:r w:rsidR="00975E04">
        <w:t xml:space="preserve">отмечается </w:t>
      </w:r>
      <w:r w:rsidRPr="0088434E">
        <w:t xml:space="preserve">при приблизительно 1 нМ линаглиптина. ДПП-4 определялся в плазме крови при концентрации приблизительно 5 нМ. </w:t>
      </w:r>
    </w:p>
    <w:bookmarkEnd w:id="88"/>
    <w:p w14:paraId="3C779C47" w14:textId="080EB908" w:rsidR="004B1452" w:rsidRPr="000E1916" w:rsidRDefault="004B1452" w:rsidP="00975E04">
      <w:pPr>
        <w:ind w:firstLine="709"/>
      </w:pPr>
      <w:r w:rsidRPr="000E1916">
        <w:t xml:space="preserve">Ингибирование </w:t>
      </w:r>
      <w:r w:rsidRPr="0088434E">
        <w:t xml:space="preserve">ДПП-4 </w:t>
      </w:r>
      <w:r w:rsidRPr="000E1916">
        <w:t xml:space="preserve">основным метаболитом CD 1790 было исследовано </w:t>
      </w:r>
      <w:r w:rsidRPr="00E02DA3">
        <w:rPr>
          <w:i/>
          <w:iCs/>
        </w:rPr>
        <w:t>in vitro</w:t>
      </w:r>
      <w:r w:rsidRPr="000E1916">
        <w:t xml:space="preserve">. CD 1790 не ингибировал </w:t>
      </w:r>
      <w:r w:rsidRPr="0088434E">
        <w:t>ДПП-4</w:t>
      </w:r>
      <w:r w:rsidRPr="000E1916">
        <w:t xml:space="preserve"> при 1 мкМ и максимально ингибировал </w:t>
      </w:r>
      <w:r w:rsidRPr="0088434E">
        <w:t>ДПП-4</w:t>
      </w:r>
      <w:r w:rsidRPr="000E1916">
        <w:t xml:space="preserve"> на 61% при 10 мкМ. Ингибирование </w:t>
      </w:r>
      <w:r w:rsidRPr="0088434E">
        <w:t>ДПП-4</w:t>
      </w:r>
      <w:r w:rsidRPr="000E1916">
        <w:t xml:space="preserve"> ниже 70-80% считается биологически не значимым. Если предположить даже минимальное ингибирование </w:t>
      </w:r>
      <w:r w:rsidRPr="0088434E">
        <w:t>ДПП-4</w:t>
      </w:r>
      <w:r w:rsidRPr="000E1916">
        <w:t xml:space="preserve"> </w:t>
      </w:r>
      <w:r w:rsidRPr="00E02DA3">
        <w:rPr>
          <w:i/>
          <w:iCs/>
        </w:rPr>
        <w:t>in vivo</w:t>
      </w:r>
      <w:r w:rsidRPr="000E1916">
        <w:t xml:space="preserve"> при высоких концентрациях CD 1790, </w:t>
      </w:r>
      <w:r w:rsidR="008823A2">
        <w:t xml:space="preserve">эффект </w:t>
      </w:r>
      <w:r w:rsidRPr="000E1916">
        <w:t>линаглиптин</w:t>
      </w:r>
      <w:r w:rsidR="008823A2">
        <w:t>а</w:t>
      </w:r>
      <w:r w:rsidRPr="000E1916">
        <w:t xml:space="preserve"> в &gt;1000 раз мощнее, и ожидается, что CD 1790 не будет вносить вклад в эффективност</w:t>
      </w:r>
      <w:r>
        <w:t>ь</w:t>
      </w:r>
      <w:r w:rsidRPr="000E1916">
        <w:t xml:space="preserve"> </w:t>
      </w:r>
      <w:r w:rsidRPr="00767962">
        <w:rPr>
          <w:i/>
          <w:iCs/>
        </w:rPr>
        <w:t>in vivo</w:t>
      </w:r>
      <w:r>
        <w:t xml:space="preserve"> </w:t>
      </w:r>
      <w:r>
        <w:fldChar w:fldCharType="begin"/>
      </w:r>
      <w:r>
        <w:instrText xml:space="preserve"> ADDIN ZOTERO_ITEM CSL_CITATION {"citationID":"LPDBL7f6","properties":{"formattedCitation":"[3]","plainCitation":"[3]","noteIndex":0},"citationItems":[{"id":2978,"uris":["http://zotero.org/users/5483459/items/DHAYHB8P"],"itemData":{"id":2978,"type":"document","title":"U.S.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6539CA">
        <w:t>[3]</w:t>
      </w:r>
      <w:r>
        <w:fldChar w:fldCharType="end"/>
      </w:r>
      <w:r>
        <w:t>.</w:t>
      </w:r>
    </w:p>
    <w:p w14:paraId="53B32669" w14:textId="212BE9DC" w:rsidR="004B1452" w:rsidRPr="00E24B88" w:rsidRDefault="004B1452" w:rsidP="00975E04">
      <w:pPr>
        <w:ind w:firstLine="709"/>
        <w:rPr>
          <w:i/>
          <w:iCs/>
        </w:rPr>
      </w:pPr>
      <w:bookmarkStart w:id="89" w:name="_Hlk120400719"/>
      <w:r>
        <w:t>Активированный белок фибробластов (АБФ</w:t>
      </w:r>
      <w:r w:rsidRPr="00244CE1">
        <w:t>)</w:t>
      </w:r>
      <w:r>
        <w:t xml:space="preserve"> </w:t>
      </w:r>
      <w:bookmarkEnd w:id="89"/>
      <w:r>
        <w:t xml:space="preserve">является наиболее высоко гомологичным </w:t>
      </w:r>
      <w:r w:rsidRPr="0088434E">
        <w:t>ДПП-4</w:t>
      </w:r>
      <w:r>
        <w:t xml:space="preserve"> и является единственным ферментом, который заметно ингибируется линаглиптином (IC</w:t>
      </w:r>
      <w:r w:rsidRPr="00244CE1">
        <w:rPr>
          <w:vertAlign w:val="subscript"/>
        </w:rPr>
        <w:t>50</w:t>
      </w:r>
      <w:r>
        <w:t xml:space="preserve"> = 94 нМ). Потенциал внецелевого воздействия на гемолиз или заживление ран в результате ингибирования АБФ был изучен в нескольких специальных исследованиях, и применение линаглиптин</w:t>
      </w:r>
      <w:r w:rsidR="007727B3">
        <w:t>а</w:t>
      </w:r>
      <w:r>
        <w:t xml:space="preserve"> не имело значительных эффектов </w:t>
      </w:r>
      <w:r w:rsidRPr="00E24B88">
        <w:rPr>
          <w:i/>
          <w:iCs/>
        </w:rPr>
        <w:t>in vivo</w:t>
      </w:r>
      <w:r>
        <w:t xml:space="preserve">. Линаглиптин не оказывал модулирующего воздействия на обширную группу рецепторов, ионных каналов и ферментов, проверенных </w:t>
      </w:r>
      <w:r w:rsidRPr="00E24B88">
        <w:rPr>
          <w:i/>
          <w:iCs/>
        </w:rPr>
        <w:t>in vitro</w:t>
      </w:r>
      <w:r>
        <w:rPr>
          <w:i/>
          <w:iCs/>
        </w:rPr>
        <w:t xml:space="preserve"> </w:t>
      </w:r>
      <w:r>
        <w:rPr>
          <w:i/>
          <w:iCs/>
        </w:rPr>
        <w:fldChar w:fldCharType="begin"/>
      </w:r>
      <w:r>
        <w:rPr>
          <w:i/>
          <w:iCs/>
        </w:rPr>
        <w:instrText xml:space="preserve"> ADDIN ZOTERO_ITEM CSL_CITATION {"citationID":"1E6Th0Uh","properties":{"formattedCitation":"[1\\uc0\\u8211{}3]","plainCitation":"[1–3]","noteIndex":0},"citationItems":[{"id":3008,"uris":["http://zotero.org/users/5483459/items/A4YJC5H7"],"itemData":{"id":3008,"type":"document","title":"European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04.03.2011"},"label":"page"}],"schema":"https://github.com/citation-style-language/schema/raw/master/csl-citation.json"} </w:instrText>
      </w:r>
      <w:r>
        <w:rPr>
          <w:i/>
          <w:iCs/>
        </w:rPr>
        <w:fldChar w:fldCharType="separate"/>
      </w:r>
      <w:r w:rsidRPr="00F058A0">
        <w:t>[1–3]</w:t>
      </w:r>
      <w:r>
        <w:rPr>
          <w:i/>
          <w:iCs/>
        </w:rPr>
        <w:fldChar w:fldCharType="end"/>
      </w:r>
      <w:r>
        <w:rPr>
          <w:i/>
          <w:iCs/>
        </w:rPr>
        <w:t>.</w:t>
      </w:r>
    </w:p>
    <w:p w14:paraId="3AC99E08" w14:textId="625EC4D2" w:rsidR="007727B3" w:rsidRDefault="004B1452" w:rsidP="00975E04">
      <w:pPr>
        <w:ind w:firstLine="709"/>
      </w:pPr>
      <w:r>
        <w:t xml:space="preserve">Линаглиптин показал &gt; 10 000-кратную селективность в отношении ингибирования </w:t>
      </w:r>
      <w:r w:rsidRPr="0088434E">
        <w:t>ДПП-4</w:t>
      </w:r>
      <w:r w:rsidRPr="000E1916">
        <w:t xml:space="preserve"> </w:t>
      </w:r>
      <w:r>
        <w:t xml:space="preserve"> по сравнению с родственными </w:t>
      </w:r>
      <w:bookmarkStart w:id="90" w:name="_Hlk120402287"/>
      <w:r>
        <w:t xml:space="preserve">дипептидилпептидазами </w:t>
      </w:r>
      <w:r w:rsidRPr="0088434E">
        <w:t>ДПП-</w:t>
      </w:r>
      <w:r>
        <w:t>8</w:t>
      </w:r>
      <w:r w:rsidRPr="000E1916">
        <w:t xml:space="preserve"> </w:t>
      </w:r>
      <w:r>
        <w:t xml:space="preserve">и </w:t>
      </w:r>
      <w:r w:rsidRPr="0088434E">
        <w:t>ДПП-</w:t>
      </w:r>
      <w:r>
        <w:t>9</w:t>
      </w:r>
      <w:bookmarkEnd w:id="90"/>
      <w:r>
        <w:t xml:space="preserve">. </w:t>
      </w:r>
      <w:r w:rsidRPr="0088434E">
        <w:t>ДПП-</w:t>
      </w:r>
      <w:r>
        <w:t>8</w:t>
      </w:r>
      <w:r w:rsidRPr="000E1916">
        <w:t xml:space="preserve"> </w:t>
      </w:r>
      <w:r>
        <w:t xml:space="preserve"> и </w:t>
      </w:r>
      <w:r w:rsidRPr="0088434E">
        <w:t>ДПП-</w:t>
      </w:r>
      <w:r>
        <w:t xml:space="preserve">9 также являются родственными цитоплазматическими ферментами, дифференциально экспрессирующимися в скелетных мышцах, сердце, печени и в активированных Т-клетках. Хотя физиологическая роль </w:t>
      </w:r>
      <w:r w:rsidRPr="0088434E">
        <w:t>ДПП-</w:t>
      </w:r>
      <w:r>
        <w:t>8</w:t>
      </w:r>
      <w:r w:rsidRPr="000E1916">
        <w:t xml:space="preserve"> </w:t>
      </w:r>
      <w:r>
        <w:t xml:space="preserve">и </w:t>
      </w:r>
      <w:r w:rsidRPr="0088434E">
        <w:t>ДПП-</w:t>
      </w:r>
      <w:r w:rsidR="008545BA">
        <w:t xml:space="preserve">9 </w:t>
      </w:r>
      <w:r>
        <w:t xml:space="preserve">до сих пор неизвестна, ингибирование </w:t>
      </w:r>
      <w:r w:rsidR="007727B3" w:rsidRPr="0088434E">
        <w:t>ДПП-</w:t>
      </w:r>
      <w:r w:rsidR="007727B3">
        <w:t>8</w:t>
      </w:r>
      <w:r w:rsidR="007727B3" w:rsidRPr="000E1916">
        <w:t xml:space="preserve"> </w:t>
      </w:r>
      <w:r w:rsidR="007727B3">
        <w:t xml:space="preserve">и </w:t>
      </w:r>
      <w:r w:rsidR="007727B3" w:rsidRPr="0088434E">
        <w:t>ДПП-</w:t>
      </w:r>
      <w:r w:rsidR="007727B3">
        <w:t xml:space="preserve">9 </w:t>
      </w:r>
      <w:r>
        <w:t>было связано с токсичностью у животных, включая алопецию, гистопатологические изменения во многих органах, токсичность</w:t>
      </w:r>
      <w:r w:rsidR="008545BA">
        <w:t xml:space="preserve"> в отношении </w:t>
      </w:r>
      <w:r>
        <w:t>желудочно-кишечного тракта</w:t>
      </w:r>
      <w:r w:rsidR="007727B3">
        <w:t xml:space="preserve"> (ЖКТ)</w:t>
      </w:r>
      <w:r>
        <w:t xml:space="preserve">, </w:t>
      </w:r>
      <w:r w:rsidR="007727B3">
        <w:t>орган</w:t>
      </w:r>
      <w:r w:rsidR="008545BA">
        <w:t>ов</w:t>
      </w:r>
      <w:r w:rsidR="007727B3">
        <w:t xml:space="preserve"> кроветворения, кров</w:t>
      </w:r>
      <w:r w:rsidR="008545BA">
        <w:t>и</w:t>
      </w:r>
      <w:r w:rsidR="00D2655C">
        <w:t xml:space="preserve"> </w:t>
      </w:r>
      <w:r w:rsidR="007727B3">
        <w:t>и</w:t>
      </w:r>
      <w:r>
        <w:t xml:space="preserve"> иммунн</w:t>
      </w:r>
      <w:r w:rsidR="008545BA">
        <w:t>ой</w:t>
      </w:r>
      <w:r>
        <w:t xml:space="preserve"> систем</w:t>
      </w:r>
      <w:r w:rsidR="008545BA">
        <w:t>ы</w:t>
      </w:r>
      <w:r>
        <w:t xml:space="preserve"> (тромбоцитопения, ретикулоцитопения, увеличение селезенки). Токсичность, связанная с кожей, иммунитетом и ЖКТ, наблюдалась при применении некоторых ингибиторов </w:t>
      </w:r>
      <w:r w:rsidRPr="0088434E">
        <w:t>ДПП-4</w:t>
      </w:r>
      <w:r>
        <w:t xml:space="preserve"> и основываясь на аналогичном профиле токсичности при селективном ингибировании </w:t>
      </w:r>
      <w:r w:rsidRPr="0088434E">
        <w:t>ДПП-</w:t>
      </w:r>
      <w:r>
        <w:t>8 и/или</w:t>
      </w:r>
      <w:r w:rsidR="007727B3">
        <w:t xml:space="preserve"> </w:t>
      </w:r>
      <w:r>
        <w:t>ингибировани</w:t>
      </w:r>
      <w:r w:rsidR="007727B3">
        <w:t>и</w:t>
      </w:r>
      <w:r>
        <w:t xml:space="preserve"> </w:t>
      </w:r>
      <w:r w:rsidRPr="0088434E">
        <w:t>ДПП-</w:t>
      </w:r>
      <w:r>
        <w:t xml:space="preserve">9, некоторая токсичность, приписываемая ингибированию </w:t>
      </w:r>
      <w:r w:rsidRPr="0088434E">
        <w:t>ДПП-4</w:t>
      </w:r>
      <w:r w:rsidR="008545BA">
        <w:t xml:space="preserve"> </w:t>
      </w:r>
      <w:r>
        <w:t xml:space="preserve">может быть вызвана ингибированием </w:t>
      </w:r>
      <w:r w:rsidRPr="0088434E">
        <w:t>ДПП-</w:t>
      </w:r>
      <w:r>
        <w:t>8</w:t>
      </w:r>
      <w:r w:rsidRPr="000E1916">
        <w:t xml:space="preserve"> </w:t>
      </w:r>
      <w:r>
        <w:t xml:space="preserve">и </w:t>
      </w:r>
      <w:r w:rsidRPr="0088434E">
        <w:t>ДПП-</w:t>
      </w:r>
      <w:r>
        <w:t xml:space="preserve">9 </w:t>
      </w:r>
      <w:r>
        <w:fldChar w:fldCharType="begin"/>
      </w:r>
      <w:r>
        <w:instrText xml:space="preserve"> ADDIN ZOTERO_ITEM CSL_CITATION {"citationID":"uhqjkTyn","properties":{"formattedCitation":"[3]","plainCitation":"[3]","noteIndex":0},"citationItems":[{"id":2978,"uris":["http://zotero.org/users/5483459/items/DHAYHB8P"],"itemData":{"id":2978,"type":"document","title":"U.S.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E40F16">
        <w:t>[3]</w:t>
      </w:r>
      <w:r>
        <w:fldChar w:fldCharType="end"/>
      </w:r>
      <w:r>
        <w:t>.</w:t>
      </w:r>
    </w:p>
    <w:p w14:paraId="673026E2" w14:textId="77777777" w:rsidR="007727B3" w:rsidRDefault="007727B3" w:rsidP="007727B3">
      <w:pPr>
        <w:ind w:firstLine="709"/>
      </w:pPr>
    </w:p>
    <w:p w14:paraId="5A729134" w14:textId="77777777" w:rsidR="0049695C" w:rsidRDefault="0049695C" w:rsidP="008A321D">
      <w:pPr>
        <w:pStyle w:val="4"/>
        <w:spacing w:before="0" w:after="0"/>
        <w:rPr>
          <w:rFonts w:ascii="Times New Roman" w:hAnsi="Times New Roman"/>
          <w:color w:val="000000" w:themeColor="text1"/>
          <w:sz w:val="24"/>
          <w:szCs w:val="24"/>
        </w:rPr>
        <w:sectPr w:rsidR="0049695C" w:rsidSect="00AB01E2">
          <w:headerReference w:type="default" r:id="rId16"/>
          <w:headerReference w:type="first" r:id="rId17"/>
          <w:footnotePr>
            <w:pos w:val="beneathText"/>
          </w:footnotePr>
          <w:pgSz w:w="11906" w:h="16838"/>
          <w:pgMar w:top="1134" w:right="849" w:bottom="1134" w:left="1701" w:header="708" w:footer="709" w:gutter="0"/>
          <w:cols w:space="708"/>
          <w:docGrid w:linePitch="360"/>
        </w:sectPr>
      </w:pPr>
    </w:p>
    <w:p w14:paraId="07470DC6" w14:textId="407B6F88" w:rsidR="004B1452" w:rsidRPr="008A321D" w:rsidRDefault="004B1452" w:rsidP="008A321D">
      <w:pPr>
        <w:pStyle w:val="4"/>
        <w:spacing w:before="0" w:after="0"/>
        <w:rPr>
          <w:rFonts w:ascii="Times New Roman" w:hAnsi="Times New Roman"/>
          <w:color w:val="000000" w:themeColor="text1"/>
          <w:sz w:val="24"/>
          <w:szCs w:val="24"/>
        </w:rPr>
      </w:pPr>
      <w:bookmarkStart w:id="91" w:name="_Toc139361952"/>
      <w:r w:rsidRPr="008A321D">
        <w:rPr>
          <w:rFonts w:ascii="Times New Roman" w:hAnsi="Times New Roman"/>
          <w:color w:val="000000" w:themeColor="text1"/>
          <w:sz w:val="24"/>
          <w:szCs w:val="24"/>
        </w:rPr>
        <w:lastRenderedPageBreak/>
        <w:t xml:space="preserve">3.1.2.2. </w:t>
      </w:r>
      <w:bookmarkStart w:id="92" w:name="_Hlk120363994"/>
      <w:r w:rsidRPr="008A321D">
        <w:rPr>
          <w:rFonts w:ascii="Times New Roman" w:hAnsi="Times New Roman"/>
          <w:color w:val="000000" w:themeColor="text1"/>
          <w:sz w:val="24"/>
          <w:szCs w:val="24"/>
        </w:rPr>
        <w:t xml:space="preserve">Первичная фармакодинамика </w:t>
      </w:r>
      <w:r w:rsidRPr="008A321D">
        <w:rPr>
          <w:rFonts w:ascii="Times New Roman" w:hAnsi="Times New Roman"/>
          <w:i/>
          <w:color w:val="000000" w:themeColor="text1"/>
          <w:sz w:val="24"/>
          <w:szCs w:val="24"/>
        </w:rPr>
        <w:t>in vivo</w:t>
      </w:r>
      <w:bookmarkEnd w:id="91"/>
      <w:bookmarkEnd w:id="92"/>
    </w:p>
    <w:p w14:paraId="3361A978" w14:textId="77777777" w:rsidR="001964CB" w:rsidRPr="007727B3" w:rsidRDefault="001964CB" w:rsidP="008A321D">
      <w:pPr>
        <w:ind w:firstLine="709"/>
        <w:rPr>
          <w:b/>
          <w:bCs/>
          <w:i/>
          <w:color w:val="000000" w:themeColor="text1"/>
        </w:rPr>
      </w:pPr>
    </w:p>
    <w:p w14:paraId="4BE8230B" w14:textId="1A36CABD" w:rsidR="004B1452" w:rsidRDefault="004B1452" w:rsidP="00424834">
      <w:pPr>
        <w:ind w:firstLine="709"/>
      </w:pPr>
      <w:bookmarkStart w:id="93" w:name="_Hlk121099737"/>
      <w:r w:rsidRPr="0086670E">
        <w:t xml:space="preserve">Первичная фармакодинамика </w:t>
      </w:r>
      <w:r w:rsidRPr="0042142D">
        <w:rPr>
          <w:i/>
          <w:iCs/>
        </w:rPr>
        <w:t>in vivo</w:t>
      </w:r>
      <w:r>
        <w:t xml:space="preserve"> линаглиптина оценивал</w:t>
      </w:r>
      <w:r w:rsidR="001964CB">
        <w:t>ась</w:t>
      </w:r>
      <w:r>
        <w:t xml:space="preserve"> на различных экспериментальных моделях животных. Было оценено влияние линаглиптина на уровень глюкозы в крови здоровых животных и животных с СД. </w:t>
      </w:r>
    </w:p>
    <w:p w14:paraId="4F76A7B4" w14:textId="5AB55DDB" w:rsidR="0010203A" w:rsidRDefault="0010203A" w:rsidP="00424834">
      <w:pPr>
        <w:ind w:firstLine="709"/>
      </w:pPr>
      <w:r w:rsidRPr="005E3DD4">
        <w:t xml:space="preserve">Мыши </w:t>
      </w:r>
      <w:r w:rsidRPr="0065281C">
        <w:rPr>
          <w:i/>
          <w:iCs/>
          <w:lang w:val="en-US"/>
        </w:rPr>
        <w:t>db</w:t>
      </w:r>
      <w:r w:rsidRPr="0065281C">
        <w:rPr>
          <w:i/>
          <w:iCs/>
        </w:rPr>
        <w:t>/</w:t>
      </w:r>
      <w:r w:rsidRPr="0065281C">
        <w:rPr>
          <w:i/>
          <w:iCs/>
          <w:lang w:val="en-US"/>
        </w:rPr>
        <w:t>db</w:t>
      </w:r>
      <w:r>
        <w:t xml:space="preserve"> </w:t>
      </w:r>
      <w:r w:rsidR="0074565B">
        <w:t xml:space="preserve">– </w:t>
      </w:r>
      <w:r>
        <w:t xml:space="preserve">это модель </w:t>
      </w:r>
      <w:r>
        <w:rPr>
          <w:lang w:val="en-US"/>
        </w:rPr>
        <w:t>c</w:t>
      </w:r>
      <w:r w:rsidRPr="00E262D4">
        <w:t xml:space="preserve"> </w:t>
      </w:r>
      <w:r>
        <w:t xml:space="preserve">ожирением, резистентностью к инсулину и гипергликемией </w:t>
      </w:r>
      <w:r>
        <w:fldChar w:fldCharType="begin"/>
      </w:r>
      <w:r>
        <w:instrText xml:space="preserve"> ADDIN ZOTERO_ITEM CSL_CITATION {"citationID":"NjpYU1G7","properties":{"formattedCitation":"[5]","plainCitation":"[5]","noteIndex":0},"citationItems":[{"id":3015,"uris":["http://zotero.org/users/5483459/items/5FQ3H7UI"],"itemData":{"id":3015,"type":"article-journal","abstract":"Background\nLeptin-deficient ob/ob mice and leptin receptor-deficient db/db mice are commonly used mice models mimicking the conditions of obesity and type 2 diabetes development. However, although ob/ob and db/db mice are similarly gaining weight and developing massive obesity, db/db mice are more diabetic than ob/ob mice. It remains still unclear why targeting the same pathway—leptin signaling—leads to the development of two different phenotypes. Given that gut microbes dialogue with the host via different metabolites (e.g., short-chain fatty acids) but also contribute to the regulation of bile acids metabolism, we investigated whether inflammatory markers, bacterial components, bile acids, short-chain fatty acids, and gut microbes could contribute to explain the specific phenotype discriminating the onset of an obese and/or a diabetic state in ob/ob and db/db mice.\n\nResults\nSix-week-old ob/ob and db/db mice were followed for 7 weeks; they had comparable body weight, fat mass, and lean mass gain, confirming their severely obese status. However, as expected, the glucose metabolism and the glucose-induced insulin secretion were significantly different between ob/ob and db/db mice. Strikingly, the fat distribution was different, with db/db mice having more subcutaneous and ob/ob mice having more epididymal fat. In addition, liver steatosis was more pronounced in the ob/ob mice than in db/db mice. We also found very distinct inflammatory profiles between ob/ob and db/db mice, with a more pronounced inflammatory tone in the liver for ob/ob mice as compared to a higher inflammatory tone in the (subcutaneous) adipose tissue for db/db mice. When analyzing the gut microbiota composition, we found that the quantity of 19 microbial taxa was in some way affected by the genotype. Furthermore, we also show that serum LPS concentration, hepatic bile acid content, and cecal short-chain fatty acid profiles were differently affected by the two genotypes.\n\nConclusion\nTaken together, our results elucidate potential mechanisms implicated in the development of an obese or a diabetic state in two genetic models characterized by an altered leptin signaling. We propose that these differences could be linked to specific inflammatory tones, serum LPS concentration, bile acid metabolism, short-chain fatty acid profile, and gut microbiota composition., \nVideo abstract.\n\nSupplementary Information\nThe online version contains supplementary material available at 10.1186/s40168-021-01097-8.","container-title":"Microbiome","DOI":"10.1186/s40168-021-01097-8","ISSN":"2049-2618","journalAbbreviation":"Microbiome","note":"PMID: 34183063\nPMCID: PMC8240277","page":"147","source":"PubMed Central","title":"Novel insights into the genetically obese (ob/ob) and diabetic (db/db) mice: two sides of the same coin","title-short":"Novel insights into the genetically obese (ob/ob) and diabetic (db/db) mice","volume":"9","author":[{"family":"Suriano","given":"Francesco"},{"family":"Vieira-Silva","given":"Sara"},{"family":"Falony","given":"Gwen"},{"family":"Roumain","given":"Martin"},{"family":"Paquot","given":"Adrien"},{"family":"Pelicaen","given":"Rudy"},{"family":"Régnier","given":"Marion"},{"family":"Delzenne","given":"Nathalie M."},{"family":"Raes","given":"Jeroen"},{"family":"Muccioli","given":"Giulio G."},{"family":"Van Hul","given":"Matthias"},{"family":"Cani","given":"Patrice D."}],"issued":{"date-parts":[["2021",6,28]]}}}],"schema":"https://github.com/citation-style-language/schema/raw/master/csl-citation.json"} </w:instrText>
      </w:r>
      <w:r>
        <w:fldChar w:fldCharType="separate"/>
      </w:r>
      <w:r w:rsidRPr="00F058A0">
        <w:t>[5]</w:t>
      </w:r>
      <w:r>
        <w:fldChar w:fldCharType="end"/>
      </w:r>
      <w:r>
        <w:t xml:space="preserve">. </w:t>
      </w:r>
      <w:r w:rsidRPr="005F4C70">
        <w:t>Долгосрочная эффекти</w:t>
      </w:r>
      <w:r w:rsidR="00D2655C">
        <w:t xml:space="preserve">вность применения линаглиптина </w:t>
      </w:r>
      <w:r w:rsidRPr="005F4C70">
        <w:t xml:space="preserve">оценивалась у мышей с диабетом </w:t>
      </w:r>
      <w:r w:rsidRPr="00E936BC">
        <w:rPr>
          <w:i/>
          <w:iCs/>
        </w:rPr>
        <w:t>db/db</w:t>
      </w:r>
      <w:r w:rsidRPr="005F4C70">
        <w:t>, получавших 3 мг/кг линаглиптина перорально через желудочный зонд в течение 8 недель. Применение линаглиптина было начато у 8-недельных мышей, уровень гликированного гемоглобина</w:t>
      </w:r>
      <w:r>
        <w:t xml:space="preserve"> </w:t>
      </w:r>
      <w:r w:rsidRPr="005F4C70">
        <w:t>(HbA1c) и чувствительность к инсулину (при использовании эугликемического инсулинового зажима) оценивались после 8</w:t>
      </w:r>
      <w:r>
        <w:t xml:space="preserve"> недель</w:t>
      </w:r>
      <w:r w:rsidRPr="005F4C70">
        <w:t xml:space="preserve"> применения. Повышенный уровень HbA1 у мышей с диабетом значительно снизился при применении линаглиптина по сравнению с контролем. Уровень HbA1c в плазме крови достиг стационарных значений примерно через 6 недель применения линаглиптина, </w:t>
      </w:r>
      <w:r>
        <w:t>У</w:t>
      </w:r>
      <w:r w:rsidRPr="005F4C70">
        <w:t xml:space="preserve">ровень HbA1 продолжал увеличиваться на протяжении всего исследования у контрольных животных. </w:t>
      </w:r>
    </w:p>
    <w:p w14:paraId="160C8341" w14:textId="7E3B4B67" w:rsidR="0010203A" w:rsidRPr="005F4C70" w:rsidRDefault="0010203A" w:rsidP="00424834">
      <w:pPr>
        <w:ind w:firstLine="709"/>
      </w:pPr>
      <w:r w:rsidRPr="005F4C70">
        <w:t xml:space="preserve"> Эффект от длительного лечения в этой модели был незначительным в отношении улучшения чувствительности к инсулину, снижения уровня глюкозы в плазме крови и </w:t>
      </w:r>
      <w:r>
        <w:t>изменения</w:t>
      </w:r>
      <w:r w:rsidRPr="005F4C70">
        <w:t xml:space="preserve"> толерантности к глюкозе. Инсулинорезистентность и контроль глюкозы в плазме крови продолжали ухудшаться в ходе исследования, что соответствует тяжелой инсулинорезистентности у данной модели СД. В </w:t>
      </w:r>
      <w:r>
        <w:t>другом</w:t>
      </w:r>
      <w:r w:rsidRPr="005F4C70">
        <w:t xml:space="preserve"> исследовании на мышах </w:t>
      </w:r>
      <w:r w:rsidRPr="00FD0B5E">
        <w:rPr>
          <w:i/>
          <w:iCs/>
        </w:rPr>
        <w:t>db/db</w:t>
      </w:r>
      <w:r w:rsidRPr="005F4C70">
        <w:t xml:space="preserve"> применение </w:t>
      </w:r>
      <w:r>
        <w:t xml:space="preserve">в течение 1 недели </w:t>
      </w:r>
      <w:r w:rsidRPr="005F4C70">
        <w:t xml:space="preserve">либо 1 мг/кг линаглиптина или 200 мг/кг метформина лишь незначительно улучшило толерантность к глюкозе (на 13% и 19% снижение </w:t>
      </w:r>
      <w:r w:rsidR="00794FB0">
        <w:t>площади под кривой (</w:t>
      </w:r>
      <w:r w:rsidRPr="005F4C70">
        <w:t>AUC</w:t>
      </w:r>
      <w:r w:rsidR="00794FB0">
        <w:t>)</w:t>
      </w:r>
      <w:r w:rsidRPr="005F4C70">
        <w:t xml:space="preserve"> глюкозы, соответственно). Комбинация линаглиптин плюс метформин показал</w:t>
      </w:r>
      <w:r>
        <w:t>а</w:t>
      </w:r>
      <w:r w:rsidRPr="005F4C70">
        <w:t xml:space="preserve"> аддитивный эффект </w:t>
      </w:r>
      <w:r>
        <w:t>при оценке</w:t>
      </w:r>
      <w:r w:rsidRPr="005F4C70">
        <w:t xml:space="preserve"> толерантност</w:t>
      </w:r>
      <w:r>
        <w:t>и</w:t>
      </w:r>
      <w:r w:rsidRPr="005F4C70">
        <w:t xml:space="preserve"> к глюкозе при пероральном приеме, со значительным 37%-ным снижение AUC глюкозы после одной недели применения</w:t>
      </w:r>
      <w:r>
        <w:t xml:space="preserve"> </w:t>
      </w:r>
      <w:r>
        <w:fldChar w:fldCharType="begin"/>
      </w:r>
      <w:r>
        <w:instrText xml:space="preserve"> ADDIN ZOTERO_ITEM CSL_CITATION {"citationID":"J7Xsl3JM","properties":{"formattedCitation":"[3]","plainCitation":"[3]","noteIndex":0},"citationItems":[{"id":2978,"uris":["http://zotero.org/users/5483459/items/DHAYHB8P"],"itemData":{"id":2978,"type":"document","title":"U.S.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F058A0">
        <w:t>[3]</w:t>
      </w:r>
      <w:r>
        <w:fldChar w:fldCharType="end"/>
      </w:r>
      <w:r>
        <w:t>.</w:t>
      </w:r>
    </w:p>
    <w:p w14:paraId="23954D17" w14:textId="73472B4B" w:rsidR="004B1452" w:rsidRDefault="004B1452" w:rsidP="00424834">
      <w:pPr>
        <w:ind w:firstLine="709"/>
      </w:pPr>
      <w:r>
        <w:t xml:space="preserve">При оценке влияния линаглиптина на уровень глюкозы в крови здоровых крыс, собак и обезьян было выяснено, что эффект снижения уровня глюкозы в крови ожидается при примерно 80% ингибировании </w:t>
      </w:r>
      <w:r w:rsidRPr="00DB6987">
        <w:t>ДПП-4</w:t>
      </w:r>
      <w:r>
        <w:t xml:space="preserve">. Ингибирование </w:t>
      </w:r>
      <w:r w:rsidRPr="00DB6987">
        <w:t>ДПП-4</w:t>
      </w:r>
      <w:r>
        <w:t xml:space="preserve"> </w:t>
      </w:r>
      <w:r w:rsidRPr="00987CD0">
        <w:rPr>
          <w:i/>
          <w:iCs/>
        </w:rPr>
        <w:t>in viv</w:t>
      </w:r>
      <w:r>
        <w:t xml:space="preserve">o происходило быстро, в течение 30 минут после перорального приема линаглиптина </w:t>
      </w:r>
      <w:r w:rsidR="00A03B3E">
        <w:t>на</w:t>
      </w:r>
      <w:r>
        <w:t xml:space="preserve"> модели здоровых крыс, собак и обезьян. Эффективное ингибирование </w:t>
      </w:r>
      <w:r w:rsidRPr="00DB6987">
        <w:t>ДПП-4</w:t>
      </w:r>
      <w:r>
        <w:t xml:space="preserve"> развивалось в течение ≥ 7 ч после однократного перорального приема линаглиптина у крыс (0,26 мг/кг), собак (1 мг/кг) и макак-резусов (1 мг/кг). Несколько более высокие дозы приводили к ингибированию </w:t>
      </w:r>
      <w:r w:rsidRPr="00DB6987">
        <w:t>ДПП-4</w:t>
      </w:r>
      <w:r w:rsidR="00D2655C">
        <w:t xml:space="preserve"> </w:t>
      </w:r>
      <w:r>
        <w:t xml:space="preserve">течение 24 ч (например, 0,69 мг/кг у крыс). </w:t>
      </w:r>
    </w:p>
    <w:p w14:paraId="31BB3B01" w14:textId="1939D467" w:rsidR="004B1452" w:rsidRDefault="004B1452" w:rsidP="00424834">
      <w:pPr>
        <w:ind w:firstLine="709"/>
      </w:pPr>
      <w:r>
        <w:t xml:space="preserve">Аналогичное ингибирование </w:t>
      </w:r>
      <w:r w:rsidRPr="00DB6987">
        <w:t>ДПП-4</w:t>
      </w:r>
      <w:r>
        <w:t xml:space="preserve"> </w:t>
      </w:r>
      <w:r w:rsidRPr="0031677C">
        <w:rPr>
          <w:i/>
          <w:iCs/>
        </w:rPr>
        <w:t>in vivo</w:t>
      </w:r>
      <w:r>
        <w:t xml:space="preserve"> наблюдалось у животных с экспериментальным диабетом, например, ≥ 70% ингибирование у крыс Zucker Fatty (fa/fa) </w:t>
      </w:r>
      <w:r w:rsidR="00D2655C">
        <w:t>в течение 20 мин после введения</w:t>
      </w:r>
      <w:r>
        <w:t xml:space="preserve"> 1 мг/кг линаглиптина через </w:t>
      </w:r>
      <w:r w:rsidR="00A03B3E">
        <w:t>желудочный зонд</w:t>
      </w:r>
      <w:r>
        <w:t>.</w:t>
      </w:r>
    </w:p>
    <w:p w14:paraId="15169B78" w14:textId="08875C03" w:rsidR="0010203A" w:rsidRDefault="00A03B3E" w:rsidP="00424834">
      <w:pPr>
        <w:ind w:firstLine="709"/>
      </w:pPr>
      <w:r>
        <w:t>Снижение</w:t>
      </w:r>
      <w:r w:rsidR="004B1452">
        <w:t xml:space="preserve"> уровня глюкозы при лечении линаглиптином был</w:t>
      </w:r>
      <w:r>
        <w:t>о</w:t>
      </w:r>
      <w:r w:rsidR="004B1452">
        <w:t xml:space="preserve"> продемонстрирован</w:t>
      </w:r>
      <w:r>
        <w:t>о</w:t>
      </w:r>
      <w:r w:rsidR="004B1452">
        <w:t xml:space="preserve"> </w:t>
      </w:r>
      <w:r w:rsidR="004B1452" w:rsidRPr="00BB3E21">
        <w:rPr>
          <w:i/>
          <w:iCs/>
        </w:rPr>
        <w:t>in vivo</w:t>
      </w:r>
      <w:r w:rsidR="004B1452">
        <w:t>. В таблице 3-1</w:t>
      </w:r>
      <w:r w:rsidR="004B1452" w:rsidRPr="00CB384C">
        <w:t xml:space="preserve"> </w:t>
      </w:r>
      <w:r w:rsidR="004B1452">
        <w:t>приведены данные динамики метаболизма глюкозы у различных видов экспериментальных животных с СД после введения линаглиптина.</w:t>
      </w:r>
    </w:p>
    <w:p w14:paraId="76D3726C" w14:textId="36A6E3C1" w:rsidR="004B1452" w:rsidRDefault="004B1452" w:rsidP="00424834">
      <w:pPr>
        <w:ind w:firstLine="709"/>
      </w:pPr>
      <w:r>
        <w:t xml:space="preserve">Ингибирование у крыс </w:t>
      </w:r>
      <w:r w:rsidRPr="00DB6987">
        <w:t>ДПП-4</w:t>
      </w:r>
      <w:r>
        <w:t xml:space="preserve"> наступает через 0,5 часа после введения линаглиптина, устойчивое ингибирование наступает через 7 ч после введения дозы и продолжается до 24 ч</w:t>
      </w:r>
      <w:r w:rsidR="008D4B8D">
        <w:t>аса</w:t>
      </w:r>
      <w:r>
        <w:t xml:space="preserve"> после введения в эффективных дозах. </w:t>
      </w:r>
    </w:p>
    <w:bookmarkEnd w:id="93"/>
    <w:p w14:paraId="28D98A01" w14:textId="77777777" w:rsidR="004B1452" w:rsidRDefault="004B1452" w:rsidP="004B1452"/>
    <w:p w14:paraId="66C4A084" w14:textId="77777777" w:rsidR="0049695C" w:rsidRDefault="0049695C" w:rsidP="004B1452">
      <w:pPr>
        <w:rPr>
          <w:b/>
          <w:bCs/>
        </w:rPr>
        <w:sectPr w:rsidR="0049695C" w:rsidSect="00AB01E2">
          <w:footnotePr>
            <w:pos w:val="beneathText"/>
          </w:footnotePr>
          <w:pgSz w:w="11906" w:h="16838"/>
          <w:pgMar w:top="1134" w:right="849" w:bottom="1134" w:left="1701" w:header="708" w:footer="709" w:gutter="0"/>
          <w:cols w:space="708"/>
          <w:docGrid w:linePitch="360"/>
        </w:sectPr>
      </w:pPr>
    </w:p>
    <w:p w14:paraId="7CDF6034" w14:textId="65F79965" w:rsidR="004B1452" w:rsidRDefault="004B1452" w:rsidP="004B1452">
      <w:r w:rsidRPr="003C6032">
        <w:rPr>
          <w:b/>
          <w:bCs/>
        </w:rPr>
        <w:lastRenderedPageBreak/>
        <w:t>Таблица 3-</w:t>
      </w:r>
      <w:r w:rsidR="00255CCA">
        <w:rPr>
          <w:b/>
          <w:bCs/>
        </w:rPr>
        <w:t>1</w:t>
      </w:r>
      <w:r w:rsidRPr="003C6032">
        <w:rPr>
          <w:b/>
          <w:bCs/>
        </w:rPr>
        <w:t>.</w:t>
      </w:r>
      <w:r>
        <w:t xml:space="preserve"> Показатели динамики метаболизма глюкозы  у различных видов экспериментальных животных с СД после введения  линаглиптина </w:t>
      </w:r>
      <w:r>
        <w:fldChar w:fldCharType="begin"/>
      </w:r>
      <w:r>
        <w:instrText xml:space="preserve"> ADDIN ZOTERO_ITEM CSL_CITATION {"citationID":"beASI6Qw","properties":{"formattedCitation":"[3]","plainCitation":"[3]","noteIndex":0},"citationItems":[{"id":2978,"uris":["http://zotero.org/users/5483459/items/DHAYHB8P"],"itemData":{"id":2978,"type":"document","title":"U.S.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F058A0">
        <w:t>[3]</w:t>
      </w:r>
      <w:r>
        <w:fldChar w:fldCharType="end"/>
      </w:r>
      <w:r>
        <w:t>.</w:t>
      </w:r>
    </w:p>
    <w:tbl>
      <w:tblPr>
        <w:tblStyle w:val="a8"/>
        <w:tblW w:w="0" w:type="auto"/>
        <w:tblLook w:val="04A0" w:firstRow="1" w:lastRow="0" w:firstColumn="1" w:lastColumn="0" w:noHBand="0" w:noVBand="1"/>
      </w:tblPr>
      <w:tblGrid>
        <w:gridCol w:w="1892"/>
        <w:gridCol w:w="2480"/>
        <w:gridCol w:w="2481"/>
        <w:gridCol w:w="2483"/>
      </w:tblGrid>
      <w:tr w:rsidR="004B1452" w14:paraId="19E73DDE" w14:textId="77777777" w:rsidTr="000412C0">
        <w:trPr>
          <w:cantSplit/>
          <w:trHeight w:val="827"/>
          <w:tblHeader/>
        </w:trPr>
        <w:tc>
          <w:tcPr>
            <w:tcW w:w="1892" w:type="dxa"/>
            <w:shd w:val="clear" w:color="auto" w:fill="D9D9D9" w:themeFill="background1" w:themeFillShade="D9"/>
            <w:vAlign w:val="center"/>
          </w:tcPr>
          <w:p w14:paraId="207A9AE9" w14:textId="77777777" w:rsidR="004B1452" w:rsidRPr="00537817" w:rsidRDefault="004B1452" w:rsidP="00D2655C">
            <w:pPr>
              <w:jc w:val="center"/>
              <w:rPr>
                <w:b/>
                <w:bCs/>
                <w:lang w:val="en-US"/>
              </w:rPr>
            </w:pPr>
            <w:r w:rsidRPr="00A22367">
              <w:rPr>
                <w:b/>
                <w:bCs/>
              </w:rPr>
              <w:t>Вид</w:t>
            </w:r>
          </w:p>
        </w:tc>
        <w:tc>
          <w:tcPr>
            <w:tcW w:w="2480" w:type="dxa"/>
            <w:shd w:val="clear" w:color="auto" w:fill="D9D9D9" w:themeFill="background1" w:themeFillShade="D9"/>
            <w:vAlign w:val="center"/>
          </w:tcPr>
          <w:p w14:paraId="1A95A567" w14:textId="77777777" w:rsidR="004B1452" w:rsidRPr="005E3DD4" w:rsidRDefault="004B1452" w:rsidP="00D2655C">
            <w:pPr>
              <w:jc w:val="center"/>
              <w:rPr>
                <w:b/>
                <w:bCs/>
              </w:rPr>
            </w:pPr>
            <w:r w:rsidRPr="00A22367">
              <w:rPr>
                <w:b/>
                <w:bCs/>
              </w:rPr>
              <w:t>Доза, длительность введения</w:t>
            </w:r>
            <w:r w:rsidRPr="005E3DD4">
              <w:rPr>
                <w:b/>
                <w:bCs/>
              </w:rPr>
              <w:t xml:space="preserve"> (</w:t>
            </w:r>
            <w:r>
              <w:rPr>
                <w:b/>
                <w:bCs/>
              </w:rPr>
              <w:t>через желудочный зонд)</w:t>
            </w:r>
          </w:p>
        </w:tc>
        <w:tc>
          <w:tcPr>
            <w:tcW w:w="2481" w:type="dxa"/>
            <w:shd w:val="clear" w:color="auto" w:fill="D9D9D9" w:themeFill="background1" w:themeFillShade="D9"/>
            <w:vAlign w:val="center"/>
          </w:tcPr>
          <w:p w14:paraId="79F72234" w14:textId="77777777" w:rsidR="004B1452" w:rsidRPr="00A22367" w:rsidRDefault="004B1452" w:rsidP="00D2655C">
            <w:pPr>
              <w:jc w:val="center"/>
              <w:rPr>
                <w:b/>
                <w:bCs/>
              </w:rPr>
            </w:pPr>
            <w:r w:rsidRPr="00A22367">
              <w:rPr>
                <w:b/>
                <w:bCs/>
              </w:rPr>
              <w:t>Параметр</w:t>
            </w:r>
          </w:p>
        </w:tc>
        <w:tc>
          <w:tcPr>
            <w:tcW w:w="2483" w:type="dxa"/>
            <w:shd w:val="clear" w:color="auto" w:fill="D9D9D9" w:themeFill="background1" w:themeFillShade="D9"/>
            <w:vAlign w:val="center"/>
          </w:tcPr>
          <w:p w14:paraId="18E8112A" w14:textId="77777777" w:rsidR="004B1452" w:rsidRPr="00A22367" w:rsidRDefault="004B1452" w:rsidP="00D2655C">
            <w:pPr>
              <w:jc w:val="center"/>
              <w:rPr>
                <w:b/>
                <w:bCs/>
              </w:rPr>
            </w:pPr>
            <w:r w:rsidRPr="00A22367">
              <w:rPr>
                <w:b/>
                <w:bCs/>
              </w:rPr>
              <w:t>Эффект</w:t>
            </w:r>
          </w:p>
        </w:tc>
      </w:tr>
      <w:tr w:rsidR="004B1452" w14:paraId="02F0C17D" w14:textId="77777777" w:rsidTr="000412C0">
        <w:trPr>
          <w:trHeight w:val="541"/>
        </w:trPr>
        <w:tc>
          <w:tcPr>
            <w:tcW w:w="1892" w:type="dxa"/>
          </w:tcPr>
          <w:p w14:paraId="573D3DAC" w14:textId="77777777" w:rsidR="004B1452" w:rsidRPr="005E3DD4" w:rsidRDefault="004B1452" w:rsidP="00BE4B51">
            <w:pPr>
              <w:rPr>
                <w:lang w:val="en-US"/>
              </w:rPr>
            </w:pPr>
            <w:r w:rsidRPr="005E3DD4">
              <w:t xml:space="preserve">Мыши </w:t>
            </w:r>
            <w:r w:rsidRPr="0065281C">
              <w:rPr>
                <w:i/>
                <w:iCs/>
              </w:rPr>
              <w:t>С57</w:t>
            </w:r>
            <w:r w:rsidRPr="0065281C">
              <w:rPr>
                <w:i/>
                <w:iCs/>
                <w:lang w:val="en-US"/>
              </w:rPr>
              <w:t>BL</w:t>
            </w:r>
            <w:r w:rsidRPr="0065281C">
              <w:rPr>
                <w:i/>
                <w:iCs/>
              </w:rPr>
              <w:t>/</w:t>
            </w:r>
            <w:r w:rsidRPr="0065281C">
              <w:rPr>
                <w:i/>
                <w:iCs/>
                <w:lang w:val="en-US"/>
              </w:rPr>
              <w:t>6J</w:t>
            </w:r>
          </w:p>
        </w:tc>
        <w:tc>
          <w:tcPr>
            <w:tcW w:w="2480" w:type="dxa"/>
          </w:tcPr>
          <w:p w14:paraId="6373C906" w14:textId="77777777" w:rsidR="004B1452" w:rsidRPr="008D4B8D" w:rsidRDefault="004B1452" w:rsidP="00BE4B51">
            <w:pPr>
              <w:jc w:val="left"/>
            </w:pPr>
            <w:r w:rsidRPr="008D4B8D">
              <w:t>0,3 мг/кг, однократная доза</w:t>
            </w:r>
          </w:p>
        </w:tc>
        <w:tc>
          <w:tcPr>
            <w:tcW w:w="2481" w:type="dxa"/>
          </w:tcPr>
          <w:p w14:paraId="6BF3C757" w14:textId="77777777" w:rsidR="004B1452" w:rsidRPr="008D4B8D" w:rsidRDefault="004B1452" w:rsidP="00BE4B51">
            <w:pPr>
              <w:pStyle w:val="OT"/>
              <w:rPr>
                <w:sz w:val="24"/>
                <w:szCs w:val="24"/>
              </w:rPr>
            </w:pPr>
            <w:r w:rsidRPr="008D4B8D">
              <w:rPr>
                <w:sz w:val="24"/>
                <w:szCs w:val="24"/>
              </w:rPr>
              <w:t>ПГТТ</w:t>
            </w:r>
          </w:p>
        </w:tc>
        <w:tc>
          <w:tcPr>
            <w:tcW w:w="2483" w:type="dxa"/>
          </w:tcPr>
          <w:p w14:paraId="02333E7C" w14:textId="77777777" w:rsidR="004B1452" w:rsidRPr="008D4B8D" w:rsidRDefault="004B1452" w:rsidP="00BE4B51">
            <w:pPr>
              <w:jc w:val="left"/>
            </w:pPr>
            <w:r w:rsidRPr="008D4B8D">
              <w:rPr>
                <w:lang w:val="en-US"/>
              </w:rPr>
              <w:t xml:space="preserve">~ </w:t>
            </w:r>
            <w:r w:rsidRPr="008D4B8D">
              <w:t>32,9%</w:t>
            </w:r>
            <w:r w:rsidRPr="008D4B8D">
              <w:rPr>
                <w:lang w:val="en-US"/>
              </w:rPr>
              <w:t xml:space="preserve"> AUC </w:t>
            </w:r>
            <w:r w:rsidRPr="008D4B8D">
              <w:t>глюкозы</w:t>
            </w:r>
          </w:p>
        </w:tc>
      </w:tr>
      <w:tr w:rsidR="004B1452" w14:paraId="152A4AB9" w14:textId="77777777" w:rsidTr="000412C0">
        <w:trPr>
          <w:trHeight w:val="556"/>
        </w:trPr>
        <w:tc>
          <w:tcPr>
            <w:tcW w:w="1892" w:type="dxa"/>
          </w:tcPr>
          <w:p w14:paraId="693B92DB" w14:textId="77777777" w:rsidR="004B1452" w:rsidRPr="005E3DD4" w:rsidRDefault="004B1452" w:rsidP="00BE4B51">
            <w:r w:rsidRPr="005E3DD4">
              <w:t xml:space="preserve">Мыши </w:t>
            </w:r>
            <w:r w:rsidRPr="0065281C">
              <w:rPr>
                <w:i/>
                <w:iCs/>
                <w:lang w:val="en-US"/>
              </w:rPr>
              <w:t>db/db</w:t>
            </w:r>
          </w:p>
        </w:tc>
        <w:tc>
          <w:tcPr>
            <w:tcW w:w="2480" w:type="dxa"/>
          </w:tcPr>
          <w:p w14:paraId="2D7DC01C" w14:textId="77777777" w:rsidR="004B1452" w:rsidRPr="008D4B8D" w:rsidRDefault="004B1452" w:rsidP="00BE4B51">
            <w:pPr>
              <w:jc w:val="left"/>
            </w:pPr>
            <w:r w:rsidRPr="008D4B8D">
              <w:t>0,1; 0,3; 1  мг/кг, однократная доза</w:t>
            </w:r>
          </w:p>
        </w:tc>
        <w:tc>
          <w:tcPr>
            <w:tcW w:w="2481" w:type="dxa"/>
          </w:tcPr>
          <w:p w14:paraId="4C3FBB3A" w14:textId="77777777" w:rsidR="004B1452" w:rsidRPr="008D4B8D" w:rsidRDefault="004B1452" w:rsidP="00BE4B51">
            <w:pPr>
              <w:pStyle w:val="OT"/>
              <w:rPr>
                <w:sz w:val="24"/>
                <w:szCs w:val="24"/>
              </w:rPr>
            </w:pPr>
            <w:r w:rsidRPr="008D4B8D">
              <w:rPr>
                <w:sz w:val="24"/>
                <w:szCs w:val="24"/>
              </w:rPr>
              <w:t xml:space="preserve">ПГТТ, </w:t>
            </w:r>
            <w:r w:rsidRPr="008D4B8D">
              <w:rPr>
                <w:sz w:val="24"/>
                <w:szCs w:val="24"/>
                <w:lang w:val="en-US"/>
              </w:rPr>
              <w:t xml:space="preserve">AUC </w:t>
            </w:r>
            <w:r w:rsidRPr="008D4B8D">
              <w:rPr>
                <w:sz w:val="24"/>
                <w:szCs w:val="24"/>
              </w:rPr>
              <w:t>глюкозы</w:t>
            </w:r>
          </w:p>
        </w:tc>
        <w:tc>
          <w:tcPr>
            <w:tcW w:w="2483" w:type="dxa"/>
          </w:tcPr>
          <w:p w14:paraId="43FE7DBB" w14:textId="77777777" w:rsidR="004B1452" w:rsidRPr="008D4B8D" w:rsidRDefault="004B1452" w:rsidP="00BE4B51">
            <w:pPr>
              <w:jc w:val="left"/>
            </w:pPr>
            <w:r w:rsidRPr="008D4B8D">
              <w:rPr>
                <w:lang w:val="en-US"/>
              </w:rPr>
              <w:t xml:space="preserve">ED </w:t>
            </w:r>
            <w:r w:rsidRPr="008D4B8D">
              <w:rPr>
                <w:vertAlign w:val="subscript"/>
                <w:lang w:val="en-US"/>
              </w:rPr>
              <w:t>50</w:t>
            </w:r>
            <w:r w:rsidRPr="008D4B8D">
              <w:rPr>
                <w:lang w:val="en-US"/>
              </w:rPr>
              <w:t xml:space="preserve"> &lt; 1 </w:t>
            </w:r>
            <w:r w:rsidRPr="008D4B8D">
              <w:t>мг/кг</w:t>
            </w:r>
          </w:p>
        </w:tc>
      </w:tr>
      <w:tr w:rsidR="004B1452" w14:paraId="19E987E1" w14:textId="77777777" w:rsidTr="000412C0">
        <w:trPr>
          <w:trHeight w:val="827"/>
        </w:trPr>
        <w:tc>
          <w:tcPr>
            <w:tcW w:w="1892" w:type="dxa"/>
          </w:tcPr>
          <w:p w14:paraId="1281623E" w14:textId="77777777" w:rsidR="004B1452" w:rsidRPr="005E3DD4" w:rsidRDefault="004B1452" w:rsidP="00BE4B51">
            <w:r w:rsidRPr="005E3DD4">
              <w:t xml:space="preserve">Мыши </w:t>
            </w:r>
            <w:r w:rsidRPr="0065281C">
              <w:rPr>
                <w:i/>
                <w:iCs/>
                <w:lang w:val="en-US"/>
              </w:rPr>
              <w:t>db/db</w:t>
            </w:r>
          </w:p>
        </w:tc>
        <w:tc>
          <w:tcPr>
            <w:tcW w:w="2480" w:type="dxa"/>
          </w:tcPr>
          <w:p w14:paraId="08A29F7F" w14:textId="77777777" w:rsidR="004B1452" w:rsidRPr="008D4B8D" w:rsidRDefault="004B1452" w:rsidP="00BE4B51">
            <w:pPr>
              <w:jc w:val="left"/>
            </w:pPr>
            <w:r w:rsidRPr="008D4B8D">
              <w:t>0,3 мг/кг многократно в течение 8 недель</w:t>
            </w:r>
          </w:p>
        </w:tc>
        <w:tc>
          <w:tcPr>
            <w:tcW w:w="2481" w:type="dxa"/>
          </w:tcPr>
          <w:p w14:paraId="61CD7CBD" w14:textId="77777777" w:rsidR="004B1452" w:rsidRPr="008D4B8D" w:rsidRDefault="004B1452" w:rsidP="00BE4B51">
            <w:pPr>
              <w:pStyle w:val="OT"/>
              <w:rPr>
                <w:sz w:val="24"/>
                <w:szCs w:val="24"/>
              </w:rPr>
            </w:pPr>
            <w:r w:rsidRPr="008D4B8D">
              <w:rPr>
                <w:sz w:val="24"/>
                <w:szCs w:val="24"/>
              </w:rPr>
              <w:t xml:space="preserve">ПГТТ, </w:t>
            </w:r>
            <w:r w:rsidRPr="008D4B8D">
              <w:rPr>
                <w:sz w:val="24"/>
                <w:szCs w:val="24"/>
                <w:lang w:val="en-US"/>
              </w:rPr>
              <w:t xml:space="preserve">AUC </w:t>
            </w:r>
            <w:r w:rsidRPr="008D4B8D">
              <w:rPr>
                <w:sz w:val="24"/>
                <w:szCs w:val="24"/>
              </w:rPr>
              <w:t>глюкозы</w:t>
            </w:r>
          </w:p>
        </w:tc>
        <w:tc>
          <w:tcPr>
            <w:tcW w:w="2483" w:type="dxa"/>
          </w:tcPr>
          <w:p w14:paraId="233741F1" w14:textId="77777777" w:rsidR="004B1452" w:rsidRPr="008D4B8D" w:rsidRDefault="004B1452" w:rsidP="00BE4B51">
            <w:pPr>
              <w:jc w:val="left"/>
            </w:pPr>
            <w:r w:rsidRPr="008D4B8D">
              <w:rPr>
                <w:lang w:val="en-US"/>
              </w:rPr>
              <w:t>~</w:t>
            </w:r>
            <w:r w:rsidRPr="008D4B8D">
              <w:t>37%</w:t>
            </w:r>
            <w:r w:rsidRPr="008D4B8D">
              <w:rPr>
                <w:lang w:val="en-US"/>
              </w:rPr>
              <w:t xml:space="preserve"> AUC </w:t>
            </w:r>
            <w:r w:rsidRPr="008D4B8D">
              <w:t>глюкозы</w:t>
            </w:r>
          </w:p>
        </w:tc>
      </w:tr>
      <w:tr w:rsidR="004B1452" w14:paraId="68D62034" w14:textId="77777777" w:rsidTr="000412C0">
        <w:trPr>
          <w:trHeight w:val="391"/>
        </w:trPr>
        <w:tc>
          <w:tcPr>
            <w:tcW w:w="1892" w:type="dxa"/>
          </w:tcPr>
          <w:p w14:paraId="2F0E8799" w14:textId="77777777" w:rsidR="004B1452" w:rsidRPr="005E3DD4" w:rsidRDefault="004B1452" w:rsidP="00BE4B51">
            <w:r w:rsidRPr="005E3DD4">
              <w:t xml:space="preserve">Мыши </w:t>
            </w:r>
            <w:r w:rsidRPr="0065281C">
              <w:rPr>
                <w:i/>
                <w:iCs/>
                <w:lang w:val="en-US"/>
              </w:rPr>
              <w:t>db/db</w:t>
            </w:r>
          </w:p>
        </w:tc>
        <w:tc>
          <w:tcPr>
            <w:tcW w:w="2480" w:type="dxa"/>
          </w:tcPr>
          <w:p w14:paraId="5B74CFA6" w14:textId="77777777" w:rsidR="004B1452" w:rsidRPr="008D4B8D" w:rsidRDefault="004B1452" w:rsidP="00BE4B51">
            <w:pPr>
              <w:jc w:val="left"/>
            </w:pPr>
          </w:p>
        </w:tc>
        <w:tc>
          <w:tcPr>
            <w:tcW w:w="2481" w:type="dxa"/>
          </w:tcPr>
          <w:p w14:paraId="2B4EEFB1" w14:textId="77777777" w:rsidR="004B1452" w:rsidRPr="008D4B8D" w:rsidRDefault="004B1452" w:rsidP="00BE4B51">
            <w:pPr>
              <w:pStyle w:val="OT"/>
              <w:rPr>
                <w:sz w:val="24"/>
                <w:szCs w:val="24"/>
                <w:lang w:val="en-US"/>
              </w:rPr>
            </w:pPr>
            <w:r w:rsidRPr="008D4B8D">
              <w:rPr>
                <w:sz w:val="24"/>
                <w:szCs w:val="24"/>
                <w:lang w:val="en-US"/>
              </w:rPr>
              <w:t>HbA1c</w:t>
            </w:r>
          </w:p>
        </w:tc>
        <w:tc>
          <w:tcPr>
            <w:tcW w:w="2483" w:type="dxa"/>
          </w:tcPr>
          <w:p w14:paraId="0E4E31B8" w14:textId="77777777" w:rsidR="004B1452" w:rsidRPr="008D4B8D" w:rsidRDefault="004B1452" w:rsidP="00BE4B51">
            <w:pPr>
              <w:jc w:val="left"/>
            </w:pPr>
            <w:r w:rsidRPr="008D4B8D">
              <w:rPr>
                <w:lang w:val="en-US"/>
              </w:rPr>
              <w:t>~</w:t>
            </w:r>
            <w:r w:rsidRPr="008D4B8D">
              <w:t>1%῀</w:t>
            </w:r>
            <w:r w:rsidRPr="008D4B8D">
              <w:rPr>
                <w:lang w:val="en-US"/>
              </w:rPr>
              <w:t xml:space="preserve"> HbA1c</w:t>
            </w:r>
          </w:p>
        </w:tc>
      </w:tr>
      <w:tr w:rsidR="004B1452" w14:paraId="28736DB8" w14:textId="77777777" w:rsidTr="000412C0">
        <w:trPr>
          <w:trHeight w:val="541"/>
        </w:trPr>
        <w:tc>
          <w:tcPr>
            <w:tcW w:w="1892" w:type="dxa"/>
          </w:tcPr>
          <w:p w14:paraId="799E6C37" w14:textId="77777777" w:rsidR="004B1452" w:rsidRPr="00CA61DD" w:rsidRDefault="004B1452" w:rsidP="00BE4B51">
            <w:pPr>
              <w:rPr>
                <w:lang w:val="en-US"/>
              </w:rPr>
            </w:pPr>
            <w:r w:rsidRPr="005E3DD4">
              <w:t>Крысы</w:t>
            </w:r>
            <w:r w:rsidRPr="00CA61DD">
              <w:rPr>
                <w:lang w:val="en-US"/>
              </w:rPr>
              <w:t xml:space="preserve"> </w:t>
            </w:r>
            <w:r w:rsidRPr="0065281C">
              <w:rPr>
                <w:i/>
                <w:iCs/>
                <w:lang w:val="en-US"/>
              </w:rPr>
              <w:t>Zucker Fatty (fa/fa)</w:t>
            </w:r>
          </w:p>
        </w:tc>
        <w:tc>
          <w:tcPr>
            <w:tcW w:w="2480" w:type="dxa"/>
          </w:tcPr>
          <w:p w14:paraId="4DAA6773" w14:textId="77777777" w:rsidR="004B1452" w:rsidRPr="008D4B8D" w:rsidRDefault="004B1452" w:rsidP="00BE4B51">
            <w:pPr>
              <w:jc w:val="left"/>
            </w:pPr>
            <w:r w:rsidRPr="008D4B8D">
              <w:t>1 мг/кг, 3 мг/кг, однократная доза</w:t>
            </w:r>
          </w:p>
        </w:tc>
        <w:tc>
          <w:tcPr>
            <w:tcW w:w="2481" w:type="dxa"/>
          </w:tcPr>
          <w:p w14:paraId="1D4F8F28" w14:textId="77777777" w:rsidR="004B1452" w:rsidRPr="008D4B8D" w:rsidRDefault="004B1452" w:rsidP="00BE4B51">
            <w:pPr>
              <w:pStyle w:val="OT"/>
              <w:rPr>
                <w:sz w:val="24"/>
                <w:szCs w:val="24"/>
              </w:rPr>
            </w:pPr>
            <w:r w:rsidRPr="008D4B8D">
              <w:rPr>
                <w:sz w:val="24"/>
                <w:szCs w:val="24"/>
              </w:rPr>
              <w:t xml:space="preserve">ПГТТ, </w:t>
            </w:r>
            <w:r w:rsidRPr="008D4B8D">
              <w:rPr>
                <w:sz w:val="24"/>
                <w:szCs w:val="24"/>
                <w:lang w:val="en-US"/>
              </w:rPr>
              <w:t xml:space="preserve">AUC </w:t>
            </w:r>
            <w:r w:rsidRPr="008D4B8D">
              <w:rPr>
                <w:sz w:val="24"/>
                <w:szCs w:val="24"/>
              </w:rPr>
              <w:t>глюкозы</w:t>
            </w:r>
          </w:p>
        </w:tc>
        <w:tc>
          <w:tcPr>
            <w:tcW w:w="2483" w:type="dxa"/>
          </w:tcPr>
          <w:p w14:paraId="1033A5FC" w14:textId="77777777" w:rsidR="004B1452" w:rsidRPr="008D4B8D" w:rsidRDefault="004B1452" w:rsidP="00BE4B51">
            <w:pPr>
              <w:jc w:val="left"/>
            </w:pPr>
            <w:r w:rsidRPr="008D4B8D">
              <w:rPr>
                <w:lang w:val="en-US"/>
              </w:rPr>
              <w:t xml:space="preserve">~~ </w:t>
            </w:r>
            <w:r w:rsidRPr="008D4B8D">
              <w:t>19,5%</w:t>
            </w:r>
            <w:r w:rsidRPr="008D4B8D">
              <w:rPr>
                <w:lang w:val="en-US"/>
              </w:rPr>
              <w:t xml:space="preserve"> AUC </w:t>
            </w:r>
            <w:r w:rsidRPr="008D4B8D">
              <w:t>глюкозы</w:t>
            </w:r>
          </w:p>
        </w:tc>
      </w:tr>
      <w:tr w:rsidR="004B1452" w14:paraId="374DF157" w14:textId="77777777" w:rsidTr="000412C0">
        <w:trPr>
          <w:trHeight w:val="556"/>
        </w:trPr>
        <w:tc>
          <w:tcPr>
            <w:tcW w:w="1892" w:type="dxa"/>
          </w:tcPr>
          <w:p w14:paraId="6F44F605" w14:textId="77777777" w:rsidR="004B1452" w:rsidRPr="005E3DD4" w:rsidRDefault="004B1452" w:rsidP="00BE4B51">
            <w:pPr>
              <w:rPr>
                <w:lang w:val="en-US"/>
              </w:rPr>
            </w:pPr>
            <w:r w:rsidRPr="005E3DD4">
              <w:t>Крысы</w:t>
            </w:r>
            <w:r w:rsidRPr="005E3DD4">
              <w:rPr>
                <w:lang w:val="en-US"/>
              </w:rPr>
              <w:t xml:space="preserve"> ZDF</w:t>
            </w:r>
          </w:p>
        </w:tc>
        <w:tc>
          <w:tcPr>
            <w:tcW w:w="2480" w:type="dxa"/>
          </w:tcPr>
          <w:p w14:paraId="439F1746" w14:textId="77777777" w:rsidR="004B1452" w:rsidRPr="008D4B8D" w:rsidRDefault="004B1452" w:rsidP="00BE4B51">
            <w:pPr>
              <w:jc w:val="left"/>
            </w:pPr>
            <w:r w:rsidRPr="008D4B8D">
              <w:t>0,1 мг/кг, однократная доза</w:t>
            </w:r>
          </w:p>
        </w:tc>
        <w:tc>
          <w:tcPr>
            <w:tcW w:w="2481" w:type="dxa"/>
          </w:tcPr>
          <w:p w14:paraId="494CC334" w14:textId="77777777" w:rsidR="004B1452" w:rsidRPr="008D4B8D" w:rsidRDefault="004B1452" w:rsidP="00BE4B51">
            <w:pPr>
              <w:pStyle w:val="OT"/>
              <w:rPr>
                <w:sz w:val="24"/>
                <w:szCs w:val="24"/>
              </w:rPr>
            </w:pPr>
            <w:r w:rsidRPr="008D4B8D">
              <w:rPr>
                <w:sz w:val="24"/>
                <w:szCs w:val="24"/>
              </w:rPr>
              <w:t xml:space="preserve">ПГТТ, </w:t>
            </w:r>
            <w:r w:rsidRPr="008D4B8D">
              <w:rPr>
                <w:sz w:val="24"/>
                <w:szCs w:val="24"/>
                <w:lang w:val="en-US"/>
              </w:rPr>
              <w:t xml:space="preserve">AUC </w:t>
            </w:r>
            <w:r w:rsidRPr="008D4B8D">
              <w:rPr>
                <w:sz w:val="24"/>
                <w:szCs w:val="24"/>
              </w:rPr>
              <w:t>глюкозы</w:t>
            </w:r>
          </w:p>
        </w:tc>
        <w:tc>
          <w:tcPr>
            <w:tcW w:w="2483" w:type="dxa"/>
          </w:tcPr>
          <w:p w14:paraId="20E97583" w14:textId="5481E577" w:rsidR="00D2655C" w:rsidRPr="008D4B8D" w:rsidRDefault="004B1452" w:rsidP="00BE4B51">
            <w:pPr>
              <w:jc w:val="left"/>
            </w:pPr>
            <w:r w:rsidRPr="008D4B8D">
              <w:rPr>
                <w:lang w:val="en-US"/>
              </w:rPr>
              <w:t xml:space="preserve">~ </w:t>
            </w:r>
            <w:r w:rsidRPr="008D4B8D">
              <w:t>19,5%</w:t>
            </w:r>
            <w:r w:rsidRPr="008D4B8D">
              <w:rPr>
                <w:lang w:val="en-US"/>
              </w:rPr>
              <w:t xml:space="preserve"> </w:t>
            </w:r>
            <w:bookmarkStart w:id="94" w:name="_Hlk120394112"/>
            <w:r w:rsidRPr="008D4B8D">
              <w:rPr>
                <w:lang w:val="en-US"/>
              </w:rPr>
              <w:t xml:space="preserve">AUC </w:t>
            </w:r>
            <w:r w:rsidRPr="008D4B8D">
              <w:t>глюкозы</w:t>
            </w:r>
            <w:bookmarkEnd w:id="94"/>
          </w:p>
        </w:tc>
      </w:tr>
      <w:tr w:rsidR="00D2655C" w14:paraId="35693BD1" w14:textId="77777777" w:rsidTr="0049695C">
        <w:trPr>
          <w:trHeight w:val="706"/>
        </w:trPr>
        <w:tc>
          <w:tcPr>
            <w:tcW w:w="9336" w:type="dxa"/>
            <w:gridSpan w:val="4"/>
          </w:tcPr>
          <w:p w14:paraId="546F0DF0" w14:textId="7364C279" w:rsidR="00D2655C" w:rsidRPr="00D2655C" w:rsidRDefault="00D2655C" w:rsidP="00D2655C">
            <w:pPr>
              <w:pStyle w:val="afff8"/>
              <w:rPr>
                <w:b/>
              </w:rPr>
            </w:pPr>
            <w:r>
              <w:rPr>
                <w:b/>
              </w:rPr>
              <w:t>Примечани</w:t>
            </w:r>
            <w:r w:rsidR="00A03B3E">
              <w:rPr>
                <w:b/>
              </w:rPr>
              <w:t>е</w:t>
            </w:r>
            <w:r w:rsidRPr="00D2655C">
              <w:rPr>
                <w:b/>
              </w:rPr>
              <w:t>:</w:t>
            </w:r>
          </w:p>
          <w:p w14:paraId="3ADFC3D9" w14:textId="5003F382" w:rsidR="00D2655C" w:rsidRPr="00D2655C" w:rsidRDefault="00D2655C" w:rsidP="0049695C">
            <w:pPr>
              <w:pStyle w:val="afff8"/>
            </w:pPr>
            <w:r>
              <w:t>ПГТТ–пероральный глюкозо-толерантный тест; AUC глюкозы – площадь под кривой глюкозы;</w:t>
            </w:r>
            <w:r w:rsidR="0049695C">
              <w:t xml:space="preserve"> </w:t>
            </w:r>
            <w:r>
              <w:rPr>
                <w:lang w:val="en-US"/>
              </w:rPr>
              <w:t>HbA</w:t>
            </w:r>
            <w:r w:rsidRPr="003C6032">
              <w:t>1</w:t>
            </w:r>
            <w:r>
              <w:rPr>
                <w:lang w:val="en-US"/>
              </w:rPr>
              <w:t>c</w:t>
            </w:r>
            <w:r>
              <w:t xml:space="preserve"> – </w:t>
            </w:r>
            <w:bookmarkStart w:id="95" w:name="_Hlk120393717"/>
            <w:r>
              <w:t>гликированный гемоглобин</w:t>
            </w:r>
            <w:bookmarkEnd w:id="95"/>
            <w:r>
              <w:t>.</w:t>
            </w:r>
            <w:r w:rsidR="0049695C">
              <w:t xml:space="preserve"> </w:t>
            </w:r>
            <w:r w:rsidRPr="00B6092B">
              <w:rPr>
                <w:lang w:val="en-US"/>
              </w:rPr>
              <w:t>ED</w:t>
            </w:r>
            <w:r w:rsidRPr="002E3004">
              <w:t xml:space="preserve"> </w:t>
            </w:r>
            <w:r w:rsidRPr="002E3004">
              <w:rPr>
                <w:vertAlign w:val="subscript"/>
              </w:rPr>
              <w:t>50</w:t>
            </w:r>
            <w:r w:rsidRPr="008D4B8D">
              <w:t xml:space="preserve"> </w:t>
            </w:r>
            <w:r>
              <w:t>–</w:t>
            </w:r>
            <w:r w:rsidRPr="002E3004">
              <w:t>полуэффективная доза</w:t>
            </w:r>
            <w:r w:rsidR="0049695C">
              <w:t>.</w:t>
            </w:r>
          </w:p>
        </w:tc>
      </w:tr>
    </w:tbl>
    <w:p w14:paraId="1C1D6240" w14:textId="77777777" w:rsidR="008D4B8D" w:rsidRDefault="008D4B8D" w:rsidP="004B1452">
      <w:pPr>
        <w:pStyle w:val="afff8"/>
      </w:pPr>
    </w:p>
    <w:p w14:paraId="7B94C0AF" w14:textId="387C71BB" w:rsidR="004B1452" w:rsidRDefault="004B1452" w:rsidP="00FF1AC2">
      <w:pPr>
        <w:ind w:firstLine="709"/>
      </w:pPr>
      <w:r>
        <w:t xml:space="preserve">Крысы </w:t>
      </w:r>
      <w:r w:rsidRPr="0065281C">
        <w:rPr>
          <w:i/>
          <w:iCs/>
        </w:rPr>
        <w:t>Zucker Fatty (fa/fa)</w:t>
      </w:r>
      <w:r>
        <w:t xml:space="preserve"> </w:t>
      </w:r>
      <w:r w:rsidR="0074565B">
        <w:t xml:space="preserve">– </w:t>
      </w:r>
      <w:r>
        <w:t xml:space="preserve">это модель </w:t>
      </w:r>
      <w:r>
        <w:rPr>
          <w:lang w:val="en-US"/>
        </w:rPr>
        <w:t>c</w:t>
      </w:r>
      <w:r w:rsidRPr="00E262D4">
        <w:t xml:space="preserve"> </w:t>
      </w:r>
      <w:r>
        <w:t>ожирением, резистентностью к инсулину, гипергликемией</w:t>
      </w:r>
      <w:r w:rsidRPr="00A25F7A">
        <w:t xml:space="preserve"> и умеренной гипертензией</w:t>
      </w:r>
      <w:r>
        <w:t xml:space="preserve"> </w:t>
      </w:r>
      <w:r>
        <w:fldChar w:fldCharType="begin"/>
      </w:r>
      <w:r>
        <w:instrText xml:space="preserve"> ADDIN ZOTERO_ITEM CSL_CITATION {"citationID":"n8cUMZYY","properties":{"formattedCitation":"[4]","plainCitation":"[4]","noteIndex":0},"citationItems":[{"id":3011,"uris":["http://zotero.org/users/5483459/items/KDZIZ58C"],"itemData":{"id":3011,"type":"article-journal","abstract":"The Zucker fatty (ZF) rat harboring a missense mutation (fatty, fa) in the leptin receptor gene (Lepr) develops obesity without diabetes; Zucker diabetic fatty (ZDF) rats derived from the ZF strain exhibit obesity with diabetes and are widely used for research on type 2 diabetes (T2D). Here we establish a novel diabetic strain derived from normoglycemic ZF rats. In our ZF rat colony, we incidentally found fa/fa homozygous male rats having reproductive ability, which is generally absent in these animals. During maintenance of this strain by mating fa/fa males and fa/+ heterozygous females, we further identified fa/fa male rats exhibiting diabetes. We then performed selective breeding using the fa/fa male rats that exhibited relatively high blood glucose levels at 10 weeks of age, resulting in establishment of a diabetic strain that we designated Hos:ZFDM-Leprfa (ZFDM). These fa/fa male rats developed diabetes as early as 10 weeks of age, reaching 100% incidence by 21 weeks of age, while none of the fa/+ male rats developed diabetes. The phenotypic characteristics of this diabetic strain are distinct from those of normoglycemic ZF rats. ZFDM rat strain having high reproductive efficiency should serve as a more useful animal model of T2D.","container-title":"Journal of Diabetes Research","DOI":"10.1155/2013/103731","ISSN":"2314-6745","journalAbbreviation":"J Diabetes Res","note":"PMID: 23671847\nPMCID: PMC3647587","page":"103731","source":"PubMed Central","title":"A Novel Rat Model of Type 2 Diabetes: The Zucker Fatty Diabetes Mellitus ZFDM Rat","title-short":"A Novel Rat Model of Type 2 Diabetes","volume":"2013","author":[{"family":"Yokoi","given":"Norihide"},{"family":"Hoshino","given":"Masayuki"},{"family":"Hidaka","given":"Shihomi"},{"family":"Yoshida","given":"Eri"},{"family":"Beppu","given":"Masayuki"},{"family":"Hoshikawa","given":"Ritsuko"},{"family":"Sudo","given":"Katsuko"},{"family":"Kawada","given":"Akihiko"},{"family":"Takagi","given":"Sadaaki"},{"family":"Seino","given":"Susumu"}],"issued":{"date-parts":[["2013"]]}}}],"schema":"https://github.com/citation-style-language/schema/raw/master/csl-citation.json"} </w:instrText>
      </w:r>
      <w:r>
        <w:fldChar w:fldCharType="separate"/>
      </w:r>
      <w:r w:rsidRPr="00F058A0">
        <w:rPr>
          <w:sz w:val="22"/>
        </w:rPr>
        <w:t>[4]</w:t>
      </w:r>
      <w:r>
        <w:fldChar w:fldCharType="end"/>
      </w:r>
      <w:r>
        <w:t>.</w:t>
      </w:r>
      <w:r w:rsidRPr="00A25F7A">
        <w:t xml:space="preserve"> </w:t>
      </w:r>
      <w:r>
        <w:t xml:space="preserve">Применение линаглиптина у крыс </w:t>
      </w:r>
      <w:r w:rsidRPr="00B35B01">
        <w:rPr>
          <w:i/>
          <w:iCs/>
        </w:rPr>
        <w:t>Zucker Fatty (fa/fa)</w:t>
      </w:r>
      <w:r>
        <w:t xml:space="preserve"> вызвало быстрое и стойкое ингибирование </w:t>
      </w:r>
      <w:bookmarkStart w:id="96" w:name="_Hlk120396135"/>
      <w:r>
        <w:t xml:space="preserve">ДПП-4 </w:t>
      </w:r>
      <w:bookmarkEnd w:id="96"/>
      <w:r>
        <w:t xml:space="preserve">после перорального приема через желудочный зонд. </w:t>
      </w:r>
      <w:r w:rsidR="00FF1AC2">
        <w:t xml:space="preserve">Более </w:t>
      </w:r>
      <w:r>
        <w:t xml:space="preserve">70% </w:t>
      </w:r>
      <w:r w:rsidR="00FF1AC2">
        <w:t xml:space="preserve">активности ДПП-4 наблюдалось </w:t>
      </w:r>
      <w:r>
        <w:t xml:space="preserve">через 20 минут после введения ≥ 1 мг/кг линаглиптина, что приводило к снижению уровня глюкозы в крови, улучшению показателей ПГТТ.  Длительность ингибирования ДПП-4 оставалась &gt;16 часов, </w:t>
      </w:r>
      <w:r w:rsidRPr="00EA3F39">
        <w:t>глюкозозависимая экспрессия</w:t>
      </w:r>
      <w:r>
        <w:t xml:space="preserve"> глюкогоноподобного пептида</w:t>
      </w:r>
      <w:r w:rsidRPr="000E4A21">
        <w:t xml:space="preserve"> </w:t>
      </w:r>
      <w:r w:rsidRPr="00FE6F2F">
        <w:t xml:space="preserve">-1 </w:t>
      </w:r>
      <w:r>
        <w:t xml:space="preserve">(ГГП-1) и уровень инсулина повышались при дозе </w:t>
      </w:r>
      <w:r w:rsidRPr="00E27454">
        <w:t>3 мг/кг линаглиптина</w:t>
      </w:r>
      <w:r>
        <w:t xml:space="preserve"> </w:t>
      </w:r>
      <w:r>
        <w:fldChar w:fldCharType="begin"/>
      </w:r>
      <w:r>
        <w:instrText xml:space="preserve"> ADDIN ZOTERO_ITEM CSL_CITATION {"citationID":"l6CJk4wS","properties":{"formattedCitation":"[4]","plainCitation":"[4]","noteIndex":0},"citationItems":[{"id":3011,"uris":["http://zotero.org/users/5483459/items/KDZIZ58C"],"itemData":{"id":3011,"type":"article-journal","abstract":"The Zucker fatty (ZF) rat harboring a missense mutation (fatty, fa) in the leptin receptor gene (Lepr) develops obesity without diabetes; Zucker diabetic fatty (ZDF) rats derived from the ZF strain exhibit obesity with diabetes and are widely used for research on type 2 diabetes (T2D). Here we establish a novel diabetic strain derived from normoglycemic ZF rats. In our ZF rat colony, we incidentally found fa/fa homozygous male rats having reproductive ability, which is generally absent in these animals. During maintenance of this strain by mating fa/fa males and fa/+ heterozygous females, we further identified fa/fa male rats exhibiting diabetes. We then performed selective breeding using the fa/fa male rats that exhibited relatively high blood glucose levels at 10 weeks of age, resulting in establishment of a diabetic strain that we designated Hos:ZFDM-Leprfa (ZFDM). These fa/fa male rats developed diabetes as early as 10 weeks of age, reaching 100% incidence by 21 weeks of age, while none of the fa/+ male rats developed diabetes. The phenotypic characteristics of this diabetic strain are distinct from those of normoglycemic ZF rats. ZFDM rat strain having high reproductive efficiency should serve as a more useful animal model of T2D.","container-title":"Journal of Diabetes Research","DOI":"10.1155/2013/103731","ISSN":"2314-6745","journalAbbreviation":"J Diabetes Res","note":"PMID: 23671847\nPMCID: PMC3647587","page":"103731","source":"PubMed Central","title":"A Novel Rat Model of Type 2 Diabetes: The Zucker Fatty Diabetes Mellitus ZFDM Rat","title-short":"A Novel Rat Model of Type 2 Diabetes","volume":"2013","author":[{"family":"Yokoi","given":"Norihide"},{"family":"Hoshino","given":"Masayuki"},{"family":"Hidaka","given":"Shihomi"},{"family":"Yoshida","given":"Eri"},{"family":"Beppu","given":"Masayuki"},{"family":"Hoshikawa","given":"Ritsuko"},{"family":"Sudo","given":"Katsuko"},{"family":"Kawada","given":"Akihiko"},{"family":"Takagi","given":"Sadaaki"},{"family":"Seino","given":"Susumu"}],"issued":{"date-parts":[["2013"]]}}}],"schema":"https://github.com/citation-style-language/schema/raw/master/csl-citation.json"} </w:instrText>
      </w:r>
      <w:r>
        <w:fldChar w:fldCharType="separate"/>
      </w:r>
      <w:r w:rsidRPr="00F058A0">
        <w:t>[4]</w:t>
      </w:r>
      <w:r>
        <w:fldChar w:fldCharType="end"/>
      </w:r>
      <w:r>
        <w:t>.</w:t>
      </w:r>
    </w:p>
    <w:p w14:paraId="797A81CE" w14:textId="57E724E4" w:rsidR="0010203A" w:rsidRPr="0065281C" w:rsidRDefault="006B63B1" w:rsidP="00FF1AC2">
      <w:pPr>
        <w:ind w:firstLine="709"/>
      </w:pPr>
      <w:r>
        <w:t xml:space="preserve">Исследования на собаках и макаках-резусах показали, что ингибирование </w:t>
      </w:r>
      <w:r w:rsidRPr="00DB6987">
        <w:t>ДПП-4</w:t>
      </w:r>
      <w:r>
        <w:t xml:space="preserve"> после однократного введения</w:t>
      </w:r>
      <w:r w:rsidR="00860F49">
        <w:t xml:space="preserve"> линаглиптина через желудочный </w:t>
      </w:r>
      <w:r>
        <w:t xml:space="preserve">зонд продолжается до 48 часов у собак и до 72 часов у обезьян </w:t>
      </w:r>
      <w:r>
        <w:fldChar w:fldCharType="begin"/>
      </w:r>
      <w:r>
        <w:instrText xml:space="preserve"> ADDIN ZOTERO_ITEM CSL_CITATION {"citationID":"wx7yuwZ0","properties":{"formattedCitation":"[3]","plainCitation":"[3]","noteIndex":0},"citationItems":[{"id":2978,"uris":["http://zotero.org/users/5483459/items/DHAYHB8P"],"itemData":{"id":2978,"type":"document","title":"U.S.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F058A0">
        <w:t>[3]</w:t>
      </w:r>
      <w:r>
        <w:fldChar w:fldCharType="end"/>
      </w:r>
      <w:r w:rsidR="00247415">
        <w:t>.</w:t>
      </w:r>
    </w:p>
    <w:p w14:paraId="598219EA" w14:textId="5E5121EC" w:rsidR="004B1452" w:rsidRDefault="004B1452" w:rsidP="004B1452">
      <w:pPr>
        <w:spacing w:before="240" w:after="240"/>
        <w:outlineLvl w:val="2"/>
        <w:rPr>
          <w:b/>
          <w:color w:val="000000" w:themeColor="text1"/>
        </w:rPr>
      </w:pPr>
      <w:bookmarkStart w:id="97" w:name="_Toc139361953"/>
      <w:r w:rsidRPr="005E6358">
        <w:rPr>
          <w:b/>
          <w:color w:val="000000" w:themeColor="text1"/>
        </w:rPr>
        <w:t>3.1.</w:t>
      </w:r>
      <w:r>
        <w:rPr>
          <w:b/>
          <w:color w:val="000000" w:themeColor="text1"/>
        </w:rPr>
        <w:t>3</w:t>
      </w:r>
      <w:r w:rsidRPr="005E6358">
        <w:rPr>
          <w:b/>
          <w:color w:val="000000" w:themeColor="text1"/>
        </w:rPr>
        <w:t>.</w:t>
      </w:r>
      <w:bookmarkStart w:id="98" w:name="_Hlk521883759"/>
      <w:r>
        <w:rPr>
          <w:b/>
          <w:color w:val="000000" w:themeColor="text1"/>
        </w:rPr>
        <w:t xml:space="preserve"> </w:t>
      </w:r>
      <w:r w:rsidRPr="005E6358">
        <w:rPr>
          <w:b/>
          <w:color w:val="000000" w:themeColor="text1"/>
        </w:rPr>
        <w:t>Вторичная фармакодинамика</w:t>
      </w:r>
      <w:bookmarkStart w:id="99" w:name="_Toc320631473"/>
      <w:bookmarkStart w:id="100" w:name="_Toc323751703"/>
      <w:bookmarkEnd w:id="97"/>
    </w:p>
    <w:p w14:paraId="6F29193F" w14:textId="3F0B172A" w:rsidR="004B1452" w:rsidRPr="008C54EF" w:rsidRDefault="004B1452" w:rsidP="004379A9">
      <w:pPr>
        <w:pStyle w:val="OT"/>
        <w:spacing w:after="0"/>
        <w:ind w:firstLine="709"/>
        <w:rPr>
          <w:b/>
          <w:color w:val="000000" w:themeColor="text1"/>
          <w:sz w:val="24"/>
          <w:szCs w:val="24"/>
        </w:rPr>
      </w:pPr>
      <w:r w:rsidRPr="004E7D50">
        <w:rPr>
          <w:sz w:val="24"/>
          <w:szCs w:val="24"/>
        </w:rPr>
        <w:t xml:space="preserve">В исследовании </w:t>
      </w:r>
      <w:r>
        <w:rPr>
          <w:sz w:val="24"/>
          <w:szCs w:val="24"/>
        </w:rPr>
        <w:t>изучалась</w:t>
      </w:r>
      <w:r w:rsidRPr="004E7D50">
        <w:rPr>
          <w:sz w:val="24"/>
          <w:szCs w:val="24"/>
        </w:rPr>
        <w:t xml:space="preserve"> противопаркинсоническая активность линаглиптина. Экспериментальную болезнь Паркинсона вызывали введением ротенона </w:t>
      </w:r>
      <w:r>
        <w:rPr>
          <w:sz w:val="24"/>
          <w:szCs w:val="24"/>
        </w:rPr>
        <w:t xml:space="preserve">крысам </w:t>
      </w:r>
      <w:r w:rsidRPr="004E7D50">
        <w:rPr>
          <w:sz w:val="24"/>
          <w:szCs w:val="24"/>
        </w:rPr>
        <w:t xml:space="preserve">в дозе 1,5 мг/кг через день подкожно в течение 21 дня. </w:t>
      </w:r>
      <w:r>
        <w:rPr>
          <w:sz w:val="24"/>
          <w:szCs w:val="24"/>
        </w:rPr>
        <w:t>Препараты стандартной терапии</w:t>
      </w:r>
      <w:r w:rsidRPr="004E7D50">
        <w:rPr>
          <w:sz w:val="24"/>
          <w:szCs w:val="24"/>
        </w:rPr>
        <w:t xml:space="preserve"> леводопа-200 мг/кг и карбидопа-50 мг/кг и линаглиптин-5 мг/кг, 10 мг/кг и 20 мг/кг вводили перорально ежедневно за 1 ч до введения ротенона. </w:t>
      </w:r>
      <w:r w:rsidR="00247415">
        <w:rPr>
          <w:sz w:val="24"/>
          <w:szCs w:val="24"/>
        </w:rPr>
        <w:t>На фоне введения</w:t>
      </w:r>
      <w:r w:rsidRPr="004E7D50">
        <w:rPr>
          <w:sz w:val="24"/>
          <w:szCs w:val="24"/>
        </w:rPr>
        <w:t xml:space="preserve"> линаглиптин</w:t>
      </w:r>
      <w:r>
        <w:rPr>
          <w:sz w:val="24"/>
          <w:szCs w:val="24"/>
        </w:rPr>
        <w:t>а</w:t>
      </w:r>
      <w:r w:rsidRPr="004E7D50">
        <w:rPr>
          <w:sz w:val="24"/>
          <w:szCs w:val="24"/>
        </w:rPr>
        <w:t xml:space="preserve"> </w:t>
      </w:r>
      <w:r>
        <w:rPr>
          <w:sz w:val="24"/>
          <w:szCs w:val="24"/>
        </w:rPr>
        <w:t xml:space="preserve">у крыс </w:t>
      </w:r>
      <w:r w:rsidRPr="004E7D50">
        <w:rPr>
          <w:sz w:val="24"/>
          <w:szCs w:val="24"/>
        </w:rPr>
        <w:t>улучшил</w:t>
      </w:r>
      <w:r>
        <w:rPr>
          <w:sz w:val="24"/>
          <w:szCs w:val="24"/>
        </w:rPr>
        <w:t>ась</w:t>
      </w:r>
      <w:r w:rsidRPr="004E7D50">
        <w:rPr>
          <w:sz w:val="24"/>
          <w:szCs w:val="24"/>
        </w:rPr>
        <w:t xml:space="preserve"> мышечн</w:t>
      </w:r>
      <w:r>
        <w:rPr>
          <w:sz w:val="24"/>
          <w:szCs w:val="24"/>
        </w:rPr>
        <w:t>ая</w:t>
      </w:r>
      <w:r w:rsidRPr="004E7D50">
        <w:rPr>
          <w:sz w:val="24"/>
          <w:szCs w:val="24"/>
        </w:rPr>
        <w:t xml:space="preserve"> координаци</w:t>
      </w:r>
      <w:r>
        <w:rPr>
          <w:sz w:val="24"/>
          <w:szCs w:val="24"/>
        </w:rPr>
        <w:t>я</w:t>
      </w:r>
      <w:r w:rsidRPr="004E7D50">
        <w:rPr>
          <w:sz w:val="24"/>
          <w:szCs w:val="24"/>
        </w:rPr>
        <w:t>, двигательн</w:t>
      </w:r>
      <w:r>
        <w:rPr>
          <w:sz w:val="24"/>
          <w:szCs w:val="24"/>
        </w:rPr>
        <w:t>ая</w:t>
      </w:r>
      <w:r w:rsidRPr="004E7D50">
        <w:rPr>
          <w:sz w:val="24"/>
          <w:szCs w:val="24"/>
        </w:rPr>
        <w:t xml:space="preserve"> активность и </w:t>
      </w:r>
      <w:r>
        <w:rPr>
          <w:sz w:val="24"/>
          <w:szCs w:val="24"/>
        </w:rPr>
        <w:t>корректировалась</w:t>
      </w:r>
      <w:r w:rsidRPr="004E7D50">
        <w:rPr>
          <w:sz w:val="24"/>
          <w:szCs w:val="24"/>
        </w:rPr>
        <w:t xml:space="preserve"> акинези</w:t>
      </w:r>
      <w:r>
        <w:rPr>
          <w:sz w:val="24"/>
          <w:szCs w:val="24"/>
        </w:rPr>
        <w:t>я</w:t>
      </w:r>
      <w:r w:rsidRPr="004E7D50">
        <w:rPr>
          <w:sz w:val="24"/>
          <w:szCs w:val="24"/>
        </w:rPr>
        <w:t xml:space="preserve">. </w:t>
      </w:r>
      <w:r>
        <w:rPr>
          <w:sz w:val="24"/>
          <w:szCs w:val="24"/>
        </w:rPr>
        <w:t>После введения</w:t>
      </w:r>
      <w:r w:rsidRPr="004E7D50">
        <w:rPr>
          <w:sz w:val="24"/>
          <w:szCs w:val="24"/>
        </w:rPr>
        <w:t xml:space="preserve"> линаглиптин</w:t>
      </w:r>
      <w:r>
        <w:rPr>
          <w:sz w:val="24"/>
          <w:szCs w:val="24"/>
        </w:rPr>
        <w:t>а</w:t>
      </w:r>
      <w:r w:rsidRPr="004E7D50">
        <w:rPr>
          <w:sz w:val="24"/>
          <w:szCs w:val="24"/>
        </w:rPr>
        <w:t xml:space="preserve"> </w:t>
      </w:r>
      <w:r>
        <w:rPr>
          <w:sz w:val="24"/>
          <w:szCs w:val="24"/>
        </w:rPr>
        <w:t>увеличился уровень</w:t>
      </w:r>
      <w:r w:rsidRPr="004E7D50">
        <w:rPr>
          <w:sz w:val="24"/>
          <w:szCs w:val="24"/>
        </w:rPr>
        <w:t xml:space="preserve"> супероксиддисмутазы, каталазы и глутатиона в гомогенате головного мозга животных. Линаглиптин значительно повышал уровни стриарного дофамина и активного глюкагоноподобного пептида</w:t>
      </w:r>
      <w:r w:rsidR="00794FB0">
        <w:rPr>
          <w:sz w:val="24"/>
          <w:szCs w:val="24"/>
        </w:rPr>
        <w:t>-</w:t>
      </w:r>
      <w:r w:rsidRPr="004E7D50">
        <w:rPr>
          <w:sz w:val="24"/>
          <w:szCs w:val="24"/>
        </w:rPr>
        <w:t xml:space="preserve">1 в гомогенате головного мозга животных. </w:t>
      </w:r>
      <w:r w:rsidR="00AA44EA">
        <w:rPr>
          <w:sz w:val="24"/>
          <w:szCs w:val="24"/>
        </w:rPr>
        <w:t>Н</w:t>
      </w:r>
      <w:r w:rsidRPr="004E7D50">
        <w:rPr>
          <w:sz w:val="24"/>
          <w:szCs w:val="24"/>
        </w:rPr>
        <w:t>ейропротекторный потенциал линаглиптина для лечения болезн</w:t>
      </w:r>
      <w:r>
        <w:rPr>
          <w:sz w:val="24"/>
          <w:szCs w:val="24"/>
        </w:rPr>
        <w:t>и</w:t>
      </w:r>
      <w:r w:rsidRPr="004E7D50">
        <w:rPr>
          <w:sz w:val="24"/>
          <w:szCs w:val="24"/>
        </w:rPr>
        <w:t xml:space="preserve"> Паркинсона может быть обусловлен значительным улучшением двигательных функций, антиоксидантных, противовоспалительных, антиапоптотических и нейропротекторных механизмов</w:t>
      </w:r>
      <w:r w:rsidRPr="008C54EF">
        <w:rPr>
          <w:sz w:val="24"/>
          <w:szCs w:val="24"/>
        </w:rPr>
        <w:t xml:space="preserve"> </w:t>
      </w:r>
      <w:r>
        <w:rPr>
          <w:sz w:val="24"/>
          <w:szCs w:val="24"/>
        </w:rPr>
        <w:fldChar w:fldCharType="begin"/>
      </w:r>
      <w:r>
        <w:rPr>
          <w:sz w:val="24"/>
          <w:szCs w:val="24"/>
        </w:rPr>
        <w:instrText xml:space="preserve"> ADDIN ZOTERO_ITEM CSL_CITATION {"citationID":"wgdnAXIH","properties":{"formattedCitation":"[6]","plainCitation":"[6]","noteIndex":0},"citationItems":[{"id":3026,"uris":["http://zotero.org/users/5483459/items/SNSLFV2F"],"itemData":{"id":3026,"type":"article-journal","abstract":"The present study investigates the antiParkinsonian activity of dipeptidyl peptidase-4 (DPP-IV) inhibitor, linagliptin. The experimental Parkinson's disease (PD) was induced by administration of rotenone at a dose of 1.5 mg/kg at alternate day subcutaneously for 21 days. Standard drug (levodopa-200 mg/kg and carbidopa-50 mg/kg) and treatment drug (linagliptin-5 mg/kg, 10 mg/kg, and 20mg/kg) were administered orally daily 1 h before rotenone administration. In a rat rotenone model, linagliptin improved muscle coordination, motor performance, and corrected akinesia. Pretreatment with linagliptin showed significant higher levels of superoxide dismutase, catalase, and glutathione in brain homogenate of animals. Linagliptin significantly elevated the levels of striatal DA and active glucagon-like peptide 1 in brain homogenate of animals. Furthermore, linagliptin amended alterations induced by rotenone in the thiobarbituric acid reactive substances and inflammatory marker such as tumor necrosis factor-α level. The results of the present study indicate the neuroprotective potential of linagliptin for the management of PD might be due to remarkable improvement in motor functions, antioxidant, anti-inflammatory, anti-apoptotic, and neuroprotective mechanisms.","container-title":"Indian Journal of Pharmacology","DOI":"10.4103/ijp.IJP_384_20","ISSN":"0253-7613","issue":"1","journalAbbreviation":"Indian J Pharmacol","note":"PMID: 35343207\nPMCID: PMC9012419","page":"46-50","source":"PubMed Central","title":"Neuroprotective effects of linagliptin in a rotenone-induced rat model of Parkinson's disease","volume":"54","author":[{"family":"Abhangi","given":"Kinjal V"},{"family":"Patel","given":"Jigneshkumar Ishwarlal"}],"issued":{"date-parts":[["2022"]]}}}],"schema":"https://github.com/citation-style-language/schema/raw/master/csl-citation.json"} </w:instrText>
      </w:r>
      <w:r>
        <w:rPr>
          <w:sz w:val="24"/>
          <w:szCs w:val="24"/>
        </w:rPr>
        <w:fldChar w:fldCharType="separate"/>
      </w:r>
      <w:r w:rsidRPr="008C54EF">
        <w:rPr>
          <w:sz w:val="24"/>
        </w:rPr>
        <w:t>[6]</w:t>
      </w:r>
      <w:r>
        <w:rPr>
          <w:sz w:val="24"/>
          <w:szCs w:val="24"/>
        </w:rPr>
        <w:fldChar w:fldCharType="end"/>
      </w:r>
      <w:r>
        <w:rPr>
          <w:sz w:val="24"/>
          <w:szCs w:val="24"/>
        </w:rPr>
        <w:t>.</w:t>
      </w:r>
    </w:p>
    <w:p w14:paraId="16BA7921" w14:textId="27FB8767" w:rsidR="004B1452" w:rsidRDefault="00AA44EA" w:rsidP="004379A9">
      <w:pPr>
        <w:ind w:firstLine="709"/>
      </w:pPr>
      <w:r>
        <w:lastRenderedPageBreak/>
        <w:t>И</w:t>
      </w:r>
      <w:r w:rsidR="004B1452">
        <w:t xml:space="preserve">зучены нейропротективные свойства </w:t>
      </w:r>
      <w:r w:rsidR="004B1452" w:rsidRPr="00775FE5">
        <w:t>линаглиптина</w:t>
      </w:r>
      <w:r w:rsidR="004B1452">
        <w:t>на на модели печеночной энцефалопатии.</w:t>
      </w:r>
      <w:r w:rsidR="004B1452" w:rsidRPr="00775FE5">
        <w:t xml:space="preserve"> </w:t>
      </w:r>
      <w:r w:rsidR="004B1452">
        <w:t>И</w:t>
      </w:r>
      <w:r w:rsidR="004B1452" w:rsidRPr="00967515">
        <w:t>сследование было проведено для изучения возможного защитного потенциала линаглиптин</w:t>
      </w:r>
      <w:r w:rsidR="004B1452">
        <w:t>а</w:t>
      </w:r>
      <w:r w:rsidR="004B1452" w:rsidRPr="00967515">
        <w:t xml:space="preserve"> (10 или 20 мг/кг) </w:t>
      </w:r>
      <w:r w:rsidR="004B1452">
        <w:t>при экспериментальной печеночной энцефалопатии,</w:t>
      </w:r>
      <w:r w:rsidR="004B1452" w:rsidRPr="00967515">
        <w:t xml:space="preserve"> вызванн</w:t>
      </w:r>
      <w:r w:rsidR="004B1452">
        <w:t>ой</w:t>
      </w:r>
      <w:r w:rsidR="004B1452" w:rsidRPr="00967515">
        <w:t xml:space="preserve"> тиоацетамидом у крыс. </w:t>
      </w:r>
      <w:r w:rsidR="004B1452">
        <w:t>Л</w:t>
      </w:r>
      <w:r w:rsidR="004B1452" w:rsidRPr="00967515">
        <w:t>инаглиптин</w:t>
      </w:r>
      <w:r w:rsidR="004B1452">
        <w:t xml:space="preserve"> вводили в течение 15 дней до </w:t>
      </w:r>
      <w:r w:rsidR="00C873AC">
        <w:t xml:space="preserve">введения </w:t>
      </w:r>
      <w:r w:rsidR="004B1452" w:rsidRPr="00967515">
        <w:t>тиоацетамид</w:t>
      </w:r>
      <w:r w:rsidR="004B1452">
        <w:t>а.</w:t>
      </w:r>
      <w:r w:rsidR="004B1452" w:rsidRPr="00967515">
        <w:t xml:space="preserve"> </w:t>
      </w:r>
      <w:r w:rsidR="004B1452">
        <w:t>Затем крысам вводили</w:t>
      </w:r>
      <w:r w:rsidR="004B1452" w:rsidRPr="00967515">
        <w:t xml:space="preserve"> две последовательные внутрибрюшинные инъекции тиоацетамид</w:t>
      </w:r>
      <w:r w:rsidR="004B1452">
        <w:t xml:space="preserve">а </w:t>
      </w:r>
      <w:r w:rsidR="004B1452" w:rsidRPr="00967515">
        <w:t>(200 мг/кг) через день. Нейроповеденческие тесты проводили через 24 ч после последней инъекции</w:t>
      </w:r>
      <w:r w:rsidR="00C873AC">
        <w:t xml:space="preserve"> </w:t>
      </w:r>
      <w:r w:rsidR="00C873AC" w:rsidRPr="00967515">
        <w:t>тиоацетамид</w:t>
      </w:r>
      <w:r w:rsidR="00C873AC">
        <w:t>а</w:t>
      </w:r>
      <w:r w:rsidR="004B1452" w:rsidRPr="00967515">
        <w:t>, через 48 ч крыс</w:t>
      </w:r>
      <w:r w:rsidR="004B1452">
        <w:t>ы подвергались эвтаназии</w:t>
      </w:r>
      <w:r w:rsidR="004B1452" w:rsidRPr="00967515">
        <w:t xml:space="preserve">. </w:t>
      </w:r>
      <w:r>
        <w:t>Б</w:t>
      </w:r>
      <w:r w:rsidR="004B1452" w:rsidRPr="00967515">
        <w:t xml:space="preserve">олее высокая доза </w:t>
      </w:r>
      <w:r w:rsidR="004B1452" w:rsidRPr="00775FE5">
        <w:t>линаглиптина</w:t>
      </w:r>
      <w:r w:rsidR="004B1452">
        <w:t xml:space="preserve"> </w:t>
      </w:r>
      <w:r w:rsidR="004B1452" w:rsidRPr="00967515">
        <w:t xml:space="preserve">более эффективно защищала от изменений, вызванных тиоацетамидом. Введение </w:t>
      </w:r>
      <w:r w:rsidR="004B1452" w:rsidRPr="00775FE5">
        <w:t>линаглиптина</w:t>
      </w:r>
      <w:r w:rsidR="004B1452">
        <w:t xml:space="preserve"> </w:t>
      </w:r>
      <w:r w:rsidR="004B1452" w:rsidRPr="00967515">
        <w:t xml:space="preserve">заметно уменьшало вызванное тиоацетамидом острое повреждение печени и </w:t>
      </w:r>
      <w:r w:rsidR="004B1452">
        <w:t>печеночную энцефалопатию</w:t>
      </w:r>
      <w:r w:rsidR="004B1452" w:rsidRPr="00967515">
        <w:t xml:space="preserve">, что </w:t>
      </w:r>
      <w:r w:rsidR="004B1452">
        <w:t>подтверждалось</w:t>
      </w:r>
      <w:r w:rsidR="004B1452" w:rsidRPr="00967515">
        <w:t xml:space="preserve"> заметным улучшением координации движений, двигательной активности и когнитивн</w:t>
      </w:r>
      <w:r w:rsidR="004B1452">
        <w:t>ых</w:t>
      </w:r>
      <w:r w:rsidR="004B1452" w:rsidRPr="00967515">
        <w:t xml:space="preserve"> функци</w:t>
      </w:r>
      <w:r w:rsidR="004B1452">
        <w:t>й</w:t>
      </w:r>
      <w:r w:rsidR="004B1452" w:rsidRPr="00967515">
        <w:t xml:space="preserve">. </w:t>
      </w:r>
      <w:r w:rsidR="004B1452">
        <w:t>В группе животных, получавших л</w:t>
      </w:r>
      <w:r w:rsidR="004B1452" w:rsidRPr="00775FE5">
        <w:t>инаглиптин</w:t>
      </w:r>
      <w:r w:rsidR="004B1452">
        <w:t xml:space="preserve">, </w:t>
      </w:r>
      <w:r w:rsidR="004B1452" w:rsidRPr="00967515">
        <w:t>устранял</w:t>
      </w:r>
      <w:r w:rsidR="004B1452">
        <w:t>ась</w:t>
      </w:r>
      <w:r w:rsidR="004B1452" w:rsidRPr="00967515">
        <w:t xml:space="preserve"> гипераммониеми</w:t>
      </w:r>
      <w:r w:rsidR="004B1452">
        <w:t>я</w:t>
      </w:r>
      <w:r w:rsidR="004B1452" w:rsidRPr="00967515">
        <w:t xml:space="preserve"> </w:t>
      </w:r>
      <w:r w:rsidR="004B1452">
        <w:t xml:space="preserve">и снижался уровень </w:t>
      </w:r>
      <w:r w:rsidR="004B1452" w:rsidRPr="00967515">
        <w:t xml:space="preserve">печеночных трансаминаз. </w:t>
      </w:r>
      <w:r w:rsidR="004B1452">
        <w:t>снижался уровень</w:t>
      </w:r>
      <w:r w:rsidR="004B1452" w:rsidRPr="00967515">
        <w:t xml:space="preserve"> провоспалительны</w:t>
      </w:r>
      <w:r w:rsidR="004B1452">
        <w:t>х</w:t>
      </w:r>
      <w:r w:rsidR="004B1452" w:rsidRPr="00967515">
        <w:t xml:space="preserve"> цитокин</w:t>
      </w:r>
      <w:r w:rsidR="004B1452">
        <w:t>ов</w:t>
      </w:r>
      <w:r w:rsidR="004B1452" w:rsidRPr="00967515">
        <w:t xml:space="preserve"> печени и гиппокампа</w:t>
      </w:r>
      <w:r w:rsidR="004B1452">
        <w:t xml:space="preserve"> </w:t>
      </w:r>
      <w:r w:rsidR="004B1452">
        <w:fldChar w:fldCharType="begin"/>
      </w:r>
      <w:r w:rsidR="004B1452">
        <w:instrText xml:space="preserve"> ADDIN ZOTERO_ITEM CSL_CITATION {"citationID":"GJzy5ZlE","properties":{"formattedCitation":"[7]","plainCitation":"[7]","noteIndex":0},"citationItems":[{"id":3028,"uris":["http://zotero.org/users/5483459/items/JBZUDQKC"],"itemData":{"id":3028,"type":"article-journal","abstract":"The degree of neuroinflammation is correlated mainly with cognitive and motor dysfunctions associated with hepatic encephalopathy (HE). The current study was conducted to explore the possible protective potential of the antidiabetic drug; linagliptin (LNG; 10 or 20 mg/kg) against HE induced by thioacetamide (TAA) in rats. Animals received two consecutive intraperitoneal injections of TAA (200 mg/kg) on alternate days. Neurobehavioral tests were performed 24 h after the last injection, and rats were sacrificed 24 h later (48 h). The higher LNG dose more effectively protected against TAA-induced changes. Administration of LNG for 15 days before TAA notably mitigated TAA-induced acute liver injury and HE, as verified by the marked improvement in motor coordination, locomotor activity, and cognition function. LNG maintained both brain and liver weight indices and retracted the hyperammonemia with a prominent suppression in liver transaminases. This was accompanied by an evident modulation of hepatic and hippocampal oxidative stress markers; GSH and MDA. LNG attenuated both liver and hippocampal pro-inflammatory cytokine; IL-1β while augmented the anti-inflammatory one; IL-10. It noticeably reduced hepatic and hippocampal COX-2 and TNF-α and maintained hepatic and brain architectures. It also induced a marked decrease in the inflammation-regulated transcription factor, C/EBP-β, with a profound increase in hippocampi's anti-inflammatory chemokine, CX3CL1/Fractalkine. LNG modulated TAA-induced disturbances in hippocampal amino acids; glutamate, and GABA with a significant increase in hippocampal BDNF. In conclusion, the regulatory effect of LNG on neuroinflammatory signaling underlines its neuroprotective effect against progressive encephalopathy accompanying acute liver injury.","container-title":"Life Sciences","DOI":"10.1016/j.lfs.2022.120378","ISSN":"1879-0631","journalAbbreviation":"Life Sci","language":"eng","note":"PMID: 35134437","page":"120378","source":"PubMed","title":"Linagliptin attenuates thioacetamide-induced hepatic encephalopathy in rats: Modulation of C/EBP-β and CX3CL1/Fractalkine, neuro-inflammation, oxidative stress and behavioral defects","title-short":"Linagliptin attenuates thioacetamide-induced hepatic encephalopathy in rats","volume":"295","author":[{"family":"Hussien","given":"Yosra A."},{"family":"Mansour","given":"Dina F."},{"family":"Nada","given":"Somaia A."},{"family":"Abd El-Rahman","given":"Sahar S."},{"family":"Abdelsalam","given":"Rania M."},{"family":"Attia","given":"Amina S."},{"family":"El-Tanbouly","given":"Dalia M."}],"issued":{"date-parts":[["2022",4,15]]}}}],"schema":"https://github.com/citation-style-language/schema/raw/master/csl-citation.json"} </w:instrText>
      </w:r>
      <w:r w:rsidR="004B1452">
        <w:fldChar w:fldCharType="separate"/>
      </w:r>
      <w:r w:rsidR="004B1452" w:rsidRPr="00046858">
        <w:t>[7]</w:t>
      </w:r>
      <w:r w:rsidR="004B1452">
        <w:fldChar w:fldCharType="end"/>
      </w:r>
      <w:r w:rsidR="004B1452">
        <w:t>.</w:t>
      </w:r>
    </w:p>
    <w:p w14:paraId="0AC5A88E" w14:textId="77777777" w:rsidR="004B1452" w:rsidRDefault="004B1452" w:rsidP="004B1452">
      <w:pPr>
        <w:spacing w:before="240" w:after="240"/>
        <w:outlineLvl w:val="2"/>
        <w:rPr>
          <w:b/>
          <w:color w:val="000000" w:themeColor="text1"/>
        </w:rPr>
      </w:pPr>
      <w:bookmarkStart w:id="101" w:name="_Toc499821139"/>
      <w:bookmarkStart w:id="102" w:name="_Toc139361954"/>
      <w:bookmarkEnd w:id="98"/>
      <w:r w:rsidRPr="005E6358">
        <w:rPr>
          <w:b/>
          <w:color w:val="000000" w:themeColor="text1"/>
        </w:rPr>
        <w:t>3.1.</w:t>
      </w:r>
      <w:r>
        <w:rPr>
          <w:b/>
          <w:color w:val="000000" w:themeColor="text1"/>
        </w:rPr>
        <w:t>4</w:t>
      </w:r>
      <w:r w:rsidRPr="005E6358">
        <w:rPr>
          <w:b/>
          <w:color w:val="000000" w:themeColor="text1"/>
        </w:rPr>
        <w:t>. Фармакологическая безопасност</w:t>
      </w:r>
      <w:bookmarkEnd w:id="101"/>
      <w:r w:rsidRPr="005E6358">
        <w:rPr>
          <w:b/>
          <w:color w:val="000000" w:themeColor="text1"/>
        </w:rPr>
        <w:t>ь</w:t>
      </w:r>
      <w:bookmarkEnd w:id="102"/>
    </w:p>
    <w:p w14:paraId="5BE00096" w14:textId="5FDC5996" w:rsidR="004B1452" w:rsidRDefault="004B1452" w:rsidP="00422CB1">
      <w:pPr>
        <w:ind w:firstLine="709"/>
      </w:pPr>
      <w:bookmarkStart w:id="103" w:name="_Hlk121099850"/>
      <w:r>
        <w:t xml:space="preserve">С </w:t>
      </w:r>
      <w:r w:rsidRPr="009256AD">
        <w:t xml:space="preserve">линаглиптином был проведен целый ряд специальных фармакологических исследований безопасности. </w:t>
      </w:r>
    </w:p>
    <w:p w14:paraId="1C2E8F49" w14:textId="06EFA88B" w:rsidR="00F952E2" w:rsidRDefault="00F952E2">
      <w:pPr>
        <w:rPr>
          <w:b/>
          <w:bCs/>
        </w:rPr>
      </w:pPr>
    </w:p>
    <w:p w14:paraId="3B8372C1" w14:textId="7F2DD418" w:rsidR="004B1452" w:rsidRDefault="004B1452" w:rsidP="00422CB1">
      <w:pPr>
        <w:rPr>
          <w:b/>
          <w:bCs/>
        </w:rPr>
      </w:pPr>
      <w:r w:rsidRPr="001F74B7">
        <w:rPr>
          <w:b/>
          <w:bCs/>
        </w:rPr>
        <w:t>Влияние на сердечно сосудистую систему</w:t>
      </w:r>
    </w:p>
    <w:p w14:paraId="7625AFA0" w14:textId="6D35490C" w:rsidR="00422CB1" w:rsidRDefault="00422CB1" w:rsidP="00F952E2">
      <w:pPr>
        <w:tabs>
          <w:tab w:val="left" w:pos="0"/>
        </w:tabs>
      </w:pPr>
    </w:p>
    <w:p w14:paraId="3CD61E0C" w14:textId="5D5B1BDD" w:rsidR="004B1452" w:rsidRDefault="004B1452" w:rsidP="00422CB1">
      <w:pPr>
        <w:tabs>
          <w:tab w:val="left" w:pos="0"/>
        </w:tabs>
        <w:ind w:firstLine="709"/>
      </w:pPr>
      <w:r>
        <w:t xml:space="preserve">Оценка влияния применения линаглиптина на сердечно-сосудистую систему </w:t>
      </w:r>
      <w:r w:rsidRPr="00A6776C">
        <w:t>был</w:t>
      </w:r>
      <w:r w:rsidR="00422CB1">
        <w:t>а</w:t>
      </w:r>
      <w:r w:rsidRPr="00A6776C">
        <w:t xml:space="preserve"> проведен</w:t>
      </w:r>
      <w:r w:rsidR="00422CB1">
        <w:t>а</w:t>
      </w:r>
      <w:r w:rsidRPr="00A6776C">
        <w:t xml:space="preserve"> на крысах и собаках</w:t>
      </w:r>
      <w:r>
        <w:t>.</w:t>
      </w:r>
    </w:p>
    <w:p w14:paraId="7D4B7438" w14:textId="081F9508" w:rsidR="004B1452" w:rsidRDefault="004B1452" w:rsidP="00422CB1">
      <w:pPr>
        <w:ind w:firstLine="709"/>
      </w:pPr>
      <w:r w:rsidRPr="00193C03">
        <w:t>Крысам через желудочный зонд вводили однократно 3, 10 или 30 мг/кг линаглиптина и оценивали телеметрическую передачу сигналов артериального давления, ЭКГ (не использовал</w:t>
      </w:r>
      <w:r w:rsidR="00422CB1">
        <w:t>о</w:t>
      </w:r>
      <w:r w:rsidRPr="00193C03">
        <w:t xml:space="preserve">сь для определения интервала QT) и температуру тела. Измерения проводились до 7 часов после применения линаглиптина. </w:t>
      </w:r>
      <w:r w:rsidR="0035479D">
        <w:t>Л</w:t>
      </w:r>
      <w:r w:rsidRPr="00193C03">
        <w:t>инаглиптин не оказывал влияния ни на один из измеренных параметров в испытанных дозах</w:t>
      </w:r>
      <w:r w:rsidRPr="00A6776C">
        <w:t xml:space="preserve">. </w:t>
      </w:r>
    </w:p>
    <w:p w14:paraId="52B67B95" w14:textId="4B6AEA48" w:rsidR="004B1452" w:rsidRPr="00A6776C" w:rsidRDefault="004B1452" w:rsidP="00422CB1">
      <w:pPr>
        <w:ind w:firstLine="709"/>
      </w:pPr>
      <w:r w:rsidRPr="00A6776C">
        <w:t xml:space="preserve">В исследовании на собаках, </w:t>
      </w:r>
      <w:r w:rsidRPr="00193C03">
        <w:t xml:space="preserve">через желудочный зонд вводили однократно </w:t>
      </w:r>
      <w:r w:rsidRPr="00A6776C">
        <w:t xml:space="preserve">1, 3 или 10 мг/кг </w:t>
      </w:r>
      <w:r w:rsidRPr="00193C03">
        <w:t>линаглиптина</w:t>
      </w:r>
      <w:r>
        <w:t xml:space="preserve">, </w:t>
      </w:r>
      <w:r w:rsidRPr="00A6776C">
        <w:t xml:space="preserve">гемодинамические </w:t>
      </w:r>
      <w:r>
        <w:t>показатели</w:t>
      </w:r>
      <w:r w:rsidRPr="00A6776C">
        <w:t xml:space="preserve"> </w:t>
      </w:r>
      <w:r>
        <w:t>оценивались</w:t>
      </w:r>
      <w:r w:rsidRPr="00A6776C">
        <w:t xml:space="preserve"> непрерывно в течение последующих 7 часов.</w:t>
      </w:r>
      <w:r>
        <w:t xml:space="preserve"> </w:t>
      </w:r>
      <w:r w:rsidR="00281AB0">
        <w:t>Установлено</w:t>
      </w:r>
      <w:r w:rsidRPr="00193C03">
        <w:t>, что линаглиптин не оказывал влияния</w:t>
      </w:r>
      <w:r w:rsidRPr="00A6776C">
        <w:t xml:space="preserve"> на артериальное давление, давление в левом желудочке, ЭКГ и температуру </w:t>
      </w:r>
      <w:r>
        <w:t>тела.</w:t>
      </w:r>
      <w:r w:rsidRPr="00A6776C">
        <w:t xml:space="preserve"> </w:t>
      </w:r>
    </w:p>
    <w:p w14:paraId="3DAFEB0E" w14:textId="59C7A525" w:rsidR="004B1452" w:rsidRPr="00A6776C" w:rsidRDefault="004B1452" w:rsidP="00422CB1">
      <w:pPr>
        <w:ind w:firstLine="709"/>
      </w:pPr>
      <w:r w:rsidRPr="00A6776C">
        <w:t>Самые высокие дозы, испытанные на крысах и собаках, примерно в 1</w:t>
      </w:r>
      <w:r>
        <w:t>0</w:t>
      </w:r>
      <w:r w:rsidRPr="00A6776C">
        <w:t xml:space="preserve"> раз превышают </w:t>
      </w:r>
      <w:r>
        <w:t>максимально рекомендованную дозу для человека</w:t>
      </w:r>
      <w:r w:rsidRPr="00A6776C">
        <w:t xml:space="preserve"> 400 мг, исходя из </w:t>
      </w:r>
      <w:r w:rsidR="00281AB0">
        <w:t xml:space="preserve">расчета по </w:t>
      </w:r>
      <w:r w:rsidRPr="00A6776C">
        <w:t>площади поверхности тела</w:t>
      </w:r>
      <w:r>
        <w:t xml:space="preserve"> </w:t>
      </w:r>
      <w:r>
        <w:fldChar w:fldCharType="begin"/>
      </w:r>
      <w:r>
        <w:instrText xml:space="preserve"> ADDIN ZOTERO_ITEM CSL_CITATION {"citationID":"qCq0K3Rs","properties":{"formattedCitation":"[3]","plainCitation":"[3]","noteIndex":0},"citationItems":[{"id":2978,"uris":["http://zotero.org/users/5483459/items/DHAYHB8P"],"itemData":{"id":2978,"type":"document","title":"U.S.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D176F2">
        <w:t>[3]</w:t>
      </w:r>
      <w:r>
        <w:fldChar w:fldCharType="end"/>
      </w:r>
      <w:r>
        <w:t xml:space="preserve">. </w:t>
      </w:r>
    </w:p>
    <w:p w14:paraId="20D94F74" w14:textId="77777777" w:rsidR="004B1452" w:rsidRPr="001F74B7" w:rsidRDefault="004B1452" w:rsidP="00283811">
      <w:pPr>
        <w:ind w:firstLine="851"/>
        <w:rPr>
          <w:b/>
          <w:bCs/>
        </w:rPr>
      </w:pPr>
    </w:p>
    <w:p w14:paraId="4BC9E709" w14:textId="77777777" w:rsidR="004B1452" w:rsidRDefault="004B1452" w:rsidP="004B1452">
      <w:pPr>
        <w:rPr>
          <w:b/>
          <w:bCs/>
        </w:rPr>
      </w:pPr>
      <w:r w:rsidRPr="001F74B7">
        <w:rPr>
          <w:b/>
          <w:bCs/>
        </w:rPr>
        <w:t>Влияние на центральную нервную систему (ЦНС)</w:t>
      </w:r>
    </w:p>
    <w:p w14:paraId="7E0F805A" w14:textId="77777777" w:rsidR="00281AB0" w:rsidRDefault="00281AB0" w:rsidP="004B1452">
      <w:pPr>
        <w:ind w:firstLine="709"/>
      </w:pPr>
    </w:p>
    <w:p w14:paraId="1BB13291" w14:textId="076ABADA" w:rsidR="004B1452" w:rsidRDefault="004B1452" w:rsidP="004B1452">
      <w:pPr>
        <w:ind w:firstLine="709"/>
      </w:pPr>
      <w:r w:rsidRPr="005A269F">
        <w:t xml:space="preserve">Возможные эффекты </w:t>
      </w:r>
      <w:r>
        <w:t xml:space="preserve">линаглиптина </w:t>
      </w:r>
      <w:r w:rsidRPr="005A269F">
        <w:t>на центральную и периферическую нервн</w:t>
      </w:r>
      <w:r w:rsidR="009C65BA">
        <w:t>ую</w:t>
      </w:r>
      <w:r w:rsidRPr="005A269F">
        <w:t xml:space="preserve"> систем</w:t>
      </w:r>
      <w:r w:rsidR="009C65BA">
        <w:t>у</w:t>
      </w:r>
      <w:r w:rsidRPr="005A269F">
        <w:t xml:space="preserve"> были исследованы на мышах и крысах. У мыш</w:t>
      </w:r>
      <w:r>
        <w:t>ей</w:t>
      </w:r>
      <w:r w:rsidRPr="005A269F">
        <w:t xml:space="preserve"> использовался модифицированный тест Ирвина (оценка поведения) и оценка спонтанн</w:t>
      </w:r>
      <w:r>
        <w:t>ой</w:t>
      </w:r>
      <w:r w:rsidRPr="005A269F">
        <w:t xml:space="preserve"> ночн</w:t>
      </w:r>
      <w:r>
        <w:t>ой</w:t>
      </w:r>
      <w:r w:rsidRPr="005A269F">
        <w:t xml:space="preserve"> подвижност</w:t>
      </w:r>
      <w:r>
        <w:t>и</w:t>
      </w:r>
      <w:r w:rsidRPr="005A269F">
        <w:t xml:space="preserve">. </w:t>
      </w:r>
    </w:p>
    <w:p w14:paraId="77EDA689" w14:textId="1923F64B" w:rsidR="004B1452" w:rsidRPr="005A269F" w:rsidRDefault="004B1452" w:rsidP="004B1452">
      <w:pPr>
        <w:ind w:firstLine="709"/>
      </w:pPr>
      <w:r w:rsidRPr="005A269F">
        <w:t xml:space="preserve">В исследовании на самцах крыс </w:t>
      </w:r>
      <w:r>
        <w:t xml:space="preserve">оценивалось </w:t>
      </w:r>
      <w:r w:rsidRPr="005A269F">
        <w:t xml:space="preserve">влияние </w:t>
      </w:r>
      <w:r>
        <w:t xml:space="preserve">линаглиптина </w:t>
      </w:r>
      <w:r w:rsidRPr="005A269F">
        <w:t xml:space="preserve">на поведение, физиологическое состояние, спонтанную локомоторную активность и температуру тела. </w:t>
      </w:r>
      <w:r>
        <w:t>Не было отмечено влияни</w:t>
      </w:r>
      <w:r w:rsidR="009C65BA">
        <w:t>я</w:t>
      </w:r>
      <w:r>
        <w:t xml:space="preserve"> линаглиптина на </w:t>
      </w:r>
      <w:r w:rsidRPr="005A269F">
        <w:t>поведение, биологическое состояние, спонтанную локомоторную активность и температуру тела</w:t>
      </w:r>
      <w:r>
        <w:t xml:space="preserve"> </w:t>
      </w:r>
      <w:r w:rsidRPr="005A269F">
        <w:t>у мышей при дозах до 30 мг/кг и у крыс при дозах до 600 мг/кг</w:t>
      </w:r>
      <w:r>
        <w:t xml:space="preserve"> </w:t>
      </w:r>
      <w:r>
        <w:fldChar w:fldCharType="begin"/>
      </w:r>
      <w:r>
        <w:instrText xml:space="preserve"> ADDIN ZOTERO_ITEM CSL_CITATION {"citationID":"1dbfYyJj","properties":{"formattedCitation":"[3]","plainCitation":"[3]","noteIndex":0},"citationItems":[{"id":2978,"uris":["http://zotero.org/users/5483459/items/DHAYHB8P"],"itemData":{"id":2978,"type":"document","title":"U.S.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D176F2">
        <w:t>[3]</w:t>
      </w:r>
      <w:r>
        <w:fldChar w:fldCharType="end"/>
      </w:r>
      <w:r>
        <w:t>.</w:t>
      </w:r>
    </w:p>
    <w:p w14:paraId="731AC902" w14:textId="1138CA5F" w:rsidR="004B1452" w:rsidRDefault="004B1452" w:rsidP="004B1452">
      <w:pPr>
        <w:rPr>
          <w:b/>
          <w:bCs/>
        </w:rPr>
      </w:pPr>
      <w:r w:rsidRPr="001F74B7">
        <w:rPr>
          <w:b/>
          <w:bCs/>
        </w:rPr>
        <w:lastRenderedPageBreak/>
        <w:t>Влияние на дыхательную систему</w:t>
      </w:r>
    </w:p>
    <w:p w14:paraId="5814AB78" w14:textId="77777777" w:rsidR="00281AB0" w:rsidRDefault="00281AB0" w:rsidP="004B1452">
      <w:pPr>
        <w:ind w:firstLine="851"/>
      </w:pPr>
    </w:p>
    <w:p w14:paraId="659E39A6" w14:textId="2FAEEE9D" w:rsidR="004B1452" w:rsidRDefault="004B1452" w:rsidP="00345DD3">
      <w:pPr>
        <w:ind w:firstLine="709"/>
      </w:pPr>
      <w:r>
        <w:t>Оцен</w:t>
      </w:r>
      <w:r w:rsidR="00345DD3">
        <w:t>ено</w:t>
      </w:r>
      <w:r>
        <w:t xml:space="preserve"> влияни</w:t>
      </w:r>
      <w:r w:rsidR="00345DD3">
        <w:t>е</w:t>
      </w:r>
      <w:r>
        <w:t xml:space="preserve"> применения линаглиптина на дыхательную систему </w:t>
      </w:r>
      <w:r w:rsidR="00345DD3">
        <w:t>крыс</w:t>
      </w:r>
      <w:r>
        <w:t>-самц</w:t>
      </w:r>
      <w:r w:rsidR="00345DD3">
        <w:t>ов</w:t>
      </w:r>
      <w:r>
        <w:t xml:space="preserve"> </w:t>
      </w:r>
      <w:r w:rsidRPr="00E2672D">
        <w:t xml:space="preserve">в дозах 6, 60 или 600 мг/кг. Не было обнаружено никакого влияния на частоту дыхания, </w:t>
      </w:r>
      <w:r w:rsidRPr="000C23F5">
        <w:t xml:space="preserve">дыхательный объем </w:t>
      </w:r>
      <w:r w:rsidRPr="00E2672D">
        <w:t xml:space="preserve">и минутный объем в дозах 6 и 60 мг/кг. Наблюдалось изолированное снижение частоты дыхания и впоследствии минутного объема без влияния на </w:t>
      </w:r>
      <w:r w:rsidRPr="008A5CF0">
        <w:t>дыхательный объем</w:t>
      </w:r>
      <w:r>
        <w:t xml:space="preserve"> </w:t>
      </w:r>
      <w:r w:rsidRPr="00E2672D">
        <w:t xml:space="preserve">через 30 минут после введения 600 мг/кг </w:t>
      </w:r>
      <w:r>
        <w:t xml:space="preserve">линаглиптина </w:t>
      </w:r>
      <w:r>
        <w:fldChar w:fldCharType="begin"/>
      </w:r>
      <w:r>
        <w:instrText xml:space="preserve"> ADDIN ZOTERO_ITEM CSL_CITATION {"citationID":"4kjbD5mH","properties":{"formattedCitation":"[3]","plainCitation":"[3]","noteIndex":0},"citationItems":[{"id":2978,"uris":["http://zotero.org/users/5483459/items/DHAYHB8P"],"itemData":{"id":2978,"type":"document","title":"U.S.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D176F2">
        <w:t>[3]</w:t>
      </w:r>
      <w:r>
        <w:fldChar w:fldCharType="end"/>
      </w:r>
      <w:r>
        <w:t>.</w:t>
      </w:r>
    </w:p>
    <w:p w14:paraId="4E60E4DF" w14:textId="77777777" w:rsidR="00281AB0" w:rsidRDefault="00281AB0" w:rsidP="004B1452">
      <w:pPr>
        <w:ind w:firstLine="851"/>
      </w:pPr>
    </w:p>
    <w:p w14:paraId="6E07C7A7" w14:textId="77777777" w:rsidR="004B1452" w:rsidRDefault="004B1452" w:rsidP="004B1452">
      <w:pPr>
        <w:rPr>
          <w:b/>
          <w:bCs/>
        </w:rPr>
      </w:pPr>
      <w:r w:rsidRPr="001F74B7">
        <w:rPr>
          <w:b/>
          <w:bCs/>
        </w:rPr>
        <w:t xml:space="preserve">Влияние на </w:t>
      </w:r>
      <w:r>
        <w:rPr>
          <w:b/>
          <w:bCs/>
        </w:rPr>
        <w:t xml:space="preserve">мочевыделительную систему </w:t>
      </w:r>
    </w:p>
    <w:p w14:paraId="5ACB0325" w14:textId="77777777" w:rsidR="00281AB0" w:rsidRDefault="00281AB0" w:rsidP="004B1452">
      <w:pPr>
        <w:ind w:firstLine="851"/>
      </w:pPr>
    </w:p>
    <w:p w14:paraId="3B833865" w14:textId="6B974293" w:rsidR="004B1452" w:rsidRDefault="004B1452" w:rsidP="00A250CB">
      <w:pPr>
        <w:ind w:firstLine="709"/>
      </w:pPr>
      <w:r w:rsidRPr="008F4AEC">
        <w:t xml:space="preserve">Оценка влияния линаглиптина на мочевыделительную систему </w:t>
      </w:r>
      <w:r w:rsidR="00345DD3">
        <w:t>выполнена</w:t>
      </w:r>
      <w:r w:rsidRPr="008F4AEC">
        <w:t xml:space="preserve"> на крысах, препарат вво</w:t>
      </w:r>
      <w:r w:rsidR="002526F2">
        <w:t>д</w:t>
      </w:r>
      <w:r w:rsidRPr="008F4AEC">
        <w:t xml:space="preserve">или через желудочный зонд в дозах 3, 10 или 30 мг/кг. </w:t>
      </w:r>
      <w:r w:rsidR="00345DD3">
        <w:t>Установлено</w:t>
      </w:r>
      <w:r w:rsidRPr="008F4AEC">
        <w:t>, что линаглиптин в испытанных дозах не оказ</w:t>
      </w:r>
      <w:r w:rsidR="006C55C0">
        <w:t>ыв</w:t>
      </w:r>
      <w:r w:rsidRPr="008F4AEC">
        <w:t>а</w:t>
      </w:r>
      <w:r w:rsidR="00A250CB">
        <w:t>ет</w:t>
      </w:r>
      <w:r w:rsidRPr="008F4AEC">
        <w:t xml:space="preserve"> влияния на функцию почек, </w:t>
      </w:r>
      <w:r w:rsidR="00A250CB">
        <w:t xml:space="preserve">показатели </w:t>
      </w:r>
      <w:r w:rsidRPr="008F4AEC">
        <w:t>анализ</w:t>
      </w:r>
      <w:r w:rsidR="00A250CB">
        <w:t>а</w:t>
      </w:r>
      <w:r w:rsidRPr="008F4AEC">
        <w:t xml:space="preserve"> мочи и электролиты сыворотки крови</w:t>
      </w:r>
      <w:r w:rsidR="002526F2">
        <w:t xml:space="preserve"> </w:t>
      </w:r>
      <w:r w:rsidR="002526F2">
        <w:fldChar w:fldCharType="begin"/>
      </w:r>
      <w:r w:rsidR="002526F2">
        <w:instrText xml:space="preserve"> ADDIN ZOTERO_ITEM CSL_CITATION {"citationID":"t9r6vSxf","properties":{"formattedCitation":"[3]","plainCitation":"[3]","noteIndex":0},"citationItems":[{"id":2978,"uris":["http://zotero.org/users/5483459/items/DHAYHB8P"],"itemData":{"id":2978,"type":"document","title":"U.S.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rsidR="002526F2">
        <w:fldChar w:fldCharType="separate"/>
      </w:r>
      <w:r w:rsidR="002526F2" w:rsidRPr="00D176F2">
        <w:t>[3]</w:t>
      </w:r>
      <w:r w:rsidR="002526F2">
        <w:fldChar w:fldCharType="end"/>
      </w:r>
      <w:r w:rsidRPr="008F4AEC">
        <w:t xml:space="preserve">. </w:t>
      </w:r>
    </w:p>
    <w:p w14:paraId="1AF3738F" w14:textId="77777777" w:rsidR="00281AB0" w:rsidRPr="008F4AEC" w:rsidRDefault="00281AB0" w:rsidP="004B1452">
      <w:pPr>
        <w:ind w:firstLine="851"/>
      </w:pPr>
    </w:p>
    <w:p w14:paraId="341755BB" w14:textId="77777777" w:rsidR="004B1452" w:rsidRDefault="004B1452" w:rsidP="004B1452">
      <w:pPr>
        <w:rPr>
          <w:b/>
          <w:bCs/>
        </w:rPr>
      </w:pPr>
      <w:r w:rsidRPr="001F74B7">
        <w:rPr>
          <w:b/>
          <w:bCs/>
        </w:rPr>
        <w:t>Влияние на желудочно-кишечный тракт</w:t>
      </w:r>
    </w:p>
    <w:p w14:paraId="50997EC9" w14:textId="77777777" w:rsidR="00281AB0" w:rsidRDefault="00281AB0" w:rsidP="004B1452">
      <w:pPr>
        <w:ind w:firstLine="851"/>
      </w:pPr>
    </w:p>
    <w:p w14:paraId="7E40B501" w14:textId="6AB19329" w:rsidR="004B1452" w:rsidRDefault="004B1452" w:rsidP="00A250CB">
      <w:pPr>
        <w:ind w:firstLine="709"/>
      </w:pPr>
      <w:r w:rsidRPr="005A269F">
        <w:t xml:space="preserve">Возможные эффекты </w:t>
      </w:r>
      <w:r>
        <w:t xml:space="preserve">линаглиптина </w:t>
      </w:r>
      <w:r w:rsidRPr="005A269F">
        <w:t xml:space="preserve">на </w:t>
      </w:r>
      <w:r w:rsidRPr="00FC07EB">
        <w:t>желудочно-кишечный тракт</w:t>
      </w:r>
      <w:r w:rsidRPr="005A269F">
        <w:t xml:space="preserve"> были исследованы на крысах</w:t>
      </w:r>
      <w:r>
        <w:t xml:space="preserve"> в дозах 3, 10 или 30 мг/кг, препарат вводился перорально или интрадуоденально. После интрадуоденального введения линаглиптина, влияние </w:t>
      </w:r>
      <w:r w:rsidR="003D05BA">
        <w:t xml:space="preserve">препарата </w:t>
      </w:r>
      <w:r>
        <w:t xml:space="preserve">на желудочно-дуоденальный отдел оценивалось у крыс с перевязанным привратником. </w:t>
      </w:r>
      <w:r w:rsidR="003D05BA">
        <w:t>Линаглиптин в</w:t>
      </w:r>
      <w:r>
        <w:t xml:space="preserve"> дозах 10 и 30 мг/кг приводил к незначительному снижению объема желудочного сока. Влияние на скорость опорожнения желудка после перорального приема отсутствовало. Наблюдалось незначительное дозозависимое снижение кишечного транзита после каждого перорального приема линаглиптина </w:t>
      </w:r>
      <w:r>
        <w:fldChar w:fldCharType="begin"/>
      </w:r>
      <w:r>
        <w:instrText xml:space="preserve"> ADDIN ZOTERO_ITEM CSL_CITATION {"citationID":"t9r6vSxf","properties":{"formattedCitation":"[3]","plainCitation":"[3]","noteIndex":0},"citationItems":[{"id":2978,"uris":["http://zotero.org/users/5483459/items/DHAYHB8P"],"itemData":{"id":2978,"type":"document","title":"U.S.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D176F2">
        <w:t>[3]</w:t>
      </w:r>
      <w:r>
        <w:fldChar w:fldCharType="end"/>
      </w:r>
      <w:bookmarkEnd w:id="103"/>
      <w:r>
        <w:t>.</w:t>
      </w:r>
    </w:p>
    <w:p w14:paraId="4F2C030A" w14:textId="77777777" w:rsidR="00281AB0" w:rsidRDefault="00281AB0" w:rsidP="004B1452">
      <w:pPr>
        <w:rPr>
          <w:b/>
          <w:bCs/>
        </w:rPr>
      </w:pPr>
    </w:p>
    <w:p w14:paraId="136CF1E9" w14:textId="5439F9AB" w:rsidR="004B1452" w:rsidRDefault="004B1452" w:rsidP="004B1452">
      <w:pPr>
        <w:rPr>
          <w:b/>
          <w:bCs/>
        </w:rPr>
      </w:pPr>
      <w:r w:rsidRPr="001F74B7">
        <w:rPr>
          <w:b/>
          <w:bCs/>
        </w:rPr>
        <w:t xml:space="preserve">Влияние на </w:t>
      </w:r>
      <w:r>
        <w:rPr>
          <w:b/>
          <w:bCs/>
        </w:rPr>
        <w:t xml:space="preserve">лабораторные показатели </w:t>
      </w:r>
    </w:p>
    <w:p w14:paraId="1D616E8F" w14:textId="77777777" w:rsidR="00281AB0" w:rsidRDefault="00281AB0" w:rsidP="004B1452">
      <w:pPr>
        <w:ind w:firstLine="993"/>
      </w:pPr>
    </w:p>
    <w:p w14:paraId="55892593" w14:textId="144B5414" w:rsidR="004B1452" w:rsidRDefault="004B1452" w:rsidP="003D05BA">
      <w:pPr>
        <w:ind w:firstLine="709"/>
      </w:pPr>
      <w:r>
        <w:t xml:space="preserve">Оценка влияния линаглиптина на лабораторные показатели </w:t>
      </w:r>
      <w:r w:rsidRPr="00A6776C">
        <w:t>проведен</w:t>
      </w:r>
      <w:r w:rsidR="003D05BA">
        <w:t>а</w:t>
      </w:r>
      <w:r w:rsidRPr="00A6776C">
        <w:t xml:space="preserve"> на крысах</w:t>
      </w:r>
      <w:r>
        <w:t xml:space="preserve">, препарат вводили через желудочный зонд </w:t>
      </w:r>
      <w:r w:rsidRPr="00170130">
        <w:t xml:space="preserve">в дозах 3, 10 или 30 мг/кг. </w:t>
      </w:r>
      <w:r w:rsidR="003D05BA">
        <w:t>Установлено</w:t>
      </w:r>
      <w:r>
        <w:t xml:space="preserve">, что линаглиптин </w:t>
      </w:r>
      <w:r w:rsidRPr="00170130">
        <w:t xml:space="preserve">в дозах </w:t>
      </w:r>
      <w:r w:rsidR="002526F2" w:rsidRPr="00170130">
        <w:t>3</w:t>
      </w:r>
      <w:r w:rsidR="002526F2">
        <w:t xml:space="preserve"> и </w:t>
      </w:r>
      <w:r w:rsidR="002526F2" w:rsidRPr="00170130">
        <w:t xml:space="preserve">10 мг/кг </w:t>
      </w:r>
      <w:r w:rsidRPr="00170130">
        <w:t>не оказ</w:t>
      </w:r>
      <w:r w:rsidR="00B44F57">
        <w:t>ывал</w:t>
      </w:r>
      <w:r w:rsidRPr="00170130">
        <w:t xml:space="preserve"> влияния на </w:t>
      </w:r>
      <w:r>
        <w:t>биохимические показатели плазмы крови.</w:t>
      </w:r>
      <w:r w:rsidRPr="00170130">
        <w:t xml:space="preserve"> В дозе 30 мг/кг </w:t>
      </w:r>
      <w:r>
        <w:t xml:space="preserve">линаглиптин </w:t>
      </w:r>
      <w:r w:rsidRPr="00170130">
        <w:t xml:space="preserve">увеличил </w:t>
      </w:r>
      <w:r>
        <w:t>уровень белка в плазме,</w:t>
      </w:r>
      <w:r w:rsidRPr="00170130">
        <w:t xml:space="preserve">  </w:t>
      </w:r>
      <w:r>
        <w:t xml:space="preserve">уровень </w:t>
      </w:r>
      <w:r w:rsidRPr="00170130">
        <w:t>свободны</w:t>
      </w:r>
      <w:r>
        <w:t>х</w:t>
      </w:r>
      <w:r w:rsidRPr="00170130">
        <w:t xml:space="preserve"> жирны</w:t>
      </w:r>
      <w:r>
        <w:t>х</w:t>
      </w:r>
      <w:r w:rsidRPr="00170130">
        <w:t xml:space="preserve"> кислот, общ</w:t>
      </w:r>
      <w:r>
        <w:t>его</w:t>
      </w:r>
      <w:r w:rsidRPr="00170130">
        <w:t xml:space="preserve"> билирубин</w:t>
      </w:r>
      <w:r>
        <w:t>а</w:t>
      </w:r>
      <w:r w:rsidRPr="00170130">
        <w:t xml:space="preserve"> и АЛТ</w:t>
      </w:r>
      <w:r>
        <w:t xml:space="preserve"> </w:t>
      </w:r>
      <w:r>
        <w:fldChar w:fldCharType="begin"/>
      </w:r>
      <w:r>
        <w:instrText xml:space="preserve"> ADDIN ZOTERO_ITEM CSL_CITATION {"citationID":"zkC8M5Wg","properties":{"formattedCitation":"[3]","plainCitation":"[3]","noteIndex":0},"citationItems":[{"id":2978,"uris":["http://zotero.org/users/5483459/items/DHAYHB8P"],"itemData":{"id":2978,"type":"document","title":"U.S.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D176F2">
        <w:t>[3]</w:t>
      </w:r>
      <w:r>
        <w:fldChar w:fldCharType="end"/>
      </w:r>
      <w:r>
        <w:t>.</w:t>
      </w:r>
    </w:p>
    <w:p w14:paraId="09735F82" w14:textId="3548A925" w:rsidR="004B1452" w:rsidRDefault="004B1452" w:rsidP="003D05BA">
      <w:pPr>
        <w:ind w:firstLine="709"/>
      </w:pPr>
      <w:r>
        <w:t>Таким образом, при оценк</w:t>
      </w:r>
      <w:r w:rsidR="00B44F57">
        <w:t>е</w:t>
      </w:r>
      <w:r>
        <w:t xml:space="preserve"> влияния линаглиптина на сердечно-сосудистую систему не наблюдалось изменений артериального давления, частоты сердечных сокращений у крыс и собак, а </w:t>
      </w:r>
      <w:r w:rsidR="00B44F57">
        <w:t>также изменений</w:t>
      </w:r>
      <w:r>
        <w:t xml:space="preserve"> </w:t>
      </w:r>
      <w:r w:rsidR="00B44F57">
        <w:t xml:space="preserve">на </w:t>
      </w:r>
      <w:r>
        <w:t xml:space="preserve">ЭКГ при дозах до 30 мг/кг у крыс и 10 мг/кг у собак. </w:t>
      </w:r>
      <w:r w:rsidR="00B44F57">
        <w:t>Н</w:t>
      </w:r>
      <w:r>
        <w:t>аблюдалось снижение частоты дыхания и минутного объема дыхания при дозе 600 мг/кг у крыс. При оценке лабораторных показателей отмечалось увеличение содержания белка, холестерина и свободных жирных кислот при дозе 30 мг/кг у крыс. При оценк</w:t>
      </w:r>
      <w:r w:rsidR="00B44F57">
        <w:t>е</w:t>
      </w:r>
      <w:r>
        <w:t xml:space="preserve"> влияния линаглиптина на желуд</w:t>
      </w:r>
      <w:r w:rsidR="00F5171D">
        <w:t xml:space="preserve">очно-кишечный тракт отмечалось </w:t>
      </w:r>
      <w:r>
        <w:t>незначительное снижение объема желудочного сока и выхода кислоты при дозах 10 и 30 мг/кг у крыс.</w:t>
      </w:r>
    </w:p>
    <w:p w14:paraId="2A23AF4E" w14:textId="77777777" w:rsidR="004B1452" w:rsidRDefault="004B1452" w:rsidP="004B1452">
      <w:pPr>
        <w:spacing w:before="240" w:after="240"/>
        <w:outlineLvl w:val="2"/>
        <w:rPr>
          <w:b/>
          <w:color w:val="000000" w:themeColor="text1"/>
        </w:rPr>
      </w:pPr>
      <w:bookmarkStart w:id="104" w:name="_Toc139361955"/>
      <w:r w:rsidRPr="005E6358">
        <w:rPr>
          <w:b/>
          <w:color w:val="000000" w:themeColor="text1"/>
        </w:rPr>
        <w:t>3.1.</w:t>
      </w:r>
      <w:r>
        <w:rPr>
          <w:b/>
          <w:color w:val="000000" w:themeColor="text1"/>
        </w:rPr>
        <w:t>5</w:t>
      </w:r>
      <w:r w:rsidRPr="005E6358">
        <w:rPr>
          <w:b/>
          <w:color w:val="000000" w:themeColor="text1"/>
        </w:rPr>
        <w:t>. Фармакодинамические лекарственные взаимодействия</w:t>
      </w:r>
      <w:bookmarkEnd w:id="104"/>
    </w:p>
    <w:p w14:paraId="36091C34" w14:textId="610A010A" w:rsidR="004B1452" w:rsidRDefault="004B1452" w:rsidP="00F5171D">
      <w:pPr>
        <w:ind w:firstLine="709"/>
      </w:pPr>
      <w:r w:rsidRPr="00B040AE">
        <w:t xml:space="preserve">Линаглиптин является субстратом CYP3A4 и транспортеров </w:t>
      </w:r>
      <w:r w:rsidR="00B268AF" w:rsidRPr="005B2F71">
        <w:t>P-гликопротеин</w:t>
      </w:r>
      <w:r w:rsidR="00B268AF">
        <w:t>а</w:t>
      </w:r>
      <w:r w:rsidR="00B268AF" w:rsidRPr="00B040AE">
        <w:t xml:space="preserve"> </w:t>
      </w:r>
      <w:r w:rsidR="00B268AF">
        <w:t>(</w:t>
      </w:r>
      <w:r w:rsidRPr="00B040AE">
        <w:t>P-gp</w:t>
      </w:r>
      <w:r w:rsidR="00B268AF">
        <w:t>)</w:t>
      </w:r>
      <w:r w:rsidRPr="00B040AE">
        <w:t xml:space="preserve"> и </w:t>
      </w:r>
      <w:r w:rsidR="00B268AF">
        <w:t>п</w:t>
      </w:r>
      <w:r w:rsidR="00B268AF" w:rsidRPr="00B268AF">
        <w:t>ереносчик</w:t>
      </w:r>
      <w:r w:rsidR="00B268AF">
        <w:t>а</w:t>
      </w:r>
      <w:r w:rsidR="00B268AF" w:rsidRPr="00B268AF">
        <w:t xml:space="preserve"> органических катионов </w:t>
      </w:r>
      <w:r w:rsidR="00B268AF">
        <w:t>(</w:t>
      </w:r>
      <w:r w:rsidRPr="00B040AE">
        <w:t>OCT2</w:t>
      </w:r>
      <w:r w:rsidR="00B268AF">
        <w:t>)</w:t>
      </w:r>
      <w:r w:rsidR="00D27678">
        <w:t>.</w:t>
      </w:r>
      <w:r w:rsidRPr="00B040AE">
        <w:t xml:space="preserve"> </w:t>
      </w:r>
      <w:r w:rsidR="002762C1" w:rsidRPr="005B2F71">
        <w:rPr>
          <w:rFonts w:eastAsia="Times New Roman"/>
          <w:iCs/>
          <w:lang w:eastAsia="ru-RU"/>
        </w:rPr>
        <w:t>Константа Михаэлиса</w:t>
      </w:r>
      <w:r w:rsidR="002762C1">
        <w:rPr>
          <w:rFonts w:eastAsia="Times New Roman"/>
          <w:iCs/>
          <w:lang w:eastAsia="ru-RU"/>
        </w:rPr>
        <w:t xml:space="preserve"> (</w:t>
      </w:r>
      <w:r w:rsidRPr="00B040AE">
        <w:t>Km</w:t>
      </w:r>
      <w:r w:rsidR="002762C1">
        <w:t>),</w:t>
      </w:r>
      <w:r w:rsidRPr="00B040AE">
        <w:t xml:space="preserve"> связанного с P-gp транспорта составлял</w:t>
      </w:r>
      <w:r w:rsidR="000C291B">
        <w:t>а</w:t>
      </w:r>
      <w:r w:rsidRPr="00B040AE">
        <w:t xml:space="preserve"> 187 мкМ, а разница в поглощении линаглиптина с ингибитором OCT2 или без него составляла более 10 мкл/5 мин/мг. </w:t>
      </w:r>
      <w:r w:rsidR="002762C1" w:rsidRPr="00B040AE">
        <w:t xml:space="preserve">Линаглиптин </w:t>
      </w:r>
      <w:r w:rsidRPr="00B040AE">
        <w:t xml:space="preserve">не является субстратом </w:t>
      </w:r>
      <w:r w:rsidRPr="00B040AE">
        <w:lastRenderedPageBreak/>
        <w:t xml:space="preserve">OATP1B1/1B3, OAT1/3/4 и OCT1. В исследовании </w:t>
      </w:r>
      <w:r w:rsidRPr="00356C61">
        <w:rPr>
          <w:i/>
          <w:iCs/>
        </w:rPr>
        <w:t>in vitro</w:t>
      </w:r>
      <w:r w:rsidRPr="00B040AE">
        <w:t xml:space="preserve"> линаглиптин ингибировал CYP3A4, но не ингибировал и не индуцировал другие изоферменты CYP. Линаглиптин оказывал ингибирующее действие только на OCT1 и OCT2, и эта эффективность ингибирования различалась в зависимости от субстрата. Линаглиптин не ингибирует P-gp в терапевтических концентрациях </w:t>
      </w:r>
      <w:r w:rsidRPr="00B040AE">
        <w:fldChar w:fldCharType="begin"/>
      </w:r>
      <w:r w:rsidRPr="00B040AE">
        <w:instrText xml:space="preserve"> ADDIN ZOTERO_ITEM CSL_CITATION {"citationID":"53yXGHFO","properties":{"formattedCitation":"[8]","plainCitation":"[8]","noteIndex":0},"citationItems":[{"id":3030,"uris":["http://zotero.org/users/5483459/items/2E24C9VQ"],"itemData":{"id":3030,"type":"article-journal","abstract":"Gu N, et al. Transl Clin Pharmacol. 2020 Mar;28(1):17-33. https://doi.org/10.12793/tcp.2020.28.e4","container-title":"Translational and Clinical Pharmacology","DOI":"10.12793/tcp.2020.28.e4","ISSN":"2289-0882","issue":"1","language":"English","page":"17-33","source":"tcpharm.org","title":"Possibility of pharmacokinetic drug interaction between a DPP-4 inhibitor and a SGLT2 inhibitor","volume":"28","author":[{"family":"Gu","given":"Namyi"},{"family":"Park","given":"Sang-In"},{"family":"Chung","given":"Hyewon"},{"family":"Jin","given":"Xuanyou"},{"family":"Lee","given":"SeungHwan"},{"family":"Kim","given":"Tae-Eun"}],"issued":{"date-parts":[["2020",3]]}}}],"schema":"https://github.com/citation-style-language/schema/raw/master/csl-citation.json"} </w:instrText>
      </w:r>
      <w:r w:rsidRPr="00B040AE">
        <w:fldChar w:fldCharType="separate"/>
      </w:r>
      <w:r w:rsidRPr="00B040AE">
        <w:t>[8]</w:t>
      </w:r>
      <w:r w:rsidRPr="00B040AE">
        <w:fldChar w:fldCharType="end"/>
      </w:r>
      <w:r w:rsidRPr="00B040AE">
        <w:t>.</w:t>
      </w:r>
    </w:p>
    <w:p w14:paraId="168BBAB4" w14:textId="5E10746A" w:rsidR="004B1452" w:rsidRPr="00D50D19" w:rsidRDefault="004B1452" w:rsidP="004B1452">
      <w:pPr>
        <w:ind w:firstLine="709"/>
        <w:rPr>
          <w:bCs/>
        </w:rPr>
      </w:pPr>
      <w:r w:rsidRPr="00D50D19">
        <w:rPr>
          <w:bCs/>
        </w:rPr>
        <w:t>При изучении влияния на метаболизм глюкозы  на модели СД 2 у мышей,  введение комбинации метформина (противодиабетический препарат</w:t>
      </w:r>
      <w:r w:rsidR="00352455">
        <w:rPr>
          <w:bCs/>
        </w:rPr>
        <w:t>,</w:t>
      </w:r>
      <w:r w:rsidRPr="00D50D19">
        <w:rPr>
          <w:bCs/>
        </w:rPr>
        <w:t xml:space="preserve"> который </w:t>
      </w:r>
      <w:r w:rsidR="00352455">
        <w:rPr>
          <w:bCs/>
        </w:rPr>
        <w:t xml:space="preserve">снижает уровень глюкозы </w:t>
      </w:r>
      <w:r w:rsidRPr="00D50D19">
        <w:rPr>
          <w:bCs/>
        </w:rPr>
        <w:t>за счет подавления печеночного глюконеогенеза), а линаглиптина оказывал аддитивный эффект на гликемический контроль по сравнению с соответствующ</w:t>
      </w:r>
      <w:r w:rsidR="00352455">
        <w:rPr>
          <w:bCs/>
        </w:rPr>
        <w:t>ей</w:t>
      </w:r>
      <w:r w:rsidRPr="00D50D19">
        <w:rPr>
          <w:bCs/>
        </w:rPr>
        <w:t xml:space="preserve"> монотерапи</w:t>
      </w:r>
      <w:r w:rsidR="00352455">
        <w:rPr>
          <w:bCs/>
        </w:rPr>
        <w:t>ей</w:t>
      </w:r>
      <w:r>
        <w:rPr>
          <w:bCs/>
        </w:rPr>
        <w:t xml:space="preserve"> </w:t>
      </w:r>
      <w:r>
        <w:rPr>
          <w:bCs/>
        </w:rPr>
        <w:fldChar w:fldCharType="begin"/>
      </w:r>
      <w:r>
        <w:rPr>
          <w:bCs/>
        </w:rPr>
        <w:instrText xml:space="preserve"> ADDIN ZOTERO_ITEM CSL_CITATION {"citationID":"oVfx3Wts","properties":{"formattedCitation":"[2]","plainCitation":"[2]","noteIndex":0},"citationItems":[{"id":2939,"uris":["http://zotero.org/users/5483459/items/SJBZ4HU2"],"itemData":{"id":2939,"type":"document","title":"European  Medicines Agency.Assessment report Trajenta (linagliptin). Procedure No.: EMEA/H/C/002110/0000"}}],"schema":"https://github.com/citation-style-language/schema/raw/master/csl-citation.json"} </w:instrText>
      </w:r>
      <w:r>
        <w:rPr>
          <w:bCs/>
        </w:rPr>
        <w:fldChar w:fldCharType="separate"/>
      </w:r>
      <w:r w:rsidRPr="0051179E">
        <w:t>[2]</w:t>
      </w:r>
      <w:r>
        <w:rPr>
          <w:bCs/>
        </w:rPr>
        <w:fldChar w:fldCharType="end"/>
      </w:r>
      <w:r>
        <w:rPr>
          <w:bCs/>
        </w:rPr>
        <w:t>.</w:t>
      </w:r>
    </w:p>
    <w:p w14:paraId="09864DA2" w14:textId="77777777" w:rsidR="004B1452" w:rsidRDefault="004B1452" w:rsidP="004B1452">
      <w:pPr>
        <w:pStyle w:val="2"/>
        <w:tabs>
          <w:tab w:val="left" w:pos="284"/>
          <w:tab w:val="left" w:pos="567"/>
        </w:tabs>
        <w:spacing w:line="240" w:lineRule="auto"/>
        <w:rPr>
          <w:color w:val="000000" w:themeColor="text1"/>
        </w:rPr>
      </w:pPr>
      <w:bookmarkStart w:id="105" w:name="_Toc139361956"/>
      <w:bookmarkEnd w:id="99"/>
      <w:bookmarkEnd w:id="100"/>
      <w:r w:rsidRPr="005E6358">
        <w:rPr>
          <w:color w:val="000000" w:themeColor="text1"/>
        </w:rPr>
        <w:t>3.2. Доклиническая фармакокинетика</w:t>
      </w:r>
      <w:bookmarkEnd w:id="105"/>
    </w:p>
    <w:p w14:paraId="005CE2D9" w14:textId="12E88F8E" w:rsidR="004B1452" w:rsidRPr="00D36158" w:rsidRDefault="004B1452" w:rsidP="00BA12C2">
      <w:pPr>
        <w:ind w:firstLine="709"/>
      </w:pPr>
      <w:bookmarkStart w:id="106" w:name="_Hlk121100029"/>
      <w:r w:rsidRPr="00D36158">
        <w:t xml:space="preserve">Фармакокинетика линаглиптина оценивалась </w:t>
      </w:r>
      <w:r w:rsidRPr="00D36158">
        <w:rPr>
          <w:i/>
          <w:iCs/>
        </w:rPr>
        <w:t>in vivo</w:t>
      </w:r>
      <w:r w:rsidRPr="00D36158">
        <w:t xml:space="preserve"> после перорального введения у мышей, крыс, собак и обезьян. </w:t>
      </w:r>
      <w:bookmarkEnd w:id="106"/>
      <w:r w:rsidRPr="00D36158">
        <w:t>Образцы плазмы, собранные у мышей, крыс, собак и обезьян в ходе токсикокинетических исследований, анализировали с помощью</w:t>
      </w:r>
      <w:r w:rsidR="006602E5">
        <w:t xml:space="preserve"> в</w:t>
      </w:r>
      <w:r w:rsidR="006602E5" w:rsidRPr="006602E5">
        <w:t>ысокоэффективн</w:t>
      </w:r>
      <w:r w:rsidR="006602E5">
        <w:t>ой</w:t>
      </w:r>
      <w:r w:rsidR="006602E5" w:rsidRPr="006602E5">
        <w:t xml:space="preserve"> жидкостн</w:t>
      </w:r>
      <w:r w:rsidR="006602E5">
        <w:t>ой</w:t>
      </w:r>
      <w:r w:rsidR="006602E5" w:rsidRPr="006602E5">
        <w:t xml:space="preserve"> хроматографи</w:t>
      </w:r>
      <w:r w:rsidR="006602E5">
        <w:t>и (</w:t>
      </w:r>
      <w:r w:rsidRPr="00D36158">
        <w:t>ВЭЖХ</w:t>
      </w:r>
      <w:r w:rsidR="006602E5">
        <w:t>)</w:t>
      </w:r>
      <w:r w:rsidR="00591BB7">
        <w:t>.</w:t>
      </w:r>
      <w:r w:rsidRPr="00D36158">
        <w:t xml:space="preserve"> После введения радиоактивно</w:t>
      </w:r>
      <w:r w:rsidR="002C1A5B">
        <w:t xml:space="preserve"> меченного</w:t>
      </w:r>
      <w:r w:rsidRPr="00D36158">
        <w:t xml:space="preserve"> </w:t>
      </w:r>
      <w:r w:rsidRPr="00591BB7">
        <w:rPr>
          <w:vertAlign w:val="superscript"/>
        </w:rPr>
        <w:t>14</w:t>
      </w:r>
      <w:r w:rsidRPr="00D36158">
        <w:t xml:space="preserve">C- линаглиптина радиоактивность измеряли жидкостным сцинтилляционным счетчиком (ЖСС). </w:t>
      </w:r>
    </w:p>
    <w:p w14:paraId="06774BA5" w14:textId="337FB04D" w:rsidR="004B1452" w:rsidRDefault="004B1452" w:rsidP="00BA12C2">
      <w:pPr>
        <w:ind w:firstLine="709"/>
      </w:pPr>
      <w:r>
        <w:t>Оценка распределени</w:t>
      </w:r>
      <w:r w:rsidR="002C1A5B">
        <w:t xml:space="preserve">я </w:t>
      </w:r>
      <w:r w:rsidRPr="00D36158">
        <w:t xml:space="preserve">линаглиптина </w:t>
      </w:r>
      <w:r>
        <w:t>в тканях был</w:t>
      </w:r>
      <w:r w:rsidR="002C1A5B">
        <w:t>а</w:t>
      </w:r>
      <w:r>
        <w:t xml:space="preserve"> подтвержден</w:t>
      </w:r>
      <w:r w:rsidR="002C1A5B">
        <w:t>а</w:t>
      </w:r>
      <w:r>
        <w:t xml:space="preserve"> в исследованиях авторадиографии.</w:t>
      </w:r>
    </w:p>
    <w:p w14:paraId="1EBEBE02" w14:textId="77777777" w:rsidR="004B1452" w:rsidRDefault="004B1452" w:rsidP="004B1452">
      <w:pPr>
        <w:spacing w:before="240" w:after="240"/>
        <w:outlineLvl w:val="2"/>
        <w:rPr>
          <w:b/>
          <w:bCs/>
          <w:iCs/>
          <w:color w:val="000000" w:themeColor="text1"/>
          <w:szCs w:val="28"/>
        </w:rPr>
      </w:pPr>
      <w:bookmarkStart w:id="107" w:name="_Toc484199228"/>
      <w:bookmarkStart w:id="108" w:name="_Toc10578060"/>
      <w:bookmarkStart w:id="109" w:name="_Hlk521883862"/>
      <w:bookmarkStart w:id="110" w:name="_Toc483835323"/>
      <w:bookmarkStart w:id="111" w:name="_Toc484591394"/>
      <w:bookmarkStart w:id="112" w:name="_Toc415001099"/>
      <w:bookmarkStart w:id="113" w:name="_Toc298775544"/>
      <w:bookmarkStart w:id="114" w:name="_Toc139361957"/>
      <w:r w:rsidRPr="001B1959">
        <w:rPr>
          <w:b/>
          <w:color w:val="000000" w:themeColor="text1"/>
        </w:rPr>
        <w:t>3</w:t>
      </w:r>
      <w:r>
        <w:rPr>
          <w:b/>
          <w:color w:val="000000" w:themeColor="text1"/>
        </w:rPr>
        <w:t xml:space="preserve">.2.1. </w:t>
      </w:r>
      <w:bookmarkEnd w:id="107"/>
      <w:bookmarkEnd w:id="108"/>
      <w:r>
        <w:rPr>
          <w:b/>
          <w:bCs/>
          <w:iCs/>
          <w:color w:val="000000" w:themeColor="text1"/>
          <w:szCs w:val="28"/>
        </w:rPr>
        <w:t>Всасывание</w:t>
      </w:r>
      <w:bookmarkEnd w:id="114"/>
    </w:p>
    <w:p w14:paraId="168C0A4A" w14:textId="4D174F9A" w:rsidR="004B1452" w:rsidRPr="00D15235" w:rsidRDefault="004B1452" w:rsidP="002C1A5B">
      <w:pPr>
        <w:ind w:firstLine="709"/>
      </w:pPr>
      <w:bookmarkStart w:id="115" w:name="_Hlk121100001"/>
      <w:r w:rsidRPr="00D15235">
        <w:t>Линаглиптин быстро всасывается после перорального приема, T</w:t>
      </w:r>
      <w:r w:rsidRPr="00705C41">
        <w:rPr>
          <w:vertAlign w:val="subscript"/>
        </w:rPr>
        <w:t>max</w:t>
      </w:r>
      <w:r w:rsidRPr="00D15235">
        <w:t xml:space="preserve"> обычно достигается через 30-60 минут после приема</w:t>
      </w:r>
      <w:r>
        <w:t xml:space="preserve"> у экспериментальных животных (мыши, крысы, собаки и обезьяны), </w:t>
      </w:r>
      <w:r w:rsidRPr="00D15235">
        <w:t>T</w:t>
      </w:r>
      <w:r w:rsidRPr="00705C41">
        <w:rPr>
          <w:vertAlign w:val="subscript"/>
        </w:rPr>
        <w:t>max</w:t>
      </w:r>
      <w:r w:rsidRPr="00D15235">
        <w:t xml:space="preserve"> = 1,5 часа у людей. Двухфазная абсорбция наблюдалась у крыс после однократного перорального приема с быстрым достижением T</w:t>
      </w:r>
      <w:r w:rsidRPr="00D36158">
        <w:rPr>
          <w:vertAlign w:val="subscript"/>
        </w:rPr>
        <w:t>max</w:t>
      </w:r>
      <w:r w:rsidRPr="00D15235">
        <w:t xml:space="preserve"> в плазме через 30 минут, за которым последовал второй, более низкий пик в плазме через 4 часа после приема </w:t>
      </w:r>
      <w:r>
        <w:t>л</w:t>
      </w:r>
      <w:r w:rsidRPr="00D15235">
        <w:t>инаглиптин</w:t>
      </w:r>
      <w:r>
        <w:t>а</w:t>
      </w:r>
      <w:r w:rsidRPr="00D15235">
        <w:t xml:space="preserve">. Двухфазная абсорбция не наблюдалась после многократного приема. Пероральная биодоступность варьировалась от 18% до 69% у разных видов </w:t>
      </w:r>
      <w:r>
        <w:t>животных</w:t>
      </w:r>
      <w:r w:rsidR="00591BB7">
        <w:t xml:space="preserve"> </w:t>
      </w:r>
      <w:r w:rsidR="00591BB7">
        <w:fldChar w:fldCharType="begin"/>
      </w:r>
      <w:r w:rsidR="00591BB7">
        <w:instrText xml:space="preserve"> ADDIN ZOTERO_ITEM CSL_CITATION {"citationID":"nPQVyMFO","properties":{"formattedCitation":"[3]","plainCitation":"[3]","noteIndex":0},"citationItems":[{"id":2978,"uris":["http://zotero.org/users/5483459/items/DHAYHB8P"],"itemData":{"id":2978,"type":"document","title":"U.S.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rsidR="00591BB7">
        <w:fldChar w:fldCharType="separate"/>
      </w:r>
      <w:r w:rsidR="00591BB7" w:rsidRPr="00827CAB">
        <w:t>[3]</w:t>
      </w:r>
      <w:r w:rsidR="00591BB7">
        <w:fldChar w:fldCharType="end"/>
      </w:r>
      <w:r>
        <w:t>.</w:t>
      </w:r>
      <w:r w:rsidRPr="00D15235">
        <w:t xml:space="preserve"> </w:t>
      </w:r>
    </w:p>
    <w:p w14:paraId="08E224C4" w14:textId="77777777" w:rsidR="004B1452" w:rsidRDefault="004B1452" w:rsidP="004B1452">
      <w:pPr>
        <w:spacing w:before="240" w:after="240"/>
        <w:outlineLvl w:val="2"/>
        <w:rPr>
          <w:b/>
          <w:bCs/>
          <w:color w:val="000000" w:themeColor="text1"/>
        </w:rPr>
      </w:pPr>
      <w:bookmarkStart w:id="116" w:name="_Toc484199229"/>
      <w:bookmarkStart w:id="117" w:name="_Toc10578061"/>
      <w:bookmarkStart w:id="118" w:name="_Toc139361958"/>
      <w:bookmarkEnd w:id="115"/>
      <w:r>
        <w:rPr>
          <w:b/>
          <w:color w:val="000000" w:themeColor="text1"/>
        </w:rPr>
        <w:t xml:space="preserve">3.2.2. </w:t>
      </w:r>
      <w:bookmarkEnd w:id="116"/>
      <w:bookmarkEnd w:id="117"/>
      <w:r>
        <w:rPr>
          <w:b/>
          <w:bCs/>
          <w:color w:val="000000" w:themeColor="text1"/>
        </w:rPr>
        <w:t>Распределение</w:t>
      </w:r>
      <w:bookmarkEnd w:id="118"/>
    </w:p>
    <w:p w14:paraId="66A9218B" w14:textId="2AE51B04" w:rsidR="004B1452" w:rsidRDefault="004B1452" w:rsidP="00111BC4">
      <w:pPr>
        <w:ind w:firstLine="709"/>
      </w:pPr>
      <w:bookmarkStart w:id="119" w:name="_Hlk121100060"/>
      <w:r>
        <w:t xml:space="preserve">Объем распределения линаглиптин был высоким у всех видов животных (&gt;5 л/кг), самым высоким был в почках, печени, легких, селезенке и тимусе крыс и мышей, </w:t>
      </w:r>
      <w:r w:rsidR="00111BC4">
        <w:t xml:space="preserve">линаглиптин </w:t>
      </w:r>
      <w:r>
        <w:t xml:space="preserve">не определялся в мозге и мышцах </w:t>
      </w:r>
      <w:r>
        <w:fldChar w:fldCharType="begin"/>
      </w:r>
      <w:r>
        <w:instrText xml:space="preserve"> ADDIN ZOTERO_ITEM CSL_CITATION {"citationID":"y48vQCXm","properties":{"formattedCitation":"[3]","plainCitation":"[3]","noteIndex":0},"citationItems":[{"id":2978,"uris":["http://zotero.org/users/5483459/items/DHAYHB8P"],"itemData":{"id":2978,"type":"document","title":"U.S.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827CAB">
        <w:t>[3]</w:t>
      </w:r>
      <w:r>
        <w:fldChar w:fldCharType="end"/>
      </w:r>
      <w:r>
        <w:t>. Объе</w:t>
      </w:r>
      <w:r w:rsidR="00111BC4">
        <w:t>м распределение в тканях связан</w:t>
      </w:r>
      <w:r>
        <w:t xml:space="preserve"> с насыщаемостью, высок</w:t>
      </w:r>
      <w:r w:rsidR="00111BC4">
        <w:t>ой</w:t>
      </w:r>
      <w:r>
        <w:t xml:space="preserve"> аффинность</w:t>
      </w:r>
      <w:r w:rsidR="00111BC4">
        <w:t>ю</w:t>
      </w:r>
      <w:r>
        <w:t xml:space="preserve"> связывания с ДПП-4 в плазме и тканях. После насыщения плазмы ДПП-4, которое происходит при более высоких концентрациях, чем расчетные значениях IC</w:t>
      </w:r>
      <w:r w:rsidRPr="00F85253">
        <w:rPr>
          <w:vertAlign w:val="subscript"/>
        </w:rPr>
        <w:t>50</w:t>
      </w:r>
      <w:r>
        <w:t xml:space="preserve"> в плазме, тканевое распределение стабилизируется по мере насыщения ткани ДПП-4 и линаглиптин легче выводится, что приводит к более короткому периоду полувыведения по сравнению с ненасыщающими препаратами.</w:t>
      </w:r>
    </w:p>
    <w:bookmarkEnd w:id="119"/>
    <w:p w14:paraId="0178CBBF" w14:textId="587D11AB" w:rsidR="004B1452" w:rsidRDefault="004B1452" w:rsidP="00111BC4">
      <w:pPr>
        <w:ind w:firstLine="709"/>
      </w:pPr>
      <w:r>
        <w:t>Через 30 минут после введения максимальные концентрации линаглип</w:t>
      </w:r>
      <w:r w:rsidR="00045C00">
        <w:t>тина отмечались во всех тканях</w:t>
      </w:r>
      <w:r>
        <w:t xml:space="preserve">, с максимальной концентрацией в печени и почках. Измеримые концентрации линаглиптина были обнаружены через 168 часов после введения в печени, селезенке, тимусе, железе Хардера, легких, слюнных железах, придатках яичка, надпочечниках, коже и в костном мозге. В почках значительные накопление радиоактивности после введения </w:t>
      </w:r>
      <w:r w:rsidRPr="00951329">
        <w:rPr>
          <w:vertAlign w:val="superscript"/>
        </w:rPr>
        <w:t>14</w:t>
      </w:r>
      <w:r w:rsidRPr="00951329">
        <w:t>C-линаглиптина</w:t>
      </w:r>
      <w:r w:rsidR="00045C00">
        <w:t xml:space="preserve"> наблюдалось в</w:t>
      </w:r>
      <w:r>
        <w:t xml:space="preserve"> области коры и в промежуточной зоне. При многократном введении линаглиптина, равновесное состояние в </w:t>
      </w:r>
      <w:r>
        <w:lastRenderedPageBreak/>
        <w:t xml:space="preserve">тканях достигается быстро после насыщения ДПП-4. Линаглиптин проникает через плацентарный барьер у крыс и у кроликов </w:t>
      </w:r>
      <w:r>
        <w:fldChar w:fldCharType="begin"/>
      </w:r>
      <w:r>
        <w:instrText xml:space="preserve"> ADDIN ZOTERO_ITEM CSL_CITATION {"citationID":"4j6hIyAM","properties":{"formattedCitation":"[2]","plainCitation":"[2]","noteIndex":0},"citationItems":[{"id":2939,"uris":["http://zotero.org/users/5483459/items/SJBZ4HU2"],"itemData":{"id":2939,"type":"document","title":"European  Medicines Agency.Assessment report Trajenta (linagliptin). Procedure No.: EMEA/H/C/002110/0000"}}],"schema":"https://github.com/citation-style-language/schema/raw/master/csl-citation.json"} </w:instrText>
      </w:r>
      <w:r>
        <w:fldChar w:fldCharType="separate"/>
      </w:r>
      <w:r w:rsidRPr="00BA4FE3">
        <w:t>[2]</w:t>
      </w:r>
      <w:r>
        <w:fldChar w:fldCharType="end"/>
      </w:r>
      <w:r>
        <w:t>.</w:t>
      </w:r>
    </w:p>
    <w:p w14:paraId="122D0BF2" w14:textId="324A3089" w:rsidR="004B1452" w:rsidRPr="001B1959" w:rsidRDefault="004B1452" w:rsidP="00111BC4">
      <w:pPr>
        <w:ind w:firstLine="709"/>
      </w:pPr>
      <w:r>
        <w:t xml:space="preserve">Распределения линаглиптина изучали у крыс </w:t>
      </w:r>
      <w:r w:rsidRPr="003546AA">
        <w:rPr>
          <w:i/>
          <w:iCs/>
        </w:rPr>
        <w:t>Fisher</w:t>
      </w:r>
      <w:r>
        <w:t xml:space="preserve"> с дефицитом ДПП-4 по сравнению с крысами </w:t>
      </w:r>
      <w:r w:rsidRPr="003546AA">
        <w:rPr>
          <w:i/>
          <w:iCs/>
        </w:rPr>
        <w:t>F344/DuCrl</w:t>
      </w:r>
      <w:r>
        <w:t>, без дефицита</w:t>
      </w:r>
      <w:r w:rsidR="00EB2D47">
        <w:t xml:space="preserve"> фермента.</w:t>
      </w:r>
      <w:r>
        <w:t xml:space="preserve"> </w:t>
      </w:r>
      <w:r w:rsidR="001D1142">
        <w:t>Установлено</w:t>
      </w:r>
      <w:r>
        <w:t>, что уровень распределения линаглиптина в тканях у крыс с дефицитом ДПП-4</w:t>
      </w:r>
      <w:r w:rsidR="001D1142">
        <w:t xml:space="preserve"> был</w:t>
      </w:r>
      <w:r>
        <w:t xml:space="preserve"> заметно ниже, чем у крыс </w:t>
      </w:r>
      <w:r w:rsidRPr="003546AA">
        <w:rPr>
          <w:i/>
          <w:iCs/>
        </w:rPr>
        <w:t>F344/DuCrl</w:t>
      </w:r>
      <w:r>
        <w:t xml:space="preserve"> при низкой дозе (≤ 1 мг/кг) и увеличивал</w:t>
      </w:r>
      <w:r w:rsidR="001D1142">
        <w:t>ся</w:t>
      </w:r>
      <w:r>
        <w:t xml:space="preserve"> примерно пропорционально дозе</w:t>
      </w:r>
      <w:r w:rsidR="00EB2D47">
        <w:t xml:space="preserve"> </w:t>
      </w:r>
      <w:r>
        <w:fldChar w:fldCharType="begin"/>
      </w:r>
      <w:r>
        <w:instrText xml:space="preserve"> ADDIN ZOTERO_ITEM CSL_CITATION {"citationID":"5ULCJir2","properties":{"formattedCitation":"[9]","plainCitation":"[9]","noteIndex":0},"citationItems":[{"id":3035,"uris":["http://zotero.org/users/5483459/items/A4NC89C5"],"itemData":{"id":3035,"type":"document","title":"Australian government. Australian Public Assessment Report for Linagliptin. Proprietary Product Name: Trajenta Sponsor: Boehringer Ingleheim (Australia) Pty Ltd. 2011."}}],"schema":"https://github.com/citation-style-language/schema/raw/master/csl-citation.json"} </w:instrText>
      </w:r>
      <w:r>
        <w:fldChar w:fldCharType="separate"/>
      </w:r>
      <w:r w:rsidRPr="008D394B">
        <w:t>[9]</w:t>
      </w:r>
      <w:r>
        <w:fldChar w:fldCharType="end"/>
      </w:r>
      <w:r>
        <w:t>.</w:t>
      </w:r>
    </w:p>
    <w:p w14:paraId="6530072C" w14:textId="77777777" w:rsidR="004B1452" w:rsidRDefault="004B1452" w:rsidP="004B1452">
      <w:pPr>
        <w:spacing w:before="240" w:after="240"/>
        <w:outlineLvl w:val="2"/>
        <w:rPr>
          <w:b/>
          <w:bCs/>
          <w:color w:val="000000" w:themeColor="text1"/>
        </w:rPr>
      </w:pPr>
      <w:bookmarkStart w:id="120" w:name="_Toc99740801"/>
      <w:bookmarkStart w:id="121" w:name="_Toc139361959"/>
      <w:r>
        <w:rPr>
          <w:b/>
          <w:color w:val="000000" w:themeColor="text1"/>
        </w:rPr>
        <w:t xml:space="preserve">3.2.3. </w:t>
      </w:r>
      <w:r>
        <w:rPr>
          <w:b/>
          <w:bCs/>
          <w:color w:val="000000" w:themeColor="text1"/>
        </w:rPr>
        <w:t>Связывание с белками плазмы</w:t>
      </w:r>
      <w:bookmarkEnd w:id="120"/>
      <w:bookmarkEnd w:id="121"/>
    </w:p>
    <w:p w14:paraId="188A8FDF" w14:textId="1F700F27" w:rsidR="001B4428" w:rsidRDefault="004B1452" w:rsidP="0049695C">
      <w:pPr>
        <w:ind w:firstLine="709"/>
      </w:pPr>
      <w:bookmarkStart w:id="122" w:name="_Hlk121100113"/>
      <w:r>
        <w:t xml:space="preserve">В серии исследований изучалось распределение линаглиптина </w:t>
      </w:r>
      <w:r w:rsidRPr="00AC6B53">
        <w:rPr>
          <w:i/>
          <w:iCs/>
        </w:rPr>
        <w:t>in vitro</w:t>
      </w:r>
      <w:r>
        <w:t xml:space="preserve"> и </w:t>
      </w:r>
      <w:r w:rsidRPr="00AC6B53">
        <w:rPr>
          <w:i/>
          <w:iCs/>
        </w:rPr>
        <w:t>in vivo</w:t>
      </w:r>
      <w:r>
        <w:t xml:space="preserve"> после перорального и внутривенного введения. </w:t>
      </w:r>
      <w:r w:rsidR="001D1142">
        <w:t>Установлено</w:t>
      </w:r>
      <w:r>
        <w:t>, что линаглиптин связывается с белками плазмы в зависимости от концентрации. Связывание с белками плазмы было высоким, &gt;99%, при концентрации линаглиптина ниже 1 нМ и умеренно высоки</w:t>
      </w:r>
      <w:r w:rsidR="00657794">
        <w:t>м</w:t>
      </w:r>
      <w:r>
        <w:t xml:space="preserve">, примерно от 70% до 96%, при концентрации линаглиптина выше 1 нМ. Отмечались небольшие различия в абсолютном связывании белка у разных видов животных </w:t>
      </w:r>
      <w:r>
        <w:fldChar w:fldCharType="begin"/>
      </w:r>
      <w:r>
        <w:instrText xml:space="preserve"> ADDIN ZOTERO_ITEM CSL_CITATION {"citationID":"F9tzFqGE","properties":{"formattedCitation":"[3]","plainCitation":"[3]","noteIndex":0},"citationItems":[{"id":2978,"uris":["http://zotero.org/users/5483459/items/DHAYHB8P"],"itemData":{"id":2978,"type":"document","title":"U.S.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827CAB">
        <w:t>[3]</w:t>
      </w:r>
      <w:r>
        <w:fldChar w:fldCharType="end"/>
      </w:r>
      <w:r>
        <w:t>.</w:t>
      </w:r>
    </w:p>
    <w:p w14:paraId="0F046742" w14:textId="77777777" w:rsidR="004B1452" w:rsidRDefault="004B1452" w:rsidP="004B1452">
      <w:pPr>
        <w:spacing w:before="240" w:after="240"/>
        <w:outlineLvl w:val="2"/>
        <w:rPr>
          <w:b/>
          <w:bCs/>
          <w:color w:val="000000" w:themeColor="text1"/>
        </w:rPr>
      </w:pPr>
      <w:bookmarkStart w:id="123" w:name="_Toc139361960"/>
      <w:bookmarkEnd w:id="122"/>
      <w:r>
        <w:rPr>
          <w:b/>
          <w:color w:val="000000" w:themeColor="text1"/>
        </w:rPr>
        <w:t xml:space="preserve">3.2.4. </w:t>
      </w:r>
      <w:r>
        <w:rPr>
          <w:b/>
          <w:bCs/>
          <w:color w:val="000000" w:themeColor="text1"/>
        </w:rPr>
        <w:t>Метаболизм</w:t>
      </w:r>
      <w:bookmarkEnd w:id="123"/>
    </w:p>
    <w:p w14:paraId="07276FF9" w14:textId="366B6D40" w:rsidR="00EB2D47" w:rsidRDefault="00EB2D47" w:rsidP="00657794">
      <w:pPr>
        <w:ind w:firstLine="709"/>
      </w:pPr>
      <w:r>
        <w:t xml:space="preserve">Метаболизм линаглиптина изучался в нескольких специальных исследованиях. Метаболизм линаглиптина </w:t>
      </w:r>
      <w:r w:rsidRPr="00E40FF5">
        <w:rPr>
          <w:i/>
          <w:iCs/>
        </w:rPr>
        <w:t>in vitro</w:t>
      </w:r>
      <w:r w:rsidRPr="009E45B3">
        <w:t xml:space="preserve"> в печени человека</w:t>
      </w:r>
      <w:r>
        <w:t xml:space="preserve">, </w:t>
      </w:r>
      <w:r w:rsidRPr="009E45B3">
        <w:t>микросом</w:t>
      </w:r>
      <w:r>
        <w:t>ах</w:t>
      </w:r>
      <w:r w:rsidRPr="009E45B3">
        <w:t xml:space="preserve"> почек и гепатоцит</w:t>
      </w:r>
      <w:r>
        <w:t>ах</w:t>
      </w:r>
      <w:r w:rsidRPr="009E45B3">
        <w:t xml:space="preserve"> человека был очень низким (менее 2% метаболизма после</w:t>
      </w:r>
      <w:r>
        <w:t xml:space="preserve"> 90 минут), CYP3A4 является преобладающим метаболизирующим ферментом. </w:t>
      </w:r>
      <w:r w:rsidR="00627DB9">
        <w:t xml:space="preserve">Метаболит </w:t>
      </w:r>
      <w:r>
        <w:t xml:space="preserve">CD 1790 был образован </w:t>
      </w:r>
      <w:r w:rsidRPr="00E40FF5">
        <w:rPr>
          <w:i/>
          <w:iCs/>
        </w:rPr>
        <w:t>in vitro</w:t>
      </w:r>
      <w:r>
        <w:t xml:space="preserve"> путем CYP3A4-опосредованного гидроксильного замещения первичного амина на 3-аминопиперидиновую часть линаглиптина. Промежуточная кетоновая структура CD 10604 была идентифицирована в метаболической схеме, но это соединение быстро редуцируется до CD 1790.</w:t>
      </w:r>
    </w:p>
    <w:p w14:paraId="30F4E589" w14:textId="546651AC" w:rsidR="004B1452" w:rsidRDefault="004B1452" w:rsidP="00657794">
      <w:pPr>
        <w:ind w:firstLine="709"/>
      </w:pPr>
      <w:r>
        <w:t xml:space="preserve">Потенциал линаглиптина или CD 1790 ингибировать ферменты метаболизма оценивали </w:t>
      </w:r>
      <w:r w:rsidRPr="00E40FF5">
        <w:rPr>
          <w:i/>
          <w:iCs/>
        </w:rPr>
        <w:t>in vitro</w:t>
      </w:r>
      <w:r>
        <w:t xml:space="preserve">. Линаглиптин был необратимым (по механизму действия) ингибитором </w:t>
      </w:r>
      <w:r w:rsidR="000B02B2">
        <w:t xml:space="preserve">CYP3A4 человека, </w:t>
      </w:r>
      <w:r>
        <w:t xml:space="preserve">от слабого до умеренного </w:t>
      </w:r>
      <w:r w:rsidR="000B02B2">
        <w:t xml:space="preserve">действия, </w:t>
      </w:r>
      <w:r>
        <w:t xml:space="preserve">в микросомах печени с Ki 115 мкМ. Линаглиптин не ингибирует другие изоферменты CYP или индуцированные CYP 1A2, 2B6 или 3A4 </w:t>
      </w:r>
      <w:r w:rsidRPr="00E40FF5">
        <w:rPr>
          <w:i/>
          <w:iCs/>
        </w:rPr>
        <w:t>in vitro</w:t>
      </w:r>
      <w:r>
        <w:t xml:space="preserve">. Линаглиптин также </w:t>
      </w:r>
      <w:r w:rsidRPr="00E40FF5">
        <w:rPr>
          <w:i/>
          <w:iCs/>
        </w:rPr>
        <w:t>in vitro</w:t>
      </w:r>
      <w:r>
        <w:t xml:space="preserve"> ингибирует метаболизм, опосредованный моноаминоксидазой B (MAO-B) с </w:t>
      </w:r>
      <w:r w:rsidR="00CD009B">
        <w:t>константой ингибирования (</w:t>
      </w:r>
      <w:r>
        <w:t>Ki</w:t>
      </w:r>
      <w:r w:rsidR="00CD009B">
        <w:t>)</w:t>
      </w:r>
      <w:r>
        <w:t xml:space="preserve"> = 2,4 мкМ. CD 1790 конкурентно ингибировал CYP2C9 (IC</w:t>
      </w:r>
      <w:r w:rsidRPr="00231F5F">
        <w:rPr>
          <w:vertAlign w:val="subscript"/>
        </w:rPr>
        <w:t>50</w:t>
      </w:r>
      <w:r>
        <w:t xml:space="preserve"> = 15-20 мкМ) </w:t>
      </w:r>
      <w:r>
        <w:fldChar w:fldCharType="begin"/>
      </w:r>
      <w:r>
        <w:instrText xml:space="preserve"> ADDIN ZOTERO_ITEM CSL_CITATION {"citationID":"GAf03V4s","properties":{"formattedCitation":"[3]","plainCitation":"[3]","noteIndex":0},"citationItems":[{"id":2978,"uris":["http://zotero.org/users/5483459/items/DHAYHB8P"],"itemData":{"id":2978,"type":"document","title":"U.S.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827CAB">
        <w:t>[3]</w:t>
      </w:r>
      <w:r>
        <w:fldChar w:fldCharType="end"/>
      </w:r>
      <w:r>
        <w:t>.</w:t>
      </w:r>
    </w:p>
    <w:p w14:paraId="3E1696F4" w14:textId="3AB02B78" w:rsidR="004B1452" w:rsidRDefault="004B1452" w:rsidP="00657794">
      <w:pPr>
        <w:ind w:firstLine="709"/>
      </w:pPr>
      <w:r>
        <w:t>Метаболизм линаглиптина включал окисление, эпоксидирование, N-ацетилирование, карбоксилирование, замен</w:t>
      </w:r>
      <w:r w:rsidR="00CD009B">
        <w:t>у</w:t>
      </w:r>
      <w:r>
        <w:t xml:space="preserve"> аминогруппы в пиперидиновой части на гидроксигруппу и последующую конъюгация с цистеином, глюкуронатом и/или глюкозой. Более 50 метаболит</w:t>
      </w:r>
      <w:r w:rsidR="007A1DFB">
        <w:t>ов</w:t>
      </w:r>
      <w:r>
        <w:t xml:space="preserve"> был</w:t>
      </w:r>
      <w:r w:rsidR="007A1DFB">
        <w:t>о</w:t>
      </w:r>
      <w:r>
        <w:t xml:space="preserve"> обнаружен</w:t>
      </w:r>
      <w:r w:rsidR="007A1DFB">
        <w:t>о</w:t>
      </w:r>
      <w:r>
        <w:t xml:space="preserve"> у разных видов животных. CD1790 был единственным метаболитом, на долю которого приходилось &gt; 10% в образцах плазмы. Все значимые метаболиты, обнаруженные у человека, также были обнаружены у одного или нескольких  видов животных </w:t>
      </w:r>
      <w:r>
        <w:fldChar w:fldCharType="begin"/>
      </w:r>
      <w:r>
        <w:instrText xml:space="preserve"> ADDIN ZOTERO_ITEM CSL_CITATION {"citationID":"UImo1VrU","properties":{"formattedCitation":"[9]","plainCitation":"[9]","noteIndex":0},"citationItems":[{"id":3035,"uris":["http://zotero.org/users/5483459/items/A4NC89C5"],"itemData":{"id":3035,"type":"document","title":"Australian government. Australian Public Assessment Report for Linagliptin. Proprietary Product Name: Trajenta Sponsor: Boehringer Ingleheim (Australia) Pty Ltd. 2011."}}],"schema":"https://github.com/citation-style-language/schema/raw/master/csl-citation.json"} </w:instrText>
      </w:r>
      <w:r>
        <w:fldChar w:fldCharType="separate"/>
      </w:r>
      <w:r w:rsidRPr="00D85DAB">
        <w:t>[9]</w:t>
      </w:r>
      <w:r>
        <w:fldChar w:fldCharType="end"/>
      </w:r>
      <w:r>
        <w:t>.</w:t>
      </w:r>
    </w:p>
    <w:p w14:paraId="03A9F4D9" w14:textId="4EADF1C0" w:rsidR="004B1452" w:rsidRDefault="004B1452" w:rsidP="00657794">
      <w:pPr>
        <w:ind w:firstLine="709"/>
      </w:pPr>
      <w:r>
        <w:t>Метаболизм</w:t>
      </w:r>
      <w:r w:rsidRPr="00D8638E">
        <w:t xml:space="preserve"> линаглиптина у человека и разных</w:t>
      </w:r>
      <w:r>
        <w:t xml:space="preserve"> видов</w:t>
      </w:r>
      <w:r w:rsidRPr="00D8638E">
        <w:t xml:space="preserve"> животных</w:t>
      </w:r>
      <w:r>
        <w:t xml:space="preserve"> явля</w:t>
      </w:r>
      <w:r w:rsidR="007A1DFB">
        <w:t>ется сходным</w:t>
      </w:r>
      <w:r w:rsidRPr="00D8638E">
        <w:t>.</w:t>
      </w:r>
      <w:r>
        <w:t xml:space="preserve"> </w:t>
      </w:r>
      <w:r w:rsidRPr="00D8638E">
        <w:t xml:space="preserve">CD 1790 </w:t>
      </w:r>
      <w:r>
        <w:t>определяется</w:t>
      </w:r>
      <w:r w:rsidRPr="00D8638E">
        <w:t xml:space="preserve"> у мышей, крыс, кроликов и обезьян, и его токсичность была</w:t>
      </w:r>
      <w:r>
        <w:t xml:space="preserve"> </w:t>
      </w:r>
      <w:r w:rsidRPr="00D8638E">
        <w:t>оценен</w:t>
      </w:r>
      <w:r>
        <w:t>а</w:t>
      </w:r>
      <w:r w:rsidRPr="00D8638E">
        <w:t xml:space="preserve"> в токсикологических исследованиях. Ни</w:t>
      </w:r>
      <w:r>
        <w:t xml:space="preserve"> у </w:t>
      </w:r>
      <w:r w:rsidRPr="00D8638E">
        <w:t xml:space="preserve">CD 1790, ни </w:t>
      </w:r>
      <w:r>
        <w:t>у</w:t>
      </w:r>
      <w:r w:rsidRPr="00D8638E">
        <w:t xml:space="preserve"> други</w:t>
      </w:r>
      <w:r>
        <w:t>х</w:t>
      </w:r>
      <w:r w:rsidRPr="00D8638E">
        <w:t xml:space="preserve"> метаболит</w:t>
      </w:r>
      <w:r>
        <w:t xml:space="preserve">ов не была </w:t>
      </w:r>
      <w:r w:rsidRPr="00D8638E">
        <w:t>обнаружен</w:t>
      </w:r>
      <w:r>
        <w:t>а</w:t>
      </w:r>
      <w:r w:rsidRPr="00D8638E">
        <w:t xml:space="preserve"> фармакологическ</w:t>
      </w:r>
      <w:r>
        <w:t>ая</w:t>
      </w:r>
      <w:r w:rsidRPr="00D8638E">
        <w:t xml:space="preserve"> а</w:t>
      </w:r>
      <w:r>
        <w:t>ктивность</w:t>
      </w:r>
      <w:r w:rsidRPr="00D8638E">
        <w:t xml:space="preserve"> </w:t>
      </w:r>
      <w:r w:rsidRPr="00D8638E">
        <w:rPr>
          <w:i/>
          <w:iCs/>
        </w:rPr>
        <w:t>in vitro</w:t>
      </w:r>
      <w:r w:rsidRPr="00D8638E">
        <w:t xml:space="preserve"> на основе ингибирования </w:t>
      </w:r>
      <w:r>
        <w:t>ДПП-4</w:t>
      </w:r>
      <w:r w:rsidRPr="00D8638E">
        <w:t xml:space="preserve">. CD 1790 продемонстрировал очень низкую активность и неполное ингибирование </w:t>
      </w:r>
      <w:r>
        <w:t>ДПП-4</w:t>
      </w:r>
      <w:r w:rsidRPr="00D8638E">
        <w:t>, что</w:t>
      </w:r>
      <w:r>
        <w:t xml:space="preserve"> является</w:t>
      </w:r>
      <w:r w:rsidRPr="00D8638E">
        <w:t xml:space="preserve"> фармакологически незначимым </w:t>
      </w:r>
      <w:r>
        <w:fldChar w:fldCharType="begin"/>
      </w:r>
      <w:r>
        <w:instrText xml:space="preserve"> ADDIN ZOTERO_ITEM CSL_CITATION {"citationID":"nPQVyMFO","properties":{"formattedCitation":"[3]","plainCitation":"[3]","noteIndex":0},"citationItems":[{"id":2978,"uris":["http://zotero.org/users/5483459/items/DHAYHB8P"],"itemData":{"id":2978,"type":"document","title":"U.S.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827CAB">
        <w:t>[3]</w:t>
      </w:r>
      <w:r>
        <w:fldChar w:fldCharType="end"/>
      </w:r>
      <w:r>
        <w:t>.</w:t>
      </w:r>
    </w:p>
    <w:p w14:paraId="13D9C24F" w14:textId="77777777" w:rsidR="0049695C" w:rsidRDefault="0049695C" w:rsidP="004B1452">
      <w:pPr>
        <w:spacing w:before="240" w:after="240"/>
        <w:outlineLvl w:val="2"/>
        <w:rPr>
          <w:b/>
          <w:color w:val="000000" w:themeColor="text1"/>
        </w:rPr>
        <w:sectPr w:rsidR="0049695C" w:rsidSect="00AB01E2">
          <w:footnotePr>
            <w:pos w:val="beneathText"/>
          </w:footnotePr>
          <w:pgSz w:w="11906" w:h="16838"/>
          <w:pgMar w:top="1134" w:right="849" w:bottom="1134" w:left="1701" w:header="708" w:footer="709" w:gutter="0"/>
          <w:cols w:space="708"/>
          <w:docGrid w:linePitch="360"/>
        </w:sectPr>
      </w:pPr>
    </w:p>
    <w:p w14:paraId="2A22D305" w14:textId="1CE18C8D" w:rsidR="004B1452" w:rsidRDefault="004B1452" w:rsidP="004B1452">
      <w:pPr>
        <w:spacing w:before="240" w:after="240"/>
        <w:outlineLvl w:val="2"/>
        <w:rPr>
          <w:b/>
          <w:bCs/>
          <w:color w:val="000000" w:themeColor="text1"/>
        </w:rPr>
      </w:pPr>
      <w:bookmarkStart w:id="124" w:name="_Toc139361961"/>
      <w:r>
        <w:rPr>
          <w:b/>
          <w:color w:val="000000" w:themeColor="text1"/>
        </w:rPr>
        <w:lastRenderedPageBreak/>
        <w:t xml:space="preserve">3.2.5. </w:t>
      </w:r>
      <w:r>
        <w:rPr>
          <w:b/>
          <w:bCs/>
          <w:color w:val="000000" w:themeColor="text1"/>
        </w:rPr>
        <w:t>Выведение</w:t>
      </w:r>
      <w:bookmarkEnd w:id="124"/>
    </w:p>
    <w:p w14:paraId="10C3C3AB" w14:textId="40D2977A" w:rsidR="00591BB7" w:rsidRDefault="00591BB7" w:rsidP="00627DB9">
      <w:pPr>
        <w:ind w:firstLine="709"/>
      </w:pPr>
      <w:r>
        <w:rPr>
          <w:lang w:val="en-US"/>
        </w:rPr>
        <w:t>T</w:t>
      </w:r>
      <w:r w:rsidRPr="003C6D2C">
        <w:rPr>
          <w:vertAlign w:val="subscript"/>
        </w:rPr>
        <w:t>1/2</w:t>
      </w:r>
      <w:r w:rsidRPr="00D15235">
        <w:t xml:space="preserve"> в плазме также было высоким у всех видов</w:t>
      </w:r>
      <w:r>
        <w:t xml:space="preserve"> животных</w:t>
      </w:r>
      <w:r w:rsidRPr="00D15235">
        <w:t xml:space="preserve">, начиная с минимального </w:t>
      </w:r>
      <w:r>
        <w:rPr>
          <w:lang w:val="en-US"/>
        </w:rPr>
        <w:t>T</w:t>
      </w:r>
      <w:r w:rsidRPr="003C6D2C">
        <w:rPr>
          <w:vertAlign w:val="subscript"/>
        </w:rPr>
        <w:t>1/2</w:t>
      </w:r>
      <w:r>
        <w:rPr>
          <w:vertAlign w:val="subscript"/>
        </w:rPr>
        <w:t xml:space="preserve"> </w:t>
      </w:r>
      <w:r w:rsidRPr="00D15235">
        <w:t xml:space="preserve">10-12 часов после </w:t>
      </w:r>
      <w:r>
        <w:t>введения</w:t>
      </w:r>
      <w:r w:rsidRPr="00D15235">
        <w:t xml:space="preserve"> высокой дозы</w:t>
      </w:r>
      <w:r>
        <w:t xml:space="preserve"> </w:t>
      </w:r>
      <w:r w:rsidRPr="00D15235">
        <w:t>у кроликов и крыс и до 131 час</w:t>
      </w:r>
      <w:r>
        <w:t>ов</w:t>
      </w:r>
      <w:r w:rsidRPr="00D15235">
        <w:t xml:space="preserve"> у людей</w:t>
      </w:r>
      <w:r>
        <w:t>.</w:t>
      </w:r>
      <w:r w:rsidR="00CB417C">
        <w:t xml:space="preserve"> </w:t>
      </w:r>
      <w:r w:rsidRPr="00D15235">
        <w:t xml:space="preserve">Вариабельность </w:t>
      </w:r>
      <w:r>
        <w:rPr>
          <w:lang w:val="en-US"/>
        </w:rPr>
        <w:t>T</w:t>
      </w:r>
      <w:r w:rsidRPr="003C6D2C">
        <w:rPr>
          <w:vertAlign w:val="subscript"/>
        </w:rPr>
        <w:t>1/2</w:t>
      </w:r>
      <w:r>
        <w:rPr>
          <w:vertAlign w:val="subscript"/>
        </w:rPr>
        <w:t xml:space="preserve"> </w:t>
      </w:r>
      <w:r>
        <w:t xml:space="preserve">различается </w:t>
      </w:r>
      <w:r w:rsidRPr="00D15235">
        <w:t xml:space="preserve">у разных видов, </w:t>
      </w:r>
      <w:r>
        <w:rPr>
          <w:lang w:val="en-US"/>
        </w:rPr>
        <w:t>T</w:t>
      </w:r>
      <w:r w:rsidRPr="003C6D2C">
        <w:rPr>
          <w:vertAlign w:val="subscript"/>
        </w:rPr>
        <w:t>1/2</w:t>
      </w:r>
      <w:r>
        <w:rPr>
          <w:vertAlign w:val="subscript"/>
        </w:rPr>
        <w:t xml:space="preserve"> </w:t>
      </w:r>
      <w:r w:rsidRPr="00D15235">
        <w:t xml:space="preserve">короче </w:t>
      </w:r>
      <w:r>
        <w:t>при более высокой дозе.</w:t>
      </w:r>
      <w:r w:rsidRPr="00D15235">
        <w:t xml:space="preserve"> </w:t>
      </w:r>
      <w:r>
        <w:rPr>
          <w:lang w:val="en-US"/>
        </w:rPr>
        <w:t>T</w:t>
      </w:r>
      <w:r w:rsidRPr="003C6D2C">
        <w:rPr>
          <w:vertAlign w:val="subscript"/>
        </w:rPr>
        <w:t>1/2</w:t>
      </w:r>
      <w:r>
        <w:rPr>
          <w:vertAlign w:val="subscript"/>
        </w:rPr>
        <w:t xml:space="preserve"> </w:t>
      </w:r>
      <w:r w:rsidRPr="00D15235">
        <w:t xml:space="preserve"> </w:t>
      </w:r>
      <w:r>
        <w:t>и распределение л</w:t>
      </w:r>
      <w:r w:rsidRPr="00D15235">
        <w:t>инаглиптин</w:t>
      </w:r>
      <w:r>
        <w:t>а</w:t>
      </w:r>
      <w:r w:rsidRPr="00D15235">
        <w:t xml:space="preserve"> в тканях обусловлены высокой аффинностью связывания </w:t>
      </w:r>
      <w:r>
        <w:t>л</w:t>
      </w:r>
      <w:r w:rsidRPr="00D15235">
        <w:t>инаглиптин</w:t>
      </w:r>
      <w:r>
        <w:t>а</w:t>
      </w:r>
      <w:r w:rsidRPr="00D15235">
        <w:t xml:space="preserve"> с </w:t>
      </w:r>
      <w:r>
        <w:t>ДПП-4</w:t>
      </w:r>
      <w:r w:rsidRPr="00D15235">
        <w:t xml:space="preserve"> в плазме и тканях</w:t>
      </w:r>
      <w:r>
        <w:t xml:space="preserve"> </w:t>
      </w:r>
      <w:r>
        <w:fldChar w:fldCharType="begin"/>
      </w:r>
      <w:r>
        <w:instrText xml:space="preserve"> ADDIN ZOTERO_ITEM CSL_CITATION {"citationID":"TzTvarU5","properties":{"formattedCitation":"[3]","plainCitation":"[3]","noteIndex":0},"citationItems":[{"id":2978,"uris":["http://zotero.org/users/5483459/items/DHAYHB8P"],"itemData":{"id":2978,"type":"document","title":"U.S.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827CAB">
        <w:t>[3]</w:t>
      </w:r>
      <w:r>
        <w:fldChar w:fldCharType="end"/>
      </w:r>
      <w:r>
        <w:t xml:space="preserve">. </w:t>
      </w:r>
    </w:p>
    <w:p w14:paraId="413630E4" w14:textId="04C491B3" w:rsidR="00591BB7" w:rsidRDefault="00591BB7" w:rsidP="00627DB9">
      <w:pPr>
        <w:ind w:firstLine="709"/>
      </w:pPr>
      <w:r>
        <w:t xml:space="preserve">У экспериментальных животных </w:t>
      </w:r>
      <w:r>
        <w:rPr>
          <w:lang w:val="en-US"/>
        </w:rPr>
        <w:t>T</w:t>
      </w:r>
      <w:r w:rsidRPr="003C6D2C">
        <w:rPr>
          <w:vertAlign w:val="subscript"/>
        </w:rPr>
        <w:t>1/2</w:t>
      </w:r>
      <w:r>
        <w:rPr>
          <w:vertAlign w:val="subscript"/>
        </w:rPr>
        <w:t xml:space="preserve"> </w:t>
      </w:r>
      <w:r w:rsidRPr="00EA2804">
        <w:t>после</w:t>
      </w:r>
      <w:r>
        <w:rPr>
          <w:vertAlign w:val="subscript"/>
        </w:rPr>
        <w:t xml:space="preserve"> </w:t>
      </w:r>
      <w:r>
        <w:t>ведения линаглиптина из плазмы был длительным (до 49 часов у мышей, 61 час у крыс, 59 часов у кроликов и 47 часов у обезьян) и обратно пропорциональным дозе (</w:t>
      </w:r>
      <w:r w:rsidR="00BC1BF9">
        <w:t>снижение</w:t>
      </w:r>
      <w:r>
        <w:t xml:space="preserve"> до 4,5 часов), но был значительно короче, чем у людей (131 час) </w:t>
      </w:r>
      <w:r>
        <w:fldChar w:fldCharType="begin"/>
      </w:r>
      <w:r>
        <w:instrText xml:space="preserve"> ADDIN ZOTERO_ITEM CSL_CITATION {"citationID":"0jMZ28qP","properties":{"formattedCitation":"[9]","plainCitation":"[9]","noteIndex":0},"citationItems":[{"id":3035,"uris":["http://zotero.org/users/5483459/items/A4NC89C5"],"itemData":{"id":3035,"type":"document","title":"Australian government. Australian Public Assessment Report for Linagliptin. Proprietary Product Name: Trajenta Sponsor: Boehringer Ingleheim (Australia) Pty Ltd. 2011."}}],"schema":"https://github.com/citation-style-language/schema/raw/master/csl-citation.json"} </w:instrText>
      </w:r>
      <w:r>
        <w:fldChar w:fldCharType="separate"/>
      </w:r>
      <w:r w:rsidRPr="00A347BA">
        <w:t>[9]</w:t>
      </w:r>
      <w:r>
        <w:fldChar w:fldCharType="end"/>
      </w:r>
      <w:r>
        <w:t>.</w:t>
      </w:r>
    </w:p>
    <w:p w14:paraId="15062469" w14:textId="16CF1A59" w:rsidR="004B1452" w:rsidRDefault="004B1452" w:rsidP="00627DB9">
      <w:pPr>
        <w:ind w:firstLine="709"/>
      </w:pPr>
      <w:bookmarkStart w:id="125" w:name="_Hlk121100177"/>
      <w:r w:rsidRPr="00951329">
        <w:t xml:space="preserve">Выведение после перорального приема </w:t>
      </w:r>
      <w:r w:rsidRPr="00951329">
        <w:rPr>
          <w:vertAlign w:val="superscript"/>
        </w:rPr>
        <w:t>14</w:t>
      </w:r>
      <w:r w:rsidRPr="00951329">
        <w:t>C-линаглиптина</w:t>
      </w:r>
      <w:r w:rsidRPr="00CF17AE">
        <w:t xml:space="preserve"> </w:t>
      </w:r>
      <w:r>
        <w:t xml:space="preserve">у </w:t>
      </w:r>
      <w:r w:rsidRPr="00951329">
        <w:t>лабораторных животных происходило</w:t>
      </w:r>
      <w:r w:rsidR="00045C00">
        <w:t>,</w:t>
      </w:r>
      <w:r w:rsidRPr="00951329">
        <w:t xml:space="preserve"> главным </w:t>
      </w:r>
      <w:r w:rsidR="00BC1BF9" w:rsidRPr="00951329">
        <w:t>образом</w:t>
      </w:r>
      <w:r w:rsidR="00BC1BF9">
        <w:t>,</w:t>
      </w:r>
      <w:r w:rsidR="00BC1BF9" w:rsidRPr="00951329">
        <w:t xml:space="preserve"> </w:t>
      </w:r>
      <w:r w:rsidR="00BC1BF9">
        <w:t>с</w:t>
      </w:r>
      <w:r>
        <w:t xml:space="preserve"> калом </w:t>
      </w:r>
      <w:r w:rsidRPr="00951329">
        <w:t>(65-97% введенной дозы у мышей, крыс, кроликов и</w:t>
      </w:r>
      <w:r>
        <w:t xml:space="preserve"> </w:t>
      </w:r>
      <w:r w:rsidR="00BC1BF9">
        <w:t>обезьян</w:t>
      </w:r>
      <w:r>
        <w:t>)</w:t>
      </w:r>
      <w:r w:rsidRPr="00951329">
        <w:t xml:space="preserve"> и 82%</w:t>
      </w:r>
      <w:r>
        <w:t xml:space="preserve"> у людей. </w:t>
      </w:r>
      <w:r w:rsidRPr="00951329">
        <w:t xml:space="preserve">Неизмененный линаглиптин был </w:t>
      </w:r>
      <w:r>
        <w:t>преобладающим</w:t>
      </w:r>
      <w:r w:rsidRPr="00951329">
        <w:t xml:space="preserve"> </w:t>
      </w:r>
      <w:r>
        <w:t>в кале</w:t>
      </w:r>
      <w:r w:rsidRPr="00951329">
        <w:t xml:space="preserve"> и моч</w:t>
      </w:r>
      <w:r>
        <w:t>е</w:t>
      </w:r>
      <w:r w:rsidRPr="00951329">
        <w:t xml:space="preserve"> у всех </w:t>
      </w:r>
      <w:r>
        <w:t xml:space="preserve">изученных </w:t>
      </w:r>
      <w:r w:rsidRPr="00951329">
        <w:t>видов</w:t>
      </w:r>
      <w:r>
        <w:t xml:space="preserve"> экспериментальных животных </w:t>
      </w:r>
      <w:r>
        <w:fldChar w:fldCharType="begin"/>
      </w:r>
      <w:r>
        <w:instrText xml:space="preserve"> ADDIN ZOTERO_ITEM CSL_CITATION {"citationID":"2Da5nIG1","properties":{"formattedCitation":"[9]","plainCitation":"[9]","noteIndex":0},"citationItems":[{"id":3035,"uris":["http://zotero.org/users/5483459/items/A4NC89C5"],"itemData":{"id":3035,"type":"document","title":"Australian government. Australian Public Assessment Report for Linagliptin. Proprietary Product Name: Trajenta Sponsor: Boehringer Ingleheim (Australia) Pty Ltd. 2011."}}],"schema":"https://github.com/citation-style-language/schema/raw/master/csl-citation.json"} </w:instrText>
      </w:r>
      <w:r>
        <w:fldChar w:fldCharType="separate"/>
      </w:r>
      <w:r w:rsidRPr="00CF17AE">
        <w:t>[9]</w:t>
      </w:r>
      <w:r>
        <w:fldChar w:fldCharType="end"/>
      </w:r>
      <w:bookmarkEnd w:id="125"/>
      <w:r>
        <w:t>.</w:t>
      </w:r>
    </w:p>
    <w:p w14:paraId="27AF8F76" w14:textId="4F87F4CC" w:rsidR="004B1452" w:rsidRDefault="004B1452" w:rsidP="00627DB9">
      <w:pPr>
        <w:ind w:firstLine="709"/>
      </w:pPr>
      <w:r>
        <w:t>Э</w:t>
      </w:r>
      <w:r w:rsidRPr="00CF17AE">
        <w:t xml:space="preserve">кскреция линаглиптина с калом колебалась </w:t>
      </w:r>
      <w:r>
        <w:t xml:space="preserve">у разных видов животных </w:t>
      </w:r>
      <w:r w:rsidRPr="00CF17AE">
        <w:t xml:space="preserve">после </w:t>
      </w:r>
      <w:r>
        <w:t xml:space="preserve">перорального </w:t>
      </w:r>
      <w:r w:rsidRPr="00CF17AE">
        <w:t>приема от 67% до 95%</w:t>
      </w:r>
      <w:r>
        <w:t>.</w:t>
      </w:r>
      <w:r w:rsidRPr="00CF17AE">
        <w:t xml:space="preserve"> Мочевая экскреция после перорального приема</w:t>
      </w:r>
      <w:r>
        <w:t xml:space="preserve"> составляла</w:t>
      </w:r>
      <w:r w:rsidRPr="00CF17AE">
        <w:t xml:space="preserve"> от 2% до 20% введенной пероральной дозы на животных моделях и приблизительно</w:t>
      </w:r>
      <w:r>
        <w:t xml:space="preserve"> </w:t>
      </w:r>
      <w:r w:rsidRPr="00CF17AE">
        <w:t xml:space="preserve">7% у людей. </w:t>
      </w:r>
      <w:r w:rsidR="00CB417C">
        <w:t xml:space="preserve">После внутривенного введения, экскреция с мочой выше, </w:t>
      </w:r>
      <w:r w:rsidRPr="00CF17AE">
        <w:t>от 15% до 26% у животных. Экскреция с мочой после перорального приема была самой низкой у крыс (2%)</w:t>
      </w:r>
      <w:r>
        <w:t xml:space="preserve"> и у человека (7%), а различия между тенденциями внутривенной и пероральной экскреции были наибольшими также у крыс и людей. При многократном приеме линаглиптина в дозе 2 мг/кг в течение 14 дней экскреция у крыс составила  91% с калом и 1% с мочой и не отличалась от показателей при однократном введении </w:t>
      </w:r>
      <w:r>
        <w:fldChar w:fldCharType="begin"/>
      </w:r>
      <w:r>
        <w:instrText xml:space="preserve"> ADDIN ZOTERO_ITEM CSL_CITATION {"citationID":"4IuOqSsv","properties":{"formattedCitation":"[3]","plainCitation":"[3]","noteIndex":0},"citationItems":[{"id":2978,"uris":["http://zotero.org/users/5483459/items/DHAYHB8P"],"itemData":{"id":2978,"type":"document","title":"U.S.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F9643E">
        <w:t>[3]</w:t>
      </w:r>
      <w:r>
        <w:fldChar w:fldCharType="end"/>
      </w:r>
      <w:r>
        <w:t>.</w:t>
      </w:r>
    </w:p>
    <w:p w14:paraId="151F6801" w14:textId="14CD40BA" w:rsidR="004B1452" w:rsidRPr="00BB3D50" w:rsidRDefault="004B1452" w:rsidP="00627DB9">
      <w:pPr>
        <w:ind w:firstLine="709"/>
      </w:pPr>
      <w:r>
        <w:t xml:space="preserve">Желчная экскреция  </w:t>
      </w:r>
      <w:r w:rsidRPr="00BB3D50">
        <w:t>не зависела от ингибирования P-gp и составляла примерно 30%</w:t>
      </w:r>
      <w:r>
        <w:t xml:space="preserve"> от введенной дозы</w:t>
      </w:r>
      <w:r w:rsidRPr="00BB3D50">
        <w:t xml:space="preserve"> линаглиптин</w:t>
      </w:r>
      <w:r>
        <w:t>а</w:t>
      </w:r>
      <w:r w:rsidRPr="00BB3D50">
        <w:t>, конечный период полувыведения исходного вещества и метаболита увеличивался</w:t>
      </w:r>
      <w:r>
        <w:t xml:space="preserve"> </w:t>
      </w:r>
      <w:r w:rsidR="00CB417C">
        <w:t>с</w:t>
      </w:r>
      <w:r w:rsidRPr="00BB3D50">
        <w:t xml:space="preserve"> 2-3 ч до 7-11 ч при ингибировании P-gp</w:t>
      </w:r>
      <w:r>
        <w:t xml:space="preserve"> </w:t>
      </w:r>
      <w:r>
        <w:fldChar w:fldCharType="begin"/>
      </w:r>
      <w:r>
        <w:instrText xml:space="preserve"> ADDIN ZOTERO_ITEM CSL_CITATION {"citationID":"FwajspTc","properties":{"formattedCitation":"[3]","plainCitation":"[3]","noteIndex":0},"citationItems":[{"id":2978,"uris":["http://zotero.org/users/5483459/items/DHAYHB8P"],"itemData":{"id":2978,"type":"document","title":"U.S.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F9643E">
        <w:t>[3]</w:t>
      </w:r>
      <w:r>
        <w:fldChar w:fldCharType="end"/>
      </w:r>
      <w:r w:rsidRPr="00BB3D50">
        <w:t xml:space="preserve">. </w:t>
      </w:r>
    </w:p>
    <w:p w14:paraId="70E5A270" w14:textId="77777777" w:rsidR="004B1452" w:rsidRDefault="004B1452" w:rsidP="004B1452">
      <w:pPr>
        <w:spacing w:before="240" w:after="240"/>
        <w:outlineLvl w:val="2"/>
        <w:rPr>
          <w:b/>
          <w:bCs/>
          <w:color w:val="000000" w:themeColor="text1"/>
        </w:rPr>
      </w:pPr>
      <w:bookmarkStart w:id="126" w:name="_Toc139361962"/>
      <w:r>
        <w:rPr>
          <w:b/>
          <w:color w:val="000000" w:themeColor="text1"/>
        </w:rPr>
        <w:t xml:space="preserve">3.2.6. </w:t>
      </w:r>
      <w:r>
        <w:rPr>
          <w:b/>
          <w:bCs/>
          <w:color w:val="000000" w:themeColor="text1"/>
        </w:rPr>
        <w:t>Фармакокинетические лекарственные взаимодействия</w:t>
      </w:r>
      <w:bookmarkEnd w:id="126"/>
    </w:p>
    <w:p w14:paraId="349585BE" w14:textId="48DDBB48" w:rsidR="004B1452" w:rsidRPr="002E3004" w:rsidRDefault="004B1452" w:rsidP="0049706A">
      <w:pPr>
        <w:ind w:firstLine="709"/>
      </w:pPr>
      <w:r w:rsidRPr="005C44BD">
        <w:t xml:space="preserve">Линаглиптин </w:t>
      </w:r>
      <w:r w:rsidR="00045C00">
        <w:t xml:space="preserve">является </w:t>
      </w:r>
      <w:r w:rsidRPr="005C44BD">
        <w:t xml:space="preserve">конкурентным ингибитором </w:t>
      </w:r>
      <w:bookmarkStart w:id="127" w:name="_Hlk120806272"/>
      <w:r w:rsidRPr="005C44BD">
        <w:t xml:space="preserve">МАО-В. </w:t>
      </w:r>
      <w:bookmarkEnd w:id="127"/>
      <w:r w:rsidRPr="005C44BD">
        <w:t>Кроме того, линаглиптин является</w:t>
      </w:r>
      <w:r>
        <w:t xml:space="preserve"> </w:t>
      </w:r>
      <w:r w:rsidRPr="005C44BD">
        <w:t>слабы</w:t>
      </w:r>
      <w:r>
        <w:t>м</w:t>
      </w:r>
      <w:r w:rsidRPr="005C44BD">
        <w:t xml:space="preserve"> ингибитор</w:t>
      </w:r>
      <w:r>
        <w:t>ом</w:t>
      </w:r>
      <w:r w:rsidRPr="005C44BD">
        <w:t xml:space="preserve"> CYP3A4/3A5. Клиническая значимость ингибирования МАО-В и CYP3A4/3A5 маловероятна</w:t>
      </w:r>
      <w:r>
        <w:t xml:space="preserve">, </w:t>
      </w:r>
      <w:r w:rsidRPr="005C44BD">
        <w:t>поскольку терапевтические уровни линаглиптина в плазме находятся в низком наномолярном диапазоне, а значение IC</w:t>
      </w:r>
      <w:r w:rsidRPr="00456FC9">
        <w:rPr>
          <w:vertAlign w:val="subscript"/>
        </w:rPr>
        <w:t>50</w:t>
      </w:r>
      <w:r>
        <w:rPr>
          <w:vertAlign w:val="subscript"/>
        </w:rPr>
        <w:t xml:space="preserve"> </w:t>
      </w:r>
      <w:r w:rsidRPr="005C44BD">
        <w:t>находится в микромолярном диапазоне. Индукционный потенциал CYP CD1790 не был</w:t>
      </w:r>
      <w:r>
        <w:t xml:space="preserve"> </w:t>
      </w:r>
      <w:r w:rsidR="003F360D">
        <w:t>исследован</w:t>
      </w:r>
      <w:r w:rsidRPr="005C44BD">
        <w:t xml:space="preserve">, но исследование </w:t>
      </w:r>
      <w:r w:rsidRPr="00A27353">
        <w:rPr>
          <w:i/>
          <w:iCs/>
        </w:rPr>
        <w:t>in vivo</w:t>
      </w:r>
      <w:r w:rsidRPr="005C44BD">
        <w:t xml:space="preserve"> на крысах, которым вводили линаглиптин, не показало биологически значимого</w:t>
      </w:r>
      <w:r>
        <w:t xml:space="preserve"> </w:t>
      </w:r>
      <w:r w:rsidRPr="005C44BD">
        <w:t xml:space="preserve">изменения активности CYP. </w:t>
      </w:r>
    </w:p>
    <w:p w14:paraId="6738A8F5" w14:textId="3EB74799" w:rsidR="004B1452" w:rsidRPr="00367E3F" w:rsidRDefault="004B1452" w:rsidP="0049706A">
      <w:pPr>
        <w:ind w:firstLine="709"/>
        <w:rPr>
          <w:color w:val="000000" w:themeColor="text1"/>
        </w:rPr>
      </w:pPr>
      <w:r w:rsidRPr="005C44BD">
        <w:t>Линаглиптин является ингибитором переносчиков Р-гликопротеина, ОАТР2, ОАТР8, OCTN1, OCT1 и</w:t>
      </w:r>
      <w:r>
        <w:t xml:space="preserve"> </w:t>
      </w:r>
      <w:r w:rsidRPr="005C44BD">
        <w:t>ОАТР2</w:t>
      </w:r>
      <w:r>
        <w:t xml:space="preserve"> </w:t>
      </w:r>
      <w:r>
        <w:fldChar w:fldCharType="begin"/>
      </w:r>
      <w:r>
        <w:instrText xml:space="preserve"> ADDIN ZOTERO_ITEM CSL_CITATION {"citationID":"Djb5qOjD","properties":{"formattedCitation":"[2]","plainCitation":"[2]","noteIndex":0},"citationItems":[{"id":2939,"uris":["http://zotero.org/users/5483459/items/SJBZ4HU2"],"itemData":{"id":2939,"type":"document","title":"European  Medicines Agency.Assessment report Trajenta (linagliptin). Procedure No.: EMEA/H/C/002110/0000"}}],"schema":"https://github.com/citation-style-language/schema/raw/master/csl-citation.json"} </w:instrText>
      </w:r>
      <w:r>
        <w:fldChar w:fldCharType="separate"/>
      </w:r>
      <w:r w:rsidRPr="007D1D9B">
        <w:rPr>
          <w:sz w:val="22"/>
        </w:rPr>
        <w:t>[2]</w:t>
      </w:r>
      <w:r>
        <w:fldChar w:fldCharType="end"/>
      </w:r>
      <w:r>
        <w:t xml:space="preserve">. </w:t>
      </w:r>
      <w:r w:rsidRPr="00367E3F">
        <w:rPr>
          <w:color w:val="000000" w:themeColor="text1"/>
        </w:rPr>
        <w:t xml:space="preserve">В клинических исследованиях лекарственного взаимодействия линаглиптин не оказывал существенного влияния на фармакокинетику дигоксина, глибурида, симвастатина, пиоглитазона, варфарина, этинилэстрадиола, норэтиндрона и метформина, что указывает на отсутствие значительного влияния линаглиптина на переносчики лекарств, включая P-gp, OCT2 и MATE и различные метаболизирующие ферменты </w:t>
      </w:r>
      <w:r w:rsidRPr="00367E3F">
        <w:rPr>
          <w:color w:val="000000" w:themeColor="text1"/>
        </w:rPr>
        <w:fldChar w:fldCharType="begin"/>
      </w:r>
      <w:r w:rsidRPr="00367E3F">
        <w:rPr>
          <w:color w:val="000000" w:themeColor="text1"/>
        </w:rPr>
        <w:instrText xml:space="preserve"> ADDIN ZOTERO_ITEM CSL_CITATION {"citationID":"HGBhCK01","properties":{"formattedCitation":"[8]","plainCitation":"[8]","noteIndex":0},"citationItems":[{"id":3030,"uris":["http://zotero.org/users/5483459/items/2E24C9VQ"],"itemData":{"id":3030,"type":"article-journal","abstract":"Gu N, et al. Transl Clin Pharmacol. 2020 Mar;28(1):17-33. https://doi.org/10.12793/tcp.2020.28.e4","container-title":"Translational and Clinical Pharmacology","DOI":"10.12793/tcp.2020.28.e4","ISSN":"2289-0882","issue":"1","language":"English","page":"17-33","source":"tcpharm.org","title":"Possibility of pharmacokinetic drug interaction between a DPP-4 inhibitor and a SGLT2 inhibitor","volume":"28","author":[{"family":"Gu","given":"Namyi"},{"family":"Park","given":"Sang-In"},{"family":"Chung","given":"Hyewon"},{"family":"Jin","given":"Xuanyou"},{"family":"Lee","given":"SeungHwan"},{"family":"Kim","given":"Tae-Eun"}],"issued":{"date-parts":[["2020",3]]}}}],"schema":"https://github.com/citation-style-language/schema/raw/master/csl-citation.json"} </w:instrText>
      </w:r>
      <w:r w:rsidRPr="00367E3F">
        <w:rPr>
          <w:color w:val="000000" w:themeColor="text1"/>
        </w:rPr>
        <w:fldChar w:fldCharType="separate"/>
      </w:r>
      <w:r w:rsidRPr="00367E3F">
        <w:rPr>
          <w:color w:val="000000" w:themeColor="text1"/>
        </w:rPr>
        <w:t>[8]</w:t>
      </w:r>
      <w:r w:rsidRPr="00367E3F">
        <w:rPr>
          <w:color w:val="000000" w:themeColor="text1"/>
        </w:rPr>
        <w:fldChar w:fldCharType="end"/>
      </w:r>
      <w:r w:rsidRPr="00367E3F">
        <w:rPr>
          <w:color w:val="000000" w:themeColor="text1"/>
        </w:rPr>
        <w:t>.</w:t>
      </w:r>
    </w:p>
    <w:p w14:paraId="03B69E2B" w14:textId="77777777" w:rsidR="004B1452" w:rsidRDefault="004B1452" w:rsidP="004B1452">
      <w:pPr>
        <w:pStyle w:val="2"/>
        <w:spacing w:line="240" w:lineRule="auto"/>
        <w:rPr>
          <w:color w:val="000000" w:themeColor="text1"/>
        </w:rPr>
      </w:pPr>
      <w:bookmarkStart w:id="128" w:name="_Toc139361963"/>
      <w:bookmarkEnd w:id="109"/>
      <w:bookmarkEnd w:id="110"/>
      <w:bookmarkEnd w:id="111"/>
      <w:r w:rsidRPr="005E6358">
        <w:rPr>
          <w:color w:val="000000" w:themeColor="text1"/>
        </w:rPr>
        <w:t>3.3. Токсикологические исследования</w:t>
      </w:r>
      <w:bookmarkEnd w:id="112"/>
      <w:bookmarkEnd w:id="128"/>
    </w:p>
    <w:p w14:paraId="0FDE7EF6" w14:textId="77777777" w:rsidR="004B1452" w:rsidRDefault="004B1452" w:rsidP="004B1452">
      <w:pPr>
        <w:ind w:firstLine="709"/>
      </w:pPr>
      <w:r>
        <w:t xml:space="preserve">Токсичность при однократном и многократном введении </w:t>
      </w:r>
      <w:r w:rsidRPr="005C44BD">
        <w:t>линаглиптин</w:t>
      </w:r>
      <w:r>
        <w:t>а изучали у крыс, собак и обезьян.</w:t>
      </w:r>
    </w:p>
    <w:p w14:paraId="65B964B4" w14:textId="77777777" w:rsidR="004B1452" w:rsidRDefault="004B1452" w:rsidP="004B1452">
      <w:pPr>
        <w:pStyle w:val="3"/>
        <w:spacing w:after="240"/>
        <w:rPr>
          <w:rFonts w:ascii="Times New Roman" w:hAnsi="Times New Roman"/>
          <w:color w:val="000000" w:themeColor="text1"/>
          <w:szCs w:val="24"/>
        </w:rPr>
      </w:pPr>
      <w:bookmarkStart w:id="129" w:name="_Toc139361964"/>
      <w:r w:rsidRPr="005E6358">
        <w:rPr>
          <w:rFonts w:ascii="Times New Roman" w:hAnsi="Times New Roman"/>
          <w:color w:val="000000" w:themeColor="text1"/>
        </w:rPr>
        <w:lastRenderedPageBreak/>
        <w:t>3.3.1.</w:t>
      </w:r>
      <w:r>
        <w:rPr>
          <w:rFonts w:ascii="Times New Roman" w:hAnsi="Times New Roman"/>
          <w:color w:val="000000" w:themeColor="text1"/>
        </w:rPr>
        <w:t xml:space="preserve"> </w:t>
      </w:r>
      <w:r w:rsidRPr="005E6358">
        <w:rPr>
          <w:rFonts w:ascii="Times New Roman" w:hAnsi="Times New Roman"/>
          <w:color w:val="000000" w:themeColor="text1"/>
        </w:rPr>
        <w:t>Токсичность</w:t>
      </w:r>
      <w:r w:rsidRPr="005E6358">
        <w:rPr>
          <w:rFonts w:ascii="Times New Roman" w:hAnsi="Times New Roman"/>
          <w:color w:val="000000" w:themeColor="text1"/>
          <w:szCs w:val="24"/>
        </w:rPr>
        <w:t xml:space="preserve"> при однократном введении</w:t>
      </w:r>
      <w:bookmarkEnd w:id="129"/>
    </w:p>
    <w:p w14:paraId="14593638" w14:textId="77777777" w:rsidR="004B1452" w:rsidRDefault="004B1452" w:rsidP="0086165A">
      <w:pPr>
        <w:ind w:firstLine="709"/>
      </w:pPr>
      <w:r>
        <w:t xml:space="preserve">Исследования токсичности однократной дозы проводились на мышах и крысах после внутривенного и перорального введения и у обезьян с использованием возрастающей дозировки при пероральном приеме. </w:t>
      </w:r>
    </w:p>
    <w:p w14:paraId="3D81BA3E" w14:textId="6334C791" w:rsidR="004B1452" w:rsidRPr="00022A68" w:rsidRDefault="00227E1C" w:rsidP="0086165A">
      <w:pPr>
        <w:ind w:firstLine="709"/>
      </w:pPr>
      <w:r>
        <w:t>В</w:t>
      </w:r>
      <w:r w:rsidR="004B1452">
        <w:t xml:space="preserve"> исследовани</w:t>
      </w:r>
      <w:r w:rsidR="00045C00">
        <w:t>и на мышах (по 3 самца, 3 самки</w:t>
      </w:r>
      <w:r w:rsidR="004B1452">
        <w:t xml:space="preserve"> в экспериментальной группе, 3 в контроле) </w:t>
      </w:r>
      <w:r w:rsidR="004B1452" w:rsidRPr="005C44BD">
        <w:t>линаглиптин</w:t>
      </w:r>
      <w:r w:rsidR="004B1452">
        <w:t xml:space="preserve"> вводили внутривенно в дозах 10, 30, 60 мг/кг, не отмечалось изменений в изучаемых параметрах (вес, потребление пищи и воды, клинический и биохимический анализы крови, анализ мочи, патологических изменений при некропсии). М</w:t>
      </w:r>
      <w:r w:rsidR="004B1452" w:rsidRPr="00022A68">
        <w:t xml:space="preserve">аксимальная нелетальная </w:t>
      </w:r>
      <w:r w:rsidR="004B1452">
        <w:t xml:space="preserve">внутривенная </w:t>
      </w:r>
      <w:r w:rsidR="004B1452" w:rsidRPr="00022A68">
        <w:t>доза</w:t>
      </w:r>
      <w:r w:rsidR="004B1452">
        <w:t xml:space="preserve"> составила 60 мг/кг.</w:t>
      </w:r>
    </w:p>
    <w:p w14:paraId="34D2A355" w14:textId="1C075EC5" w:rsidR="004B1452" w:rsidRDefault="00227E1C" w:rsidP="0086165A">
      <w:pPr>
        <w:ind w:firstLine="709"/>
      </w:pPr>
      <w:r>
        <w:t>В</w:t>
      </w:r>
      <w:r w:rsidR="004B1452">
        <w:t xml:space="preserve"> исследова</w:t>
      </w:r>
      <w:r w:rsidR="00045C00">
        <w:t>нии у крыс (по 3 самца, 3 самки</w:t>
      </w:r>
      <w:r w:rsidR="004B1452">
        <w:t xml:space="preserve"> в экспериментальной группе, 3 в контроле) </w:t>
      </w:r>
      <w:r w:rsidR="004B1452" w:rsidRPr="005C44BD">
        <w:t>линаглиптин</w:t>
      </w:r>
      <w:r w:rsidR="004B1452">
        <w:t xml:space="preserve"> вводили внутривенно </w:t>
      </w:r>
      <w:r>
        <w:t>в дозах</w:t>
      </w:r>
      <w:r w:rsidR="004B1452">
        <w:t xml:space="preserve"> 10, 30, 60, 120 мг/кг, не отмечалось изменений в изучаемых параметрах (вес, потребление пищи и воды, клинический и биохимический анализы крови, анализ мочи, патологических изменений при некропсии)</w:t>
      </w:r>
      <w:r w:rsidR="004B1452" w:rsidRPr="00A6065C">
        <w:t xml:space="preserve"> </w:t>
      </w:r>
      <w:r w:rsidR="004B1452">
        <w:t xml:space="preserve">при дозе </w:t>
      </w:r>
      <w:r w:rsidR="0098490B">
        <w:t>до 60</w:t>
      </w:r>
      <w:r w:rsidR="004B1452">
        <w:t xml:space="preserve"> мг/кг. После введения дозы 120 мг две крысы умерли, остальным животным линашлиптин не вводили. </w:t>
      </w:r>
      <w:r w:rsidR="0098490B">
        <w:t>При</w:t>
      </w:r>
      <w:r w:rsidR="004B1452">
        <w:t xml:space="preserve"> некропсии умерших крыс </w:t>
      </w:r>
      <w:r w:rsidR="009C7F94">
        <w:t xml:space="preserve">отмечались </w:t>
      </w:r>
      <w:r w:rsidR="00045C00">
        <w:t xml:space="preserve">стаз, отек </w:t>
      </w:r>
      <w:r w:rsidR="004B1452">
        <w:t xml:space="preserve">и </w:t>
      </w:r>
      <w:r w:rsidR="0098490B">
        <w:t>гиперемия легких</w:t>
      </w:r>
      <w:r w:rsidR="004B1452">
        <w:t>, печени и тонкой кишки. М</w:t>
      </w:r>
      <w:r w:rsidR="004B1452" w:rsidRPr="00022A68">
        <w:t xml:space="preserve">аксимальная нелетальная </w:t>
      </w:r>
      <w:r w:rsidR="004B1452">
        <w:t xml:space="preserve">внутривенная </w:t>
      </w:r>
      <w:r w:rsidR="004B1452" w:rsidRPr="00022A68">
        <w:t>доза</w:t>
      </w:r>
      <w:r w:rsidR="004B1452">
        <w:t xml:space="preserve"> составила 60 мг/кг.</w:t>
      </w:r>
    </w:p>
    <w:p w14:paraId="0FD0C04F" w14:textId="73E43E91" w:rsidR="004B1452" w:rsidRPr="00022A68" w:rsidRDefault="0098490B" w:rsidP="0098490B">
      <w:pPr>
        <w:ind w:firstLine="709"/>
      </w:pPr>
      <w:r>
        <w:t>В</w:t>
      </w:r>
      <w:r w:rsidR="004B1452">
        <w:t xml:space="preserve"> исследовани</w:t>
      </w:r>
      <w:r w:rsidR="00045C00">
        <w:t>и на мышах (по 3 самца, 3 самки</w:t>
      </w:r>
      <w:r w:rsidR="004B1452">
        <w:t xml:space="preserve"> в экспериментальной группе, 3 в контроле) </w:t>
      </w:r>
      <w:r w:rsidR="004B1452" w:rsidRPr="005C44BD">
        <w:t>линаглиптин</w:t>
      </w:r>
      <w:r w:rsidR="004B1452">
        <w:t xml:space="preserve"> вводили перорально через желудочный зонд в дозах 1000 и 2000 мг/кг, 1 мышь умерла через 4 часа после введения 1000 мг/кг. Клинические проявления после введения</w:t>
      </w:r>
      <w:r w:rsidR="00045C00">
        <w:t xml:space="preserve"> – снижение моторной активности </w:t>
      </w:r>
      <w:r w:rsidR="004B1452">
        <w:t xml:space="preserve">и пилоэрекция. При некропсии </w:t>
      </w:r>
      <w:r w:rsidR="009C7F94">
        <w:t xml:space="preserve">отмечались </w:t>
      </w:r>
      <w:r w:rsidR="004B1452">
        <w:t xml:space="preserve">стаз в печени, отек </w:t>
      </w:r>
      <w:r w:rsidR="009C7F94">
        <w:t xml:space="preserve">тканей </w:t>
      </w:r>
      <w:r w:rsidR="004B1452">
        <w:t>желудка, кишечника, отек и гиперемия двенадцатиперстной кишки. М</w:t>
      </w:r>
      <w:r w:rsidR="004B1452" w:rsidRPr="00022A68">
        <w:t xml:space="preserve">аксимальная нелетальная </w:t>
      </w:r>
      <w:r w:rsidR="00045C00">
        <w:t>пероральная</w:t>
      </w:r>
      <w:r w:rsidR="004B1452">
        <w:t xml:space="preserve"> </w:t>
      </w:r>
      <w:r w:rsidR="004B1452" w:rsidRPr="00022A68">
        <w:t>доза</w:t>
      </w:r>
      <w:r w:rsidR="004B1452">
        <w:t xml:space="preserve"> не определена.</w:t>
      </w:r>
    </w:p>
    <w:p w14:paraId="566E54AA" w14:textId="30787547" w:rsidR="004B1452" w:rsidRDefault="0098490B" w:rsidP="0098490B">
      <w:pPr>
        <w:ind w:firstLine="709"/>
      </w:pPr>
      <w:r>
        <w:t>В</w:t>
      </w:r>
      <w:r w:rsidR="004B1452">
        <w:t xml:space="preserve"> исследова</w:t>
      </w:r>
      <w:r w:rsidR="00045C00">
        <w:t>нии у крыс (по 3 самца, 3 самки</w:t>
      </w:r>
      <w:r w:rsidR="004B1452">
        <w:t xml:space="preserve"> в экспериментальной группе, 3 в контроле) </w:t>
      </w:r>
      <w:r w:rsidR="004B1452" w:rsidRPr="005C44BD">
        <w:t>линаглиптин</w:t>
      </w:r>
      <w:r w:rsidR="004B1452">
        <w:t xml:space="preserve"> вводили перорально через желудочный зонд в дозах 1000 и 2000 мг/кг, не отмечалось изменений в изучаемых параметрах (вес, потребление пищи и воды, клинический и биохимический анализы крови, анализ мочи, патологических изменений при некропсии)</w:t>
      </w:r>
      <w:r w:rsidR="004B1452" w:rsidRPr="00A6065C">
        <w:t xml:space="preserve"> </w:t>
      </w:r>
      <w:r w:rsidR="004B1452">
        <w:t xml:space="preserve">при дозе 1000 и 2000 мг/кг. </w:t>
      </w:r>
      <w:r w:rsidR="00106AB7">
        <w:t>При</w:t>
      </w:r>
      <w:r w:rsidR="004B1452">
        <w:t xml:space="preserve"> некропсии отмечались отек и гиперемия тимуса у одной крысы. М</w:t>
      </w:r>
      <w:r w:rsidR="004B1452" w:rsidRPr="00022A68">
        <w:t xml:space="preserve">аксимальная нелетальная </w:t>
      </w:r>
      <w:r w:rsidR="004B1452">
        <w:t xml:space="preserve">пероральная </w:t>
      </w:r>
      <w:r w:rsidR="004B1452" w:rsidRPr="00022A68">
        <w:t>доза</w:t>
      </w:r>
      <w:r w:rsidR="004B1452">
        <w:t xml:space="preserve"> составила 2000 мг/кг.</w:t>
      </w:r>
    </w:p>
    <w:p w14:paraId="61B2DFEA" w14:textId="77777777" w:rsidR="004B1452" w:rsidRDefault="004B1452" w:rsidP="004B1452">
      <w:pPr>
        <w:pStyle w:val="3"/>
        <w:spacing w:after="240"/>
        <w:rPr>
          <w:rFonts w:ascii="Times New Roman" w:hAnsi="Times New Roman"/>
          <w:color w:val="000000" w:themeColor="text1"/>
        </w:rPr>
      </w:pPr>
      <w:bookmarkStart w:id="130" w:name="_Toc139361965"/>
      <w:r w:rsidRPr="005E6358">
        <w:rPr>
          <w:rFonts w:ascii="Times New Roman" w:hAnsi="Times New Roman"/>
          <w:color w:val="000000" w:themeColor="text1"/>
        </w:rPr>
        <w:t>3.3.2. Токсичность</w:t>
      </w:r>
      <w:r>
        <w:rPr>
          <w:rFonts w:ascii="Times New Roman" w:hAnsi="Times New Roman"/>
          <w:color w:val="000000" w:themeColor="text1"/>
        </w:rPr>
        <w:t xml:space="preserve"> </w:t>
      </w:r>
      <w:r w:rsidRPr="005E6358">
        <w:rPr>
          <w:rFonts w:ascii="Times New Roman" w:hAnsi="Times New Roman"/>
          <w:color w:val="000000" w:themeColor="text1"/>
        </w:rPr>
        <w:t>при многократном введении</w:t>
      </w:r>
      <w:bookmarkEnd w:id="130"/>
    </w:p>
    <w:p w14:paraId="2644EBE7" w14:textId="70724A11" w:rsidR="004B1452" w:rsidRDefault="00106AB7" w:rsidP="00106AB7">
      <w:pPr>
        <w:ind w:firstLine="709"/>
      </w:pPr>
      <w:r>
        <w:t>Проведены</w:t>
      </w:r>
      <w:r w:rsidR="004B1452">
        <w:t xml:space="preserve"> исследования токсичности повторных доз при пероральном введении продолжительностью до 3 месяцев у мышей, 6 месяцев у крыс, 4 недели у собак, 3 дня у мини-свиней (без вскрытия) и 12 месяцев у обезьян </w:t>
      </w:r>
      <w:r w:rsidR="004B1452" w:rsidRPr="007777C6">
        <w:rPr>
          <w:i/>
          <w:iCs/>
        </w:rPr>
        <w:t>Cynomolgus</w:t>
      </w:r>
      <w:r w:rsidR="004B1452">
        <w:rPr>
          <w:i/>
          <w:iCs/>
        </w:rPr>
        <w:t xml:space="preserve">. </w:t>
      </w:r>
    </w:p>
    <w:p w14:paraId="3D1AB2DE" w14:textId="77777777" w:rsidR="004B1452" w:rsidRDefault="004B1452" w:rsidP="00106AB7">
      <w:pPr>
        <w:ind w:firstLine="709"/>
      </w:pPr>
      <w:r>
        <w:t>Исследования токсичности повторных доз при внутривенном введении продолжительностью до 2 недель проводились у крыс и обезьян. Токсикокинетические исследования проводились во всех исследованиях, токсикокинетические данные были также получены для CD1790 (основного человеческого метаболита) в основных исследованиях токсичности повторных доз и исследованиях канцерогенности.</w:t>
      </w:r>
    </w:p>
    <w:p w14:paraId="444CC018" w14:textId="6F95DF02" w:rsidR="004B1452" w:rsidRDefault="00045C00" w:rsidP="00106AB7">
      <w:pPr>
        <w:ind w:firstLine="709"/>
      </w:pPr>
      <w:r>
        <w:t>В 4-недельном исследовании у мышей</w:t>
      </w:r>
      <w:r w:rsidR="004B1452">
        <w:rPr>
          <w:i/>
          <w:iCs/>
        </w:rPr>
        <w:t xml:space="preserve"> </w:t>
      </w:r>
      <w:r w:rsidR="004B1452" w:rsidRPr="005C44BD">
        <w:t>линаглиптин</w:t>
      </w:r>
      <w:r w:rsidR="004B1452">
        <w:t xml:space="preserve"> вводили </w:t>
      </w:r>
      <w:r w:rsidR="004B1452" w:rsidRPr="00AA16B4">
        <w:t>перорально</w:t>
      </w:r>
      <w:r w:rsidR="004B1452">
        <w:t xml:space="preserve"> </w:t>
      </w:r>
      <w:r w:rsidR="004B1452" w:rsidRPr="00AA16B4">
        <w:t xml:space="preserve">один раз в </w:t>
      </w:r>
      <w:r w:rsidR="009C7F94">
        <w:t>сутки</w:t>
      </w:r>
      <w:r w:rsidR="004B1452" w:rsidRPr="00AA16B4">
        <w:t xml:space="preserve"> </w:t>
      </w:r>
      <w:r w:rsidR="004B1452">
        <w:t xml:space="preserve">через желудочный зонд </w:t>
      </w:r>
      <w:r w:rsidR="004B1452" w:rsidRPr="00AA16B4">
        <w:t>в дозах</w:t>
      </w:r>
      <w:r w:rsidR="004B1452">
        <w:t xml:space="preserve"> 60, 120, 300, 600 мг/кг/сутки. Летальных исходов не было. Основным органом-мишенью был желудок. М</w:t>
      </w:r>
      <w:r w:rsidR="004B1452" w:rsidRPr="00084F17">
        <w:t>аксимальн</w:t>
      </w:r>
      <w:r w:rsidR="00CD3332">
        <w:t>ая</w:t>
      </w:r>
      <w:r w:rsidR="004B1452" w:rsidRPr="00084F17">
        <w:t xml:space="preserve"> переносимая доза </w:t>
      </w:r>
      <w:r w:rsidR="004B1452">
        <w:t>(</w:t>
      </w:r>
      <w:r w:rsidR="004B1452" w:rsidRPr="00084F17">
        <w:t>МП</w:t>
      </w:r>
      <w:r w:rsidR="004B1452">
        <w:t>Д) составила 300 мг/кг/день</w:t>
      </w:r>
      <w:r w:rsidR="00CD3332">
        <w:t>, данный вывод сделан</w:t>
      </w:r>
      <w:r w:rsidR="004B1452">
        <w:t xml:space="preserve"> </w:t>
      </w:r>
      <w:r w:rsidR="00C85EE8">
        <w:t>на основании данных о</w:t>
      </w:r>
      <w:r w:rsidR="004B1452">
        <w:t xml:space="preserve"> частот</w:t>
      </w:r>
      <w:r w:rsidR="00C85EE8">
        <w:t>е</w:t>
      </w:r>
      <w:r w:rsidR="004B1452">
        <w:t xml:space="preserve"> и тяжести гистопатологи</w:t>
      </w:r>
      <w:r w:rsidR="00C85EE8">
        <w:t>ческих нарушений в тканях</w:t>
      </w:r>
      <w:r w:rsidR="004B1452">
        <w:t xml:space="preserve"> желудка при дозе 600 мг/кг/день. NOAEL  составила 60 мг/кг/день </w:t>
      </w:r>
      <w:r w:rsidR="004B1452" w:rsidRPr="005C44BD">
        <w:t>линаглиптин</w:t>
      </w:r>
      <w:r w:rsidR="004B1452">
        <w:t xml:space="preserve">а на основании данных гистопатологии (гиперкератоз или гиперплазия эпителия желудка) при дозе 120 мг/кг/день </w:t>
      </w:r>
      <w:r w:rsidR="004B1452">
        <w:fldChar w:fldCharType="begin"/>
      </w:r>
      <w:r w:rsidR="004B1452">
        <w:instrText xml:space="preserve"> ADDIN ZOTERO_ITEM CSL_CITATION {"citationID":"AJbx6Y1S","properties":{"formattedCitation":"[2,3,9]","plainCitation":"[2,3,9]","noteIndex":0},"citationItems":[{"id":2978,"uris":["http://zotero.org/users/5483459/items/DHAYHB8P"],"itemData":{"id":2978,"type":"document","title":"U.S.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04.03.2011"},"label":"page"},{"id":3035,"uris":["http://zotero.org/users/5483459/items/A4NC89C5"],"itemData":{"id":3035,"type":"document","title":"Australian government. Australian Public Assessment Report for Linagliptin. Proprietary Product Name: Trajenta Sponsor: Boehringer Ingleheim (Australia) Pty Ltd. 2011."},"label":"page"},{"id":2939,"uris":["http://zotero.org/users/5483459/items/SJBZ4HU2"],"itemData":{"id":2939,"type":"document","title":"European  Medicines Agency.Assessment report Trajenta (linagliptin). Procedure No.: EMEA/H/C/002110/0000"},"label":"page"}],"schema":"https://github.com/citation-style-language/schema/raw/master/csl-citation.json"} </w:instrText>
      </w:r>
      <w:r w:rsidR="004B1452">
        <w:fldChar w:fldCharType="separate"/>
      </w:r>
      <w:r w:rsidR="004B1452" w:rsidRPr="00BC7954">
        <w:t>[2,3,9]</w:t>
      </w:r>
      <w:r w:rsidR="004B1452">
        <w:fldChar w:fldCharType="end"/>
      </w:r>
      <w:r w:rsidR="004B1452">
        <w:t>.</w:t>
      </w:r>
    </w:p>
    <w:p w14:paraId="4F724391" w14:textId="6B16AB0B" w:rsidR="004B1452" w:rsidRDefault="004B1452" w:rsidP="00106AB7">
      <w:pPr>
        <w:ind w:firstLine="709"/>
      </w:pPr>
      <w:r>
        <w:lastRenderedPageBreak/>
        <w:t xml:space="preserve">В 12- недельном исследовании у мышей </w:t>
      </w:r>
      <w:r w:rsidRPr="005C44BD">
        <w:t>линаглиптин</w:t>
      </w:r>
      <w:r>
        <w:t xml:space="preserve"> вводили </w:t>
      </w:r>
      <w:r w:rsidRPr="00AA16B4">
        <w:t>перорально</w:t>
      </w:r>
      <w:r>
        <w:t xml:space="preserve"> </w:t>
      </w:r>
      <w:r w:rsidRPr="00AA16B4">
        <w:t xml:space="preserve">один раз в </w:t>
      </w:r>
      <w:r w:rsidR="00FF7F9F">
        <w:t>сутки</w:t>
      </w:r>
      <w:r w:rsidRPr="00AA16B4">
        <w:t xml:space="preserve"> </w:t>
      </w:r>
      <w:r>
        <w:t xml:space="preserve">через желудочный зонд </w:t>
      </w:r>
      <w:r w:rsidRPr="00AA16B4">
        <w:t>в дозах</w:t>
      </w:r>
      <w:r w:rsidR="00045C00">
        <w:t xml:space="preserve"> 100, 300</w:t>
      </w:r>
      <w:r w:rsidR="00FF7F9F">
        <w:t xml:space="preserve">, 600 </w:t>
      </w:r>
      <w:r>
        <w:t>мг/кг/сутки. Клиническими признаками интоксикации были частично закрытые веки, пилоэрекция, гипоактивность, вздутие живота. Вздутие живота расценен</w:t>
      </w:r>
      <w:r w:rsidR="00FF7F9F">
        <w:t>о</w:t>
      </w:r>
      <w:r>
        <w:t xml:space="preserve"> как симптом пареза желудочно-кишечного тракта, которые в сочетании с небольшим снижением уровня глюкозы в плазме соответствовали фармакологическим эффектам ингибирования ДПП-4 из-за увеличения циркулирующих </w:t>
      </w:r>
      <w:bookmarkStart w:id="131" w:name="_Hlk120904525"/>
      <w:r>
        <w:t xml:space="preserve">инкретинов (ГПП-1, ГИП). </w:t>
      </w:r>
      <w:bookmarkEnd w:id="131"/>
      <w:r>
        <w:t>Желудок, печень и почки были идентифицированы как органы-мишени. МПД составила 300 мг/кг/сут</w:t>
      </w:r>
      <w:r w:rsidR="00FF7F9F">
        <w:t>ки</w:t>
      </w:r>
      <w:r>
        <w:t xml:space="preserve"> </w:t>
      </w:r>
      <w:r w:rsidR="00FF7F9F">
        <w:t xml:space="preserve">и </w:t>
      </w:r>
      <w:r>
        <w:t>была установлена на основании летальны</w:t>
      </w:r>
      <w:r w:rsidR="00FF7F9F">
        <w:t xml:space="preserve">х </w:t>
      </w:r>
      <w:r>
        <w:t>исход</w:t>
      </w:r>
      <w:r w:rsidR="00FF7F9F">
        <w:t>ов</w:t>
      </w:r>
      <w:r>
        <w:t xml:space="preserve"> в группе 600 мг/кг/</w:t>
      </w:r>
      <w:r w:rsidR="00FF7F9F" w:rsidRPr="00FF7F9F">
        <w:t xml:space="preserve"> </w:t>
      </w:r>
      <w:r w:rsidR="00FF7F9F">
        <w:t>сутки</w:t>
      </w:r>
      <w:r>
        <w:t>, связанные в нескольких случаях с почечной недостаточностью и/или желудочно-кишечной токсичностью. NOAEL составила 100 мг/кг/</w:t>
      </w:r>
      <w:r w:rsidR="00FF7F9F" w:rsidRPr="00FF7F9F">
        <w:t xml:space="preserve"> </w:t>
      </w:r>
      <w:r w:rsidR="00FF7F9F">
        <w:t xml:space="preserve">сутки </w:t>
      </w:r>
      <w:r>
        <w:fldChar w:fldCharType="begin"/>
      </w:r>
      <w:r>
        <w:instrText xml:space="preserve"> ADDIN ZOTERO_ITEM CSL_CITATION {"citationID":"ZwvETIBd","properties":{"formattedCitation":"[2,3,9]","plainCitation":"[2,3,9]","noteIndex":0},"citationItems":[{"id":2978,"uris":["http://zotero.org/users/5483459/items/DHAYHB8P"],"itemData":{"id":2978,"type":"document","title":"U.S.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04.03.2011"},"label":"page"},{"id":3035,"uris":["http://zotero.org/users/5483459/items/A4NC89C5"],"itemData":{"id":3035,"type":"document","title":"Australian government. Australian Public Assessment Report for Linagliptin. Proprietary Product Name: Trajenta Sponsor: Boehringer Ingleheim (Australia) Pty Ltd. 2011."},"label":"page"},{"id":2939,"uris":["http://zotero.org/users/5483459/items/SJBZ4HU2"],"itemData":{"id":2939,"type":"document","title":"European  Medicines Agency.Assessment report Trajenta (linagliptin). Procedure No.: EMEA/H/C/002110/0000"},"label":"page"}],"schema":"https://github.com/citation-style-language/schema/raw/master/csl-citation.json"} </w:instrText>
      </w:r>
      <w:r>
        <w:fldChar w:fldCharType="separate"/>
      </w:r>
      <w:r w:rsidRPr="00BC7954">
        <w:t>[2,3,9]</w:t>
      </w:r>
      <w:r>
        <w:fldChar w:fldCharType="end"/>
      </w:r>
      <w:r>
        <w:t>.</w:t>
      </w:r>
    </w:p>
    <w:p w14:paraId="6D96EC43" w14:textId="552417B1" w:rsidR="004B1452" w:rsidRDefault="00045C00" w:rsidP="00106AB7">
      <w:pPr>
        <w:ind w:firstLine="709"/>
      </w:pPr>
      <w:r>
        <w:t>В 4-</w:t>
      </w:r>
      <w:r w:rsidR="004B1452" w:rsidRPr="00D21625">
        <w:t xml:space="preserve">недельном исследовании у </w:t>
      </w:r>
      <w:r w:rsidR="004B1452">
        <w:t>крыс</w:t>
      </w:r>
      <w:r w:rsidR="004B1452" w:rsidRPr="00D21625">
        <w:t xml:space="preserve"> линаглиптин вводили перорально один раз в </w:t>
      </w:r>
      <w:r w:rsidR="00FF7F9F">
        <w:t>сутки</w:t>
      </w:r>
      <w:r w:rsidR="004B1452" w:rsidRPr="00D21625">
        <w:t xml:space="preserve"> через желудочный зонд в дозах</w:t>
      </w:r>
      <w:r w:rsidR="004B1452">
        <w:t xml:space="preserve"> 100, 300</w:t>
      </w:r>
      <w:r w:rsidR="00FF7F9F">
        <w:t>, 600</w:t>
      </w:r>
      <w:r w:rsidR="004B1452">
        <w:t xml:space="preserve"> мг/кг/сутки.</w:t>
      </w:r>
      <w:r w:rsidR="004B1452" w:rsidRPr="00D21625">
        <w:t xml:space="preserve"> Летальн</w:t>
      </w:r>
      <w:r w:rsidR="00D200AE">
        <w:t>ый исход</w:t>
      </w:r>
      <w:r w:rsidR="004B1452">
        <w:t xml:space="preserve"> </w:t>
      </w:r>
      <w:r w:rsidR="00D200AE">
        <w:t>был зарегистрирован</w:t>
      </w:r>
      <w:r w:rsidR="00FF7F9F">
        <w:t xml:space="preserve"> у одной самки</w:t>
      </w:r>
      <w:r w:rsidR="004B1452" w:rsidRPr="00D21625">
        <w:t xml:space="preserve">. </w:t>
      </w:r>
      <w:r w:rsidR="004B1452">
        <w:t>Клиническими признаками интоксикации были пилоэрекци</w:t>
      </w:r>
      <w:r w:rsidR="00D200AE">
        <w:t>я</w:t>
      </w:r>
      <w:r w:rsidR="004B1452">
        <w:t>, вздутие живота, исхудание и очаговая алопеция при дозе 600</w:t>
      </w:r>
      <w:r w:rsidR="00FF7F9F">
        <w:t xml:space="preserve"> </w:t>
      </w:r>
      <w:r w:rsidR="004B1452">
        <w:t xml:space="preserve">мг/кг. Снижение массы тела отмечалось у самок при дозах 60 мг/кг и выше и у самцов при дозах 600 мг/кг. Изменения клинических параметров включали повышение лейкоцитов, нейтрофилов, лимфоцитов, АЛТ, </w:t>
      </w:r>
      <w:r w:rsidR="00FF7F9F">
        <w:t>аспартатаминотрансферазы (</w:t>
      </w:r>
      <w:r w:rsidR="004B1452">
        <w:t>АСТ</w:t>
      </w:r>
      <w:r w:rsidR="00FF7F9F">
        <w:t>)</w:t>
      </w:r>
      <w:r w:rsidR="004B1452">
        <w:t>, и альдолазы в период лечения и были обратимы после 4-недельного восстановительного периода.</w:t>
      </w:r>
      <w:r w:rsidR="004B1452" w:rsidRPr="00D21625">
        <w:t xml:space="preserve"> </w:t>
      </w:r>
      <w:r w:rsidR="004B1452">
        <w:t xml:space="preserve">При патологоанатомическом исследовании отмечались изменения массы органов (увеличение массы почек, снижение </w:t>
      </w:r>
      <w:r w:rsidR="00016944">
        <w:t>массы</w:t>
      </w:r>
      <w:r w:rsidR="004B1452">
        <w:t xml:space="preserve"> тимуса, сердца, предстательной железы у самцов и увеличенн</w:t>
      </w:r>
      <w:r w:rsidR="00016944">
        <w:t>ие</w:t>
      </w:r>
      <w:r w:rsidR="004B1452">
        <w:t xml:space="preserve"> </w:t>
      </w:r>
      <w:r w:rsidR="00016944">
        <w:t>массы</w:t>
      </w:r>
      <w:r w:rsidR="004B1452">
        <w:t xml:space="preserve"> почек, печени, надпочечников, снижение </w:t>
      </w:r>
      <w:r w:rsidR="00016944">
        <w:t>массы</w:t>
      </w:r>
      <w:r w:rsidR="004B1452">
        <w:t xml:space="preserve"> тимуса, сердца, яичников и гипофиза у самок при дозе 600 мг/кг), дилатацию в толстой кишке у самцов при доз</w:t>
      </w:r>
      <w:r w:rsidR="00016944">
        <w:t>е</w:t>
      </w:r>
      <w:r w:rsidR="004B1452">
        <w:t xml:space="preserve"> 60 мг/кг и выше, а у самок при дозе 600 мг/кг. Основными органами-мишенями токсичности были кишечник, печень и почки. </w:t>
      </w:r>
      <w:r w:rsidR="004B1452" w:rsidRPr="00D21625">
        <w:t>NOAEL</w:t>
      </w:r>
      <w:r w:rsidR="004B1452">
        <w:t xml:space="preserve"> составлял 60 мг/кг/день, что соответствует 159-кратном</w:t>
      </w:r>
      <w:r w:rsidR="00FC0EC8">
        <w:t>у</w:t>
      </w:r>
      <w:r w:rsidR="004B1452">
        <w:t xml:space="preserve"> </w:t>
      </w:r>
      <w:r w:rsidR="00FC0EC8">
        <w:t>превышению</w:t>
      </w:r>
      <w:r w:rsidR="004B1452">
        <w:t xml:space="preserve"> </w:t>
      </w:r>
      <w:bookmarkStart w:id="132" w:name="_Hlk120949243"/>
      <w:r w:rsidR="004B1452">
        <w:t>максимально</w:t>
      </w:r>
      <w:r w:rsidR="004B1452" w:rsidRPr="00093E95">
        <w:t xml:space="preserve"> </w:t>
      </w:r>
      <w:r w:rsidR="004B1452">
        <w:t>рекомендованной дозы человека</w:t>
      </w:r>
      <w:bookmarkEnd w:id="132"/>
      <w:r w:rsidR="004B1452">
        <w:t xml:space="preserve"> </w:t>
      </w:r>
      <w:r w:rsidR="004B1452">
        <w:fldChar w:fldCharType="begin"/>
      </w:r>
      <w:r w:rsidR="004B1452">
        <w:instrText xml:space="preserve"> ADDIN ZOTERO_ITEM CSL_CITATION {"citationID":"hIHypP3H","properties":{"formattedCitation":"[2,3,9]","plainCitation":"[2,3,9]","noteIndex":0},"citationItems":[{"id":2978,"uris":["http://zotero.org/users/5483459/items/DHAYHB8P"],"itemData":{"id":2978,"type":"document","title":"U.S.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04.03.2011"},"label":"page"},{"id":3035,"uris":["http://zotero.org/users/5483459/items/A4NC89C5"],"itemData":{"id":3035,"type":"document","title":"Australian government. Australian Public Assessment Report for Linagliptin. Proprietary Product Name: Trajenta Sponsor: Boehringer Ingleheim (Australia) Pty Ltd. 2011."},"label":"page"},{"id":2939,"uris":["http://zotero.org/users/5483459/items/SJBZ4HU2"],"itemData":{"id":2939,"type":"document","title":"European  Medicines Agency.Assessment report Trajenta (linagliptin). Procedure No.: EMEA/H/C/002110/0000"},"label":"page"}],"schema":"https://github.com/citation-style-language/schema/raw/master/csl-citation.json"} </w:instrText>
      </w:r>
      <w:r w:rsidR="004B1452">
        <w:fldChar w:fldCharType="separate"/>
      </w:r>
      <w:r w:rsidR="004B1452" w:rsidRPr="00BC7954">
        <w:t>[2,3,9]</w:t>
      </w:r>
      <w:r w:rsidR="004B1452">
        <w:fldChar w:fldCharType="end"/>
      </w:r>
      <w:r w:rsidR="004B1452">
        <w:t>.</w:t>
      </w:r>
    </w:p>
    <w:p w14:paraId="51F2B755" w14:textId="717BDFA1" w:rsidR="004B1452" w:rsidRDefault="004B1452" w:rsidP="00106AB7">
      <w:pPr>
        <w:ind w:firstLine="709"/>
      </w:pPr>
      <w:r w:rsidRPr="00D21625">
        <w:t xml:space="preserve">В </w:t>
      </w:r>
      <w:r>
        <w:t>12</w:t>
      </w:r>
      <w:r w:rsidRPr="00D21625">
        <w:t xml:space="preserve">- недельном исследовании у </w:t>
      </w:r>
      <w:r>
        <w:t>крыс</w:t>
      </w:r>
      <w:r w:rsidRPr="00D21625">
        <w:t xml:space="preserve"> линаглиптин вводили перорально один раз в день через желудочный зонд в дозах </w:t>
      </w:r>
      <w:r>
        <w:t xml:space="preserve">10, 30, 100, 300 мг/кг/сутки. </w:t>
      </w:r>
      <w:r w:rsidR="00FF7F9F" w:rsidRPr="00D21625">
        <w:t>Летальн</w:t>
      </w:r>
      <w:r w:rsidR="00FF7F9F">
        <w:t>ость была зарегистрирована у двух самцов</w:t>
      </w:r>
      <w:r>
        <w:t xml:space="preserve"> при дозе 300 мг/кг/день</w:t>
      </w:r>
      <w:r w:rsidR="00FF7F9F">
        <w:t xml:space="preserve"> и у</w:t>
      </w:r>
      <w:r>
        <w:t xml:space="preserve"> 1 самка при дозе 100 мг/кг/день. Органами-мишенями токсичности были легкие, печень, щитовидная железа (самки) и матка. </w:t>
      </w:r>
      <w:r w:rsidRPr="00D21625">
        <w:t>NOAEL</w:t>
      </w:r>
      <w:r>
        <w:t xml:space="preserve"> составлял &lt;10 мг/кг, что соответствует 13 кратном увеличении максимально</w:t>
      </w:r>
      <w:r w:rsidRPr="00093E95">
        <w:t xml:space="preserve"> </w:t>
      </w:r>
      <w:r>
        <w:t>рекомендованной дозы человека.</w:t>
      </w:r>
    </w:p>
    <w:p w14:paraId="67700E6B" w14:textId="6DB54C56" w:rsidR="004B1452" w:rsidRDefault="004B1452" w:rsidP="00106AB7">
      <w:pPr>
        <w:ind w:firstLine="709"/>
      </w:pPr>
      <w:r w:rsidRPr="00D21625">
        <w:t xml:space="preserve">В </w:t>
      </w:r>
      <w:r>
        <w:t>26</w:t>
      </w:r>
      <w:r w:rsidRPr="00D21625">
        <w:t xml:space="preserve">- недельном исследовании у </w:t>
      </w:r>
      <w:r>
        <w:t>крыс</w:t>
      </w:r>
      <w:r w:rsidRPr="00D21625">
        <w:t xml:space="preserve"> </w:t>
      </w:r>
      <w:r>
        <w:t xml:space="preserve">(20 самок, 20 самцов) </w:t>
      </w:r>
      <w:r w:rsidRPr="00D21625">
        <w:t xml:space="preserve">линаглиптин вводили перорально один раз в </w:t>
      </w:r>
      <w:r w:rsidR="00BE4DE1">
        <w:t>сутки</w:t>
      </w:r>
      <w:r w:rsidRPr="00D21625">
        <w:t xml:space="preserve"> через желудочный зонд в дозах </w:t>
      </w:r>
      <w:r>
        <w:t xml:space="preserve">30, 100, 300 мг/кг/сутки. Токсичность в целом была одинаковой при дозах 100 и 300 мг/кг/сутки с усилением тяжести при высоких дозах. Общая токсичность или, возможно, нейротоксичность </w:t>
      </w:r>
      <w:r w:rsidR="00BE4DE1">
        <w:t>проявлялась</w:t>
      </w:r>
      <w:r>
        <w:t xml:space="preserve"> как преходящее снижение двигательной активности. Органами-мишенями были почки, печень, легкие, желудок и щитовидная железа. NOAEL = 30 мг/кг, что соответствует 66 кратном</w:t>
      </w:r>
      <w:r w:rsidR="00054AC9">
        <w:t>у</w:t>
      </w:r>
      <w:r>
        <w:t xml:space="preserve"> </w:t>
      </w:r>
      <w:r w:rsidR="00054AC9">
        <w:t>превышению</w:t>
      </w:r>
      <w:r>
        <w:t xml:space="preserve"> максимально</w:t>
      </w:r>
      <w:r w:rsidRPr="00093E95">
        <w:t xml:space="preserve"> </w:t>
      </w:r>
      <w:r>
        <w:t>рекомендованной дозы человека.</w:t>
      </w:r>
    </w:p>
    <w:p w14:paraId="50E61735" w14:textId="77777777" w:rsidR="004B1452" w:rsidRDefault="004B1452" w:rsidP="00106AB7">
      <w:pPr>
        <w:ind w:firstLine="709"/>
      </w:pPr>
      <w:r>
        <w:t xml:space="preserve">Токсичность линаглиптина у негрызунов оценивали на собаках и обезьянах. </w:t>
      </w:r>
    </w:p>
    <w:p w14:paraId="26151B28" w14:textId="1287524F" w:rsidR="004B1452" w:rsidRDefault="004B1452" w:rsidP="00106AB7">
      <w:pPr>
        <w:ind w:firstLine="709"/>
      </w:pPr>
      <w:r w:rsidRPr="00D21625">
        <w:t xml:space="preserve">В </w:t>
      </w:r>
      <w:r>
        <w:t>2</w:t>
      </w:r>
      <w:r w:rsidR="00045C00">
        <w:t>-</w:t>
      </w:r>
      <w:r w:rsidRPr="00D21625">
        <w:t xml:space="preserve">недельном исследовании у </w:t>
      </w:r>
      <w:r>
        <w:t xml:space="preserve">собак (2 самки, 2 самца) </w:t>
      </w:r>
      <w:r w:rsidRPr="00D21625">
        <w:t xml:space="preserve">линаглиптин вводили перорально один раз в </w:t>
      </w:r>
      <w:r w:rsidR="00BE4DE1">
        <w:t>сутки</w:t>
      </w:r>
      <w:r w:rsidRPr="00D21625">
        <w:t xml:space="preserve"> через желудочный зонд в дозах</w:t>
      </w:r>
      <w:r w:rsidR="00045C00">
        <w:t xml:space="preserve"> </w:t>
      </w:r>
      <w:r>
        <w:t xml:space="preserve">15, 45, 150 мг/кг/сутки. </w:t>
      </w:r>
      <w:r w:rsidR="00BE4DE1">
        <w:t>Зарегистрирована</w:t>
      </w:r>
      <w:r>
        <w:t xml:space="preserve"> 1 летальность при дозе 45 мг/кг (причин</w:t>
      </w:r>
      <w:r w:rsidR="00BE4DE1">
        <w:t>а</w:t>
      </w:r>
      <w:r>
        <w:t xml:space="preserve"> смерти пневмония, инфаркт миокарда, токсичность костного мозга, печени, сердца, лимфатических узлов, яичек, легких и костей). NOAEL составил 9 мг/кг (в 44 раза больше максимально</w:t>
      </w:r>
      <w:r w:rsidRPr="00093E95">
        <w:t xml:space="preserve"> </w:t>
      </w:r>
      <w:r>
        <w:t xml:space="preserve">рекомендованной дозы человека). </w:t>
      </w:r>
      <w:r w:rsidRPr="00EE69EB">
        <w:t xml:space="preserve">Клиническими признаками интоксикации были </w:t>
      </w:r>
      <w:r>
        <w:t xml:space="preserve">рвота при дозах 9 мг/кг и выше и псевдоаллергические реакции при дозах 45 мг/кг, что коррелирует с повышенным </w:t>
      </w:r>
      <w:r>
        <w:lastRenderedPageBreak/>
        <w:t xml:space="preserve">уровнем гистамина в плазме. При оценке показателей сердечно-сосудистой системы отмечались умеренные гипотензия и тахикардия с пограничными тенденциями к удлинению </w:t>
      </w:r>
      <w:r w:rsidR="00045C00">
        <w:t>интервала QTc. Данные изменения</w:t>
      </w:r>
      <w:r>
        <w:t xml:space="preserve"> были отмечены в группе с высокой дозой и</w:t>
      </w:r>
      <w:r w:rsidR="009B69D1">
        <w:t>,</w:t>
      </w:r>
      <w:r>
        <w:t xml:space="preserve"> возможно</w:t>
      </w:r>
      <w:r w:rsidR="009B69D1">
        <w:t>,</w:t>
      </w:r>
      <w:r>
        <w:t xml:space="preserve"> связаны с псевдоаллергической реакцией. Изменения клинико-химических показателей были отмечены при высокой дозе, это повышенные уровни АЛТ и глобулина у самцов. В группе высоких доз при гистологическом исследовании отмечались признаки воспаления внутрипеченочных желчных протоков у самок, апоптоз/некроз в почках у самцов; атрофия семенных канальцев у двух самцов </w:t>
      </w:r>
      <w:r>
        <w:fldChar w:fldCharType="begin"/>
      </w:r>
      <w:r>
        <w:instrText xml:space="preserve"> ADDIN ZOTERO_ITEM CSL_CITATION {"citationID":"AimAYJpv","properties":{"formattedCitation":"[2,3,9]","plainCitation":"[2,3,9]","noteIndex":0},"citationItems":[{"id":2978,"uris":["http://zotero.org/users/5483459/items/DHAYHB8P"],"itemData":{"id":2978,"type":"document","title":"U.S.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04.03.2011"},"label":"page"},{"id":3035,"uris":["http://zotero.org/users/5483459/items/A4NC89C5"],"itemData":{"id":3035,"type":"document","title":"Australian government. Australian Public Assessment Report for Linagliptin. Proprietary Product Name: Trajenta Sponsor: Boehringer Ingleheim (Australia) Pty Ltd. 2011."},"label":"page"},{"id":2939,"uris":["http://zotero.org/users/5483459/items/SJBZ4HU2"],"itemData":{"id":2939,"type":"document","title":"European  Medicines Agency.Assessment report Trajenta (linagliptin). Procedure No.: EMEA/H/C/002110/0000"},"label":"page"}],"schema":"https://github.com/citation-style-language/schema/raw/master/csl-citation.json"} </w:instrText>
      </w:r>
      <w:r>
        <w:fldChar w:fldCharType="separate"/>
      </w:r>
      <w:r w:rsidRPr="00BC7954">
        <w:t>[2,3,9]</w:t>
      </w:r>
      <w:r>
        <w:fldChar w:fldCharType="end"/>
      </w:r>
      <w:r>
        <w:t>.</w:t>
      </w:r>
    </w:p>
    <w:p w14:paraId="12BF8B46" w14:textId="1AC3E81E" w:rsidR="004B1452" w:rsidRDefault="004B1452" w:rsidP="00106AB7">
      <w:pPr>
        <w:ind w:firstLine="709"/>
      </w:pPr>
      <w:r w:rsidRPr="00D21625">
        <w:t xml:space="preserve">В </w:t>
      </w:r>
      <w:r>
        <w:t>4</w:t>
      </w:r>
      <w:r w:rsidRPr="00D21625">
        <w:t xml:space="preserve">-недельном исследовании у </w:t>
      </w:r>
      <w:r>
        <w:t xml:space="preserve">обезьян </w:t>
      </w:r>
      <w:r w:rsidRPr="00E90291">
        <w:rPr>
          <w:i/>
          <w:iCs/>
        </w:rPr>
        <w:t>Cynomolgus</w:t>
      </w:r>
      <w:r>
        <w:t xml:space="preserve"> (2 самки, 2 самца) </w:t>
      </w:r>
      <w:r w:rsidRPr="00D21625">
        <w:t xml:space="preserve">линаглиптин вводили перорально один раз в </w:t>
      </w:r>
      <w:r w:rsidR="001B650A">
        <w:t>сутки</w:t>
      </w:r>
      <w:r w:rsidRPr="00D21625">
        <w:t xml:space="preserve"> через желудочный зонд в дозах</w:t>
      </w:r>
      <w:r>
        <w:t xml:space="preserve"> 10, 60 и </w:t>
      </w:r>
      <w:r w:rsidR="00054AC9">
        <w:t>300 мг</w:t>
      </w:r>
      <w:r>
        <w:t xml:space="preserve">/кг/сутки. При гистологическом исследовании отмечались альвеолит легких (самцы), поражение поджелудочной железы (самки), другие потенциальные органы-мишени включали надпочечники, тощую кишку, почки, желчный пузырь, тимус, лимфатические узлы. NOAEL составила &lt;10 мг/кг </w:t>
      </w:r>
      <w:r>
        <w:fldChar w:fldCharType="begin"/>
      </w:r>
      <w:r>
        <w:instrText xml:space="preserve"> ADDIN ZOTERO_ITEM CSL_CITATION {"citationID":"rKT7K9an","properties":{"formattedCitation":"[2,3,9]","plainCitation":"[2,3,9]","noteIndex":0},"citationItems":[{"id":2978,"uris":["http://zotero.org/users/5483459/items/DHAYHB8P"],"itemData":{"id":2978,"type":"document","title":"U.S.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04.03.2011"},"label":"page"},{"id":3035,"uris":["http://zotero.org/users/5483459/items/A4NC89C5"],"itemData":{"id":3035,"type":"document","title":"Australian government. Australian Public Assessment Report for Linagliptin. Proprietary Product Name: Trajenta Sponsor: Boehringer Ingleheim (Australia) Pty Ltd. 2011."},"label":"page"},{"id":2939,"uris":["http://zotero.org/users/5483459/items/SJBZ4HU2"],"itemData":{"id":2939,"type":"document","title":"European  Medicines Agency.Assessment report Trajenta (linagliptin). Procedure No.: EMEA/H/C/002110/0000"},"label":"page"}],"schema":"https://github.com/citation-style-language/schema/raw/master/csl-citation.json"} </w:instrText>
      </w:r>
      <w:r>
        <w:fldChar w:fldCharType="separate"/>
      </w:r>
      <w:r w:rsidRPr="00BC7954">
        <w:t>[2,3,9]</w:t>
      </w:r>
      <w:r>
        <w:fldChar w:fldCharType="end"/>
      </w:r>
      <w:r>
        <w:t xml:space="preserve">. </w:t>
      </w:r>
    </w:p>
    <w:p w14:paraId="594EC9AE" w14:textId="0AD5B70D" w:rsidR="004B1452" w:rsidRDefault="004B1452" w:rsidP="00106AB7">
      <w:pPr>
        <w:ind w:firstLine="709"/>
      </w:pPr>
      <w:r w:rsidRPr="00D21625">
        <w:t xml:space="preserve">В </w:t>
      </w:r>
      <w:r>
        <w:t>12</w:t>
      </w:r>
      <w:r w:rsidR="00045C00">
        <w:t>-</w:t>
      </w:r>
      <w:r w:rsidRPr="00D21625">
        <w:t xml:space="preserve">недельном исследовании у </w:t>
      </w:r>
      <w:r>
        <w:t xml:space="preserve">обезьян </w:t>
      </w:r>
      <w:r w:rsidRPr="00E90291">
        <w:rPr>
          <w:i/>
          <w:iCs/>
        </w:rPr>
        <w:t>Cynomolgus</w:t>
      </w:r>
      <w:r>
        <w:t xml:space="preserve"> (4 самки, 4 самца) </w:t>
      </w:r>
      <w:r w:rsidRPr="00D21625">
        <w:t xml:space="preserve">линаглиптин вводили перорально один раз в </w:t>
      </w:r>
      <w:r w:rsidR="007A2ED1">
        <w:t>сутки</w:t>
      </w:r>
      <w:r w:rsidRPr="00D21625">
        <w:t xml:space="preserve"> через желудочный зонд в дозах </w:t>
      </w:r>
      <w:r w:rsidRPr="00A60142">
        <w:t>4, 25, 150 мг/кг/сутки</w:t>
      </w:r>
      <w:r>
        <w:t>.</w:t>
      </w:r>
      <w:r w:rsidRPr="00A60142">
        <w:t xml:space="preserve"> </w:t>
      </w:r>
      <w:r>
        <w:t>Гистопатология:</w:t>
      </w:r>
      <w:r w:rsidRPr="00E6599F">
        <w:t xml:space="preserve"> </w:t>
      </w:r>
      <w:r>
        <w:t xml:space="preserve">насыщенные пигментом макрофаги в легких (самки), пародонтальный гингивит (самки) и очаговая минерализация надпочечников (самки) </w:t>
      </w:r>
      <w:r w:rsidR="007A2ED1">
        <w:t>зарегистрированы при</w:t>
      </w:r>
      <w:r>
        <w:t xml:space="preserve"> дозе 4 мг/кг/сут</w:t>
      </w:r>
      <w:r w:rsidR="007A2ED1">
        <w:t>ки</w:t>
      </w:r>
      <w:r>
        <w:t xml:space="preserve">. NOAEL ≤ </w:t>
      </w:r>
      <w:r w:rsidRPr="00A60142">
        <w:t>4 мг/кг/сутки</w:t>
      </w:r>
      <w:r>
        <w:t>, что соответствует 21 кратному увеличении максимально</w:t>
      </w:r>
      <w:r w:rsidRPr="00093E95">
        <w:t xml:space="preserve"> </w:t>
      </w:r>
      <w:r>
        <w:t xml:space="preserve">рекомендованной дозы человека </w:t>
      </w:r>
      <w:r>
        <w:fldChar w:fldCharType="begin"/>
      </w:r>
      <w:r>
        <w:instrText xml:space="preserve"> ADDIN ZOTERO_ITEM CSL_CITATION {"citationID":"AYRjP4vJ","properties":{"formattedCitation":"[2,3,9]","plainCitation":"[2,3,9]","noteIndex":0},"citationItems":[{"id":2978,"uris":["http://zotero.org/users/5483459/items/DHAYHB8P"],"itemData":{"id":2978,"type":"document","title":"U.S.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04.03.2011"},"label":"page"},{"id":3035,"uris":["http://zotero.org/users/5483459/items/A4NC89C5"],"itemData":{"id":3035,"type":"document","title":"Australian government. Australian Public Assessment Report for Linagliptin. Proprietary Product Name: Trajenta Sponsor: Boehringer Ingleheim (Australia) Pty Ltd. 2011."},"label":"page"},{"id":2939,"uris":["http://zotero.org/users/5483459/items/SJBZ4HU2"],"itemData":{"id":2939,"type":"document","title":"European  Medicines Agency.Assessment report Trajenta (linagliptin). Procedure No.: EMEA/H/C/002110/0000"},"label":"page"}],"schema":"https://github.com/citation-style-language/schema/raw/master/csl-citation.json"} </w:instrText>
      </w:r>
      <w:r>
        <w:fldChar w:fldCharType="separate"/>
      </w:r>
      <w:r w:rsidRPr="00BC7954">
        <w:t>[2,3,9]</w:t>
      </w:r>
      <w:r>
        <w:fldChar w:fldCharType="end"/>
      </w:r>
      <w:r>
        <w:t>.</w:t>
      </w:r>
    </w:p>
    <w:p w14:paraId="3E9BFC77" w14:textId="44692A01" w:rsidR="004B1452" w:rsidRDefault="004B1452" w:rsidP="00106AB7">
      <w:pPr>
        <w:ind w:firstLine="709"/>
      </w:pPr>
      <w:r w:rsidRPr="00D21625">
        <w:t xml:space="preserve">В </w:t>
      </w:r>
      <w:r>
        <w:t>52</w:t>
      </w:r>
      <w:r w:rsidR="00045C00">
        <w:t>-</w:t>
      </w:r>
      <w:r w:rsidRPr="00D21625">
        <w:t xml:space="preserve">недельном исследовании у </w:t>
      </w:r>
      <w:r>
        <w:t xml:space="preserve">обезьян </w:t>
      </w:r>
      <w:r w:rsidRPr="00E90291">
        <w:rPr>
          <w:i/>
          <w:iCs/>
        </w:rPr>
        <w:t>Cynomolgus</w:t>
      </w:r>
      <w:r>
        <w:t xml:space="preserve"> (4 самки, 4 самца) </w:t>
      </w:r>
      <w:r w:rsidRPr="00D21625">
        <w:t xml:space="preserve">линаглиптин вводили перорально один раз в </w:t>
      </w:r>
      <w:r w:rsidR="007A2ED1">
        <w:t>сутки</w:t>
      </w:r>
      <w:r w:rsidRPr="00D21625">
        <w:t xml:space="preserve"> через желудочный зонд в дозах </w:t>
      </w:r>
      <w:r>
        <w:t xml:space="preserve">1, 10, 100 мг/кг/сутки. </w:t>
      </w:r>
      <w:r w:rsidRPr="00EE69EB">
        <w:t>Клиническим признак</w:t>
      </w:r>
      <w:r w:rsidR="007A2ED1">
        <w:t>ом</w:t>
      </w:r>
      <w:r w:rsidRPr="00EE69EB">
        <w:t xml:space="preserve"> интоксикации был</w:t>
      </w:r>
      <w:r w:rsidR="007A2ED1">
        <w:t>а</w:t>
      </w:r>
      <w:r w:rsidRPr="00EE69EB">
        <w:t xml:space="preserve"> </w:t>
      </w:r>
      <w:r>
        <w:t>рвота</w:t>
      </w:r>
      <w:r w:rsidR="007A2ED1">
        <w:t>.</w:t>
      </w:r>
      <w:r>
        <w:t xml:space="preserve"> Органами-мишенями токсичности был</w:t>
      </w:r>
      <w:r w:rsidR="007A2ED1">
        <w:t>а</w:t>
      </w:r>
      <w:r>
        <w:t xml:space="preserve"> поджелудочная железа</w:t>
      </w:r>
      <w:r w:rsidR="00A3182E">
        <w:t>. Зарегистрирован</w:t>
      </w:r>
      <w:r w:rsidR="007A2ED1">
        <w:t xml:space="preserve"> </w:t>
      </w:r>
      <w:r>
        <w:t xml:space="preserve">1 </w:t>
      </w:r>
      <w:r w:rsidR="00A3182E">
        <w:t>смертельный случай</w:t>
      </w:r>
      <w:r>
        <w:t>, пр</w:t>
      </w:r>
      <w:r w:rsidR="00045C00">
        <w:t>и дозе 100 мг/кг, при некропсии</w:t>
      </w:r>
      <w:r w:rsidR="007A2ED1">
        <w:t xml:space="preserve"> причина смерти – </w:t>
      </w:r>
      <w:r>
        <w:t xml:space="preserve">нефротический синдром. NOAEL = 10 мг/кг/сутки, что соответствует 44 </w:t>
      </w:r>
      <w:bookmarkStart w:id="133" w:name="_Hlk121100573"/>
      <w:r w:rsidR="00A3182E">
        <w:t xml:space="preserve">кратному превышению </w:t>
      </w:r>
      <w:r>
        <w:t>максимально</w:t>
      </w:r>
      <w:r w:rsidRPr="00093E95">
        <w:t xml:space="preserve"> </w:t>
      </w:r>
      <w:r>
        <w:t xml:space="preserve">рекомендованной дозы </w:t>
      </w:r>
      <w:r w:rsidR="00A3182E">
        <w:t xml:space="preserve">для </w:t>
      </w:r>
      <w:r>
        <w:t xml:space="preserve">человека </w:t>
      </w:r>
      <w:r>
        <w:fldChar w:fldCharType="begin"/>
      </w:r>
      <w:r>
        <w:instrText xml:space="preserve"> ADDIN ZOTERO_ITEM CSL_CITATION {"citationID":"YpzwFbB3","properties":{"formattedCitation":"[2,3,9]","plainCitation":"[2,3,9]","noteIndex":0},"citationItems":[{"id":2978,"uris":["http://zotero.org/users/5483459/items/DHAYHB8P"],"itemData":{"id":2978,"type":"document","title":"U.S.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04.03.2011"},"label":"page"},{"id":3035,"uris":["http://zotero.org/users/5483459/items/A4NC89C5"],"itemData":{"id":3035,"type":"document","title":"Australian government. Australian Public Assessment Report for Linagliptin. Proprietary Product Name: Trajenta Sponsor: Boehringer Ingleheim (Australia) Pty Ltd. 2011."},"label":"page"},{"id":2939,"uris":["http://zotero.org/users/5483459/items/SJBZ4HU2"],"itemData":{"id":2939,"type":"document","title":"European  Medicines Agency.Assessment report Trajenta (linagliptin). Procedure No.: EMEA/H/C/002110/0000"},"label":"page"}],"schema":"https://github.com/citation-style-language/schema/raw/master/csl-citation.json"} </w:instrText>
      </w:r>
      <w:r>
        <w:fldChar w:fldCharType="separate"/>
      </w:r>
      <w:r w:rsidRPr="00BC7954">
        <w:t>[2,3,9]</w:t>
      </w:r>
      <w:r>
        <w:fldChar w:fldCharType="end"/>
      </w:r>
      <w:r>
        <w:t>.</w:t>
      </w:r>
    </w:p>
    <w:p w14:paraId="157D2212" w14:textId="77777777" w:rsidR="004B1452" w:rsidRDefault="004B1452" w:rsidP="004B1452">
      <w:pPr>
        <w:pStyle w:val="3"/>
        <w:spacing w:after="240"/>
        <w:rPr>
          <w:rStyle w:val="apple-converted-space"/>
          <w:rFonts w:ascii="Times New Roman" w:eastAsia="Calibri" w:hAnsi="Times New Roman"/>
          <w:bCs w:val="0"/>
          <w:color w:val="000000" w:themeColor="text1"/>
          <w:shd w:val="clear" w:color="auto" w:fill="FFFFFF"/>
        </w:rPr>
      </w:pPr>
      <w:bookmarkStart w:id="134" w:name="_Toc139361966"/>
      <w:bookmarkEnd w:id="113"/>
      <w:bookmarkEnd w:id="133"/>
      <w:r w:rsidRPr="005E6358">
        <w:rPr>
          <w:rFonts w:ascii="Times New Roman" w:hAnsi="Times New Roman"/>
          <w:color w:val="000000" w:themeColor="text1"/>
          <w:szCs w:val="24"/>
        </w:rPr>
        <w:t>3.3.3.</w:t>
      </w:r>
      <w:bookmarkStart w:id="135" w:name="_Toc477355751"/>
      <w:r>
        <w:rPr>
          <w:rFonts w:ascii="Times New Roman" w:hAnsi="Times New Roman"/>
          <w:color w:val="000000" w:themeColor="text1"/>
          <w:szCs w:val="24"/>
        </w:rPr>
        <w:t xml:space="preserve"> </w:t>
      </w:r>
      <w:r w:rsidRPr="005E6358">
        <w:rPr>
          <w:rStyle w:val="apple-converted-space"/>
          <w:rFonts w:ascii="Times New Roman" w:eastAsia="Calibri" w:hAnsi="Times New Roman"/>
          <w:bCs w:val="0"/>
          <w:color w:val="000000" w:themeColor="text1"/>
          <w:shd w:val="clear" w:color="auto" w:fill="FFFFFF"/>
        </w:rPr>
        <w:t>Генотоксичность</w:t>
      </w:r>
      <w:bookmarkEnd w:id="134"/>
      <w:bookmarkEnd w:id="135"/>
    </w:p>
    <w:p w14:paraId="7C90B73F" w14:textId="63D0CF84" w:rsidR="004B1452" w:rsidRDefault="00045C00" w:rsidP="00327FE6">
      <w:pPr>
        <w:ind w:firstLine="709"/>
      </w:pPr>
      <w:bookmarkStart w:id="136" w:name="_Hlk121100974"/>
      <w:r>
        <w:t>Линаглиптин</w:t>
      </w:r>
      <w:r w:rsidR="004B1452" w:rsidRPr="003B3424">
        <w:t xml:space="preserve"> </w:t>
      </w:r>
      <w:r w:rsidR="004B1452">
        <w:t xml:space="preserve">и его метаболит CD 1750 не показали признаков генотоксичности в стандартной батарее </w:t>
      </w:r>
      <w:r w:rsidR="00CA1B22">
        <w:t xml:space="preserve">тестов на </w:t>
      </w:r>
      <w:r w:rsidR="004B1452">
        <w:t>генотоксичност</w:t>
      </w:r>
      <w:r w:rsidR="00CA1B22">
        <w:t>ь</w:t>
      </w:r>
      <w:r w:rsidR="004B1452">
        <w:t xml:space="preserve"> </w:t>
      </w:r>
      <w:bookmarkEnd w:id="136"/>
      <w:r w:rsidR="004B1452">
        <w:t xml:space="preserve">(тест Эймса </w:t>
      </w:r>
      <w:r w:rsidR="004B1452" w:rsidRPr="00352A63">
        <w:rPr>
          <w:i/>
          <w:iCs/>
        </w:rPr>
        <w:t>in vitro</w:t>
      </w:r>
      <w:r w:rsidR="004B1452">
        <w:t xml:space="preserve">, </w:t>
      </w:r>
      <w:bookmarkStart w:id="137" w:name="_Hlk120980700"/>
      <w:r w:rsidR="00CA1B22">
        <w:t xml:space="preserve">тест на </w:t>
      </w:r>
      <w:r w:rsidR="004B1452">
        <w:t>хромосомн</w:t>
      </w:r>
      <w:r w:rsidR="00CA1B22">
        <w:t xml:space="preserve">ые </w:t>
      </w:r>
      <w:r w:rsidR="004B1452">
        <w:t>аберраци</w:t>
      </w:r>
      <w:r w:rsidR="00CA1B22">
        <w:t>и в клетках</w:t>
      </w:r>
      <w:r w:rsidR="004B1452">
        <w:t xml:space="preserve"> </w:t>
      </w:r>
      <w:r w:rsidR="004E6FD6" w:rsidRPr="004E6FD6">
        <w:t>яичник</w:t>
      </w:r>
      <w:r w:rsidR="00CA1B22">
        <w:t>а</w:t>
      </w:r>
      <w:r w:rsidR="004E6FD6" w:rsidRPr="004E6FD6">
        <w:t xml:space="preserve"> китайского хомячка </w:t>
      </w:r>
      <w:r w:rsidR="004E6FD6">
        <w:t>(</w:t>
      </w:r>
      <w:r w:rsidR="004B1452">
        <w:t>CHO</w:t>
      </w:r>
      <w:r w:rsidR="004E6FD6">
        <w:t>)</w:t>
      </w:r>
      <w:bookmarkEnd w:id="137"/>
      <w:r w:rsidR="004B1452">
        <w:t xml:space="preserve">, </w:t>
      </w:r>
      <w:r w:rsidR="004B1452" w:rsidRPr="00004A9A">
        <w:t>микроядерн</w:t>
      </w:r>
      <w:r w:rsidR="004B1452">
        <w:t>ый</w:t>
      </w:r>
      <w:r w:rsidR="004B1452" w:rsidRPr="00004A9A">
        <w:t xml:space="preserve"> </w:t>
      </w:r>
      <w:r w:rsidR="00CA1B22">
        <w:t>тест в клетках</w:t>
      </w:r>
      <w:r w:rsidR="004B1452" w:rsidRPr="00004A9A">
        <w:t xml:space="preserve"> костного мозга крыс </w:t>
      </w:r>
      <w:r w:rsidR="004B1452" w:rsidRPr="00004A9A">
        <w:rPr>
          <w:i/>
          <w:iCs/>
        </w:rPr>
        <w:t>in vivo</w:t>
      </w:r>
      <w:r w:rsidR="004B1452">
        <w:t xml:space="preserve"> (4-недельный микронуклеус крысы). Некоторые примеси </w:t>
      </w:r>
      <w:r w:rsidR="008C430F">
        <w:t>линаглиптина</w:t>
      </w:r>
      <w:r w:rsidR="004B1452">
        <w:t xml:space="preserve"> треб</w:t>
      </w:r>
      <w:r w:rsidR="008C430F">
        <w:t>овали</w:t>
      </w:r>
      <w:r w:rsidR="004B1452">
        <w:t xml:space="preserve"> квалификации на основании спецификаций на превышение квалификационного порога. </w:t>
      </w:r>
      <w:r w:rsidR="008C430F">
        <w:t>П</w:t>
      </w:r>
      <w:r w:rsidR="004B1452">
        <w:t>роведены исследования генотоксичности для всех потенциальн</w:t>
      </w:r>
      <w:r w:rsidR="0049014F">
        <w:t>о генотоксичных</w:t>
      </w:r>
      <w:r w:rsidR="004B1452">
        <w:t xml:space="preserve"> примесей. Кроме того, все примеси лекарственного вещества были изучены во всех токсикологических исследованиях на крысах или обезьянах (обычно обоих видов) и в исследования канцерогенности</w:t>
      </w:r>
      <w:r w:rsidR="004E6FD6">
        <w:t xml:space="preserve"> </w:t>
      </w:r>
      <w:r w:rsidR="004E6FD6">
        <w:fldChar w:fldCharType="begin"/>
      </w:r>
      <w:r w:rsidR="004E6FD6">
        <w:instrText xml:space="preserve"> ADDIN ZOTERO_ITEM CSL_CITATION {"citationID":"wB3RSRkM","properties":{"formattedCitation":"[9]","plainCitation":"[9]","noteIndex":0},"citationItems":[{"id":3035,"uris":["http://zotero.org/users/5483459/items/A4NC89C5"],"itemData":{"id":3035,"type":"document","title":"Australian government. Australian Public Assessment Report for Linagliptin. Proprietary Product Name: Trajenta Sponsor: Boehringer Ingleheim (Australia) Pty Ltd. 2011."}}],"schema":"https://github.com/citation-style-language/schema/raw/master/csl-citation.json"} </w:instrText>
      </w:r>
      <w:r w:rsidR="004E6FD6">
        <w:fldChar w:fldCharType="separate"/>
      </w:r>
      <w:r w:rsidR="004E6FD6" w:rsidRPr="0039752F">
        <w:t>[9]</w:t>
      </w:r>
      <w:r w:rsidR="004E6FD6">
        <w:fldChar w:fldCharType="end"/>
      </w:r>
      <w:r w:rsidR="004B1452">
        <w:t>.</w:t>
      </w:r>
    </w:p>
    <w:p w14:paraId="56D2DA41" w14:textId="77777777" w:rsidR="004B1452" w:rsidRDefault="004B1452" w:rsidP="004B1452">
      <w:pPr>
        <w:pStyle w:val="3"/>
        <w:spacing w:after="240"/>
        <w:rPr>
          <w:rFonts w:ascii="Times New Roman" w:hAnsi="Times New Roman"/>
          <w:color w:val="000000" w:themeColor="text1"/>
          <w:szCs w:val="24"/>
        </w:rPr>
      </w:pPr>
      <w:bookmarkStart w:id="138" w:name="_Toc477355752"/>
      <w:bookmarkStart w:id="139" w:name="_Toc139361967"/>
      <w:r w:rsidRPr="005E6358">
        <w:rPr>
          <w:rFonts w:ascii="Times New Roman" w:hAnsi="Times New Roman"/>
          <w:color w:val="000000" w:themeColor="text1"/>
          <w:szCs w:val="24"/>
        </w:rPr>
        <w:t>3.3.4.</w:t>
      </w:r>
      <w:r>
        <w:rPr>
          <w:rFonts w:ascii="Times New Roman" w:hAnsi="Times New Roman"/>
          <w:color w:val="000000" w:themeColor="text1"/>
          <w:szCs w:val="24"/>
        </w:rPr>
        <w:t xml:space="preserve"> </w:t>
      </w:r>
      <w:r w:rsidRPr="005E6358">
        <w:rPr>
          <w:rFonts w:ascii="Times New Roman" w:hAnsi="Times New Roman"/>
          <w:color w:val="000000" w:themeColor="text1"/>
          <w:szCs w:val="24"/>
        </w:rPr>
        <w:t>Канцерогенность</w:t>
      </w:r>
      <w:bookmarkEnd w:id="138"/>
      <w:bookmarkEnd w:id="139"/>
    </w:p>
    <w:p w14:paraId="720BDEE1" w14:textId="68797737" w:rsidR="004B1452" w:rsidRDefault="004B1452" w:rsidP="0049014F">
      <w:pPr>
        <w:ind w:firstLine="709"/>
      </w:pPr>
      <w:bookmarkStart w:id="140" w:name="_Hlk121101004"/>
      <w:r>
        <w:t>Канцерогенный потенциал линаглиптина при пероральном введении изучался в двухгодичных исследованиях у мышей и крыс. Уровни доз были выбраны при экспозициях &gt;25 раз превышает ожидаемое клиническое воздействие при самых высоких уровнях дозы в каждом исследовании. В исследовании на мышах повышенная заболеваемость лимфомой наблюдалась у самок, получавших 80 мг/кг/</w:t>
      </w:r>
      <w:r w:rsidR="004E6FD6">
        <w:t>сутки</w:t>
      </w:r>
      <w:r>
        <w:t xml:space="preserve"> линаглиптина по сравнению с контрольной группой. Не было отмечено увеличения </w:t>
      </w:r>
      <w:r w:rsidR="00292322">
        <w:t xml:space="preserve">количества </w:t>
      </w:r>
      <w:r>
        <w:t>лимфом в группе самцов</w:t>
      </w:r>
      <w:r w:rsidR="00292322">
        <w:t>.</w:t>
      </w:r>
      <w:r>
        <w:t xml:space="preserve"> </w:t>
      </w:r>
      <w:r w:rsidR="00292322">
        <w:t>Не отмечалось</w:t>
      </w:r>
      <w:r>
        <w:t xml:space="preserve"> </w:t>
      </w:r>
      <w:r w:rsidR="00292322">
        <w:t>увеличения количеств</w:t>
      </w:r>
      <w:r w:rsidR="00910061">
        <w:t>а</w:t>
      </w:r>
      <w:r>
        <w:t xml:space="preserve"> лимфоидн</w:t>
      </w:r>
      <w:r w:rsidR="00292322">
        <w:t>ых</w:t>
      </w:r>
      <w:r>
        <w:t xml:space="preserve"> гиперплази</w:t>
      </w:r>
      <w:r w:rsidR="00292322">
        <w:t>й</w:t>
      </w:r>
      <w:r>
        <w:t xml:space="preserve"> в селезенке или тимусе </w:t>
      </w:r>
      <w:r>
        <w:lastRenderedPageBreak/>
        <w:t>животных обоего пола</w:t>
      </w:r>
      <w:r w:rsidR="00292322">
        <w:t>, связанных с введением линаглиптина</w:t>
      </w:r>
      <w:r>
        <w:t xml:space="preserve">. </w:t>
      </w:r>
      <w:r w:rsidR="006223B2">
        <w:t>Л</w:t>
      </w:r>
      <w:r>
        <w:t xml:space="preserve">имфома </w:t>
      </w:r>
      <w:r w:rsidR="006223B2">
        <w:t xml:space="preserve">у самок мышей была </w:t>
      </w:r>
      <w:r w:rsidR="00045C00">
        <w:t xml:space="preserve">признана </w:t>
      </w:r>
      <w:r>
        <w:t xml:space="preserve">спонтанной и не связанной с приемом линаглиптина. Не наблюдалось дозозависимого или статистически значимого увеличения частоты возникновения опухолей в исследовании </w:t>
      </w:r>
      <w:r w:rsidR="006223B2">
        <w:t xml:space="preserve">у </w:t>
      </w:r>
      <w:r>
        <w:t>крыс. NOAEL</w:t>
      </w:r>
      <w:r w:rsidR="006223B2">
        <w:t>=</w:t>
      </w:r>
      <w:r>
        <w:t xml:space="preserve"> </w:t>
      </w:r>
      <w:r w:rsidR="006223B2">
        <w:t xml:space="preserve">80 мг/кг/сутки </w:t>
      </w:r>
      <w:r>
        <w:t>для опухолей, связанных с введением линаглиптина</w:t>
      </w:r>
      <w:r w:rsidR="006223B2">
        <w:t xml:space="preserve"> перорально у мышей</w:t>
      </w:r>
      <w:r>
        <w:t>, 60 мг/кг/</w:t>
      </w:r>
      <w:r w:rsidR="006223B2" w:rsidRPr="006223B2">
        <w:t xml:space="preserve"> </w:t>
      </w:r>
      <w:r w:rsidR="006223B2">
        <w:t xml:space="preserve">сутки </w:t>
      </w:r>
      <w:r>
        <w:t xml:space="preserve">у крыс </w:t>
      </w:r>
      <w:r>
        <w:fldChar w:fldCharType="begin"/>
      </w:r>
      <w:r>
        <w:instrText xml:space="preserve"> ADDIN ZOTERO_ITEM CSL_CITATION {"citationID":"wB3RSRkM","properties":{"formattedCitation":"[9]","plainCitation":"[9]","noteIndex":0},"citationItems":[{"id":3035,"uris":["http://zotero.org/users/5483459/items/A4NC89C5"],"itemData":{"id":3035,"type":"document","title":"Australian government. Australian Public Assessment Report for Linagliptin. Proprietary Product Name: Trajenta Sponsor: Boehringer Ingleheim (Australia) Pty Ltd. 2011."}}],"schema":"https://github.com/citation-style-language/schema/raw/master/csl-citation.json"} </w:instrText>
      </w:r>
      <w:r>
        <w:fldChar w:fldCharType="separate"/>
      </w:r>
      <w:r w:rsidRPr="0039752F">
        <w:t>[9]</w:t>
      </w:r>
      <w:r>
        <w:fldChar w:fldCharType="end"/>
      </w:r>
      <w:r>
        <w:t xml:space="preserve">. </w:t>
      </w:r>
    </w:p>
    <w:p w14:paraId="4C7253D3" w14:textId="77777777" w:rsidR="004B1452" w:rsidRDefault="004B1452" w:rsidP="004B1452">
      <w:pPr>
        <w:pStyle w:val="3"/>
        <w:spacing w:after="240"/>
        <w:rPr>
          <w:rFonts w:ascii="Times New Roman" w:hAnsi="Times New Roman"/>
          <w:color w:val="000000" w:themeColor="text1"/>
          <w:szCs w:val="24"/>
        </w:rPr>
      </w:pPr>
      <w:bookmarkStart w:id="141" w:name="_Toc477355753"/>
      <w:bookmarkStart w:id="142" w:name="_Toc139361968"/>
      <w:r w:rsidRPr="005E6358">
        <w:rPr>
          <w:rFonts w:ascii="Times New Roman" w:hAnsi="Times New Roman"/>
          <w:color w:val="000000" w:themeColor="text1"/>
          <w:szCs w:val="24"/>
        </w:rPr>
        <w:t>3.3.5. Репродуктивная и онтогенетическая токсичность</w:t>
      </w:r>
      <w:bookmarkEnd w:id="141"/>
      <w:bookmarkEnd w:id="142"/>
    </w:p>
    <w:bookmarkEnd w:id="140"/>
    <w:p w14:paraId="5906A9AE" w14:textId="46A47D46" w:rsidR="004B1452" w:rsidRDefault="004B1452" w:rsidP="004B1452">
      <w:pPr>
        <w:ind w:firstLine="709"/>
      </w:pPr>
      <w:r>
        <w:t>Был представлен стандартный набор исследований репродуктивной токсичности, в ходе которых изучалась фертильность (крысы), эмбриофетальн</w:t>
      </w:r>
      <w:r w:rsidR="000F0B5B">
        <w:t>ая</w:t>
      </w:r>
      <w:r>
        <w:t xml:space="preserve"> токсичность (крысы и кролики) и пре-/постнатальное развитие (крысы).</w:t>
      </w:r>
    </w:p>
    <w:p w14:paraId="6FA864DB" w14:textId="77777777" w:rsidR="004B1452" w:rsidRDefault="004B1452" w:rsidP="004B1452">
      <w:pPr>
        <w:pStyle w:val="4"/>
        <w:spacing w:after="240"/>
        <w:rPr>
          <w:rFonts w:ascii="Times New Roman" w:hAnsi="Times New Roman"/>
          <w:color w:val="000000" w:themeColor="text1"/>
          <w:sz w:val="24"/>
          <w:szCs w:val="24"/>
        </w:rPr>
      </w:pPr>
      <w:bookmarkStart w:id="143" w:name="_Toc139361969"/>
      <w:r>
        <w:rPr>
          <w:rFonts w:ascii="Times New Roman" w:hAnsi="Times New Roman"/>
          <w:color w:val="000000" w:themeColor="text1"/>
          <w:sz w:val="24"/>
          <w:szCs w:val="24"/>
        </w:rPr>
        <w:t>3.3.5.1. Влияние на фертильность и ранняя эмбриональная токсичность</w:t>
      </w:r>
      <w:bookmarkEnd w:id="143"/>
    </w:p>
    <w:p w14:paraId="2A320DEF" w14:textId="47486881" w:rsidR="004B1452" w:rsidRDefault="004B1452" w:rsidP="000F0B5B">
      <w:pPr>
        <w:ind w:firstLine="709"/>
      </w:pPr>
      <w:r w:rsidRPr="009C1245">
        <w:t>Влияние на фертильность</w:t>
      </w:r>
      <w:r>
        <w:t xml:space="preserve"> был</w:t>
      </w:r>
      <w:r w:rsidR="000F0B5B">
        <w:t>о</w:t>
      </w:r>
      <w:r>
        <w:t xml:space="preserve"> изучены у крыс, </w:t>
      </w:r>
      <w:r w:rsidRPr="00D21625">
        <w:t xml:space="preserve">линаглиптин вводили перорально один раз в </w:t>
      </w:r>
      <w:r w:rsidR="00C8014B">
        <w:t>сутки</w:t>
      </w:r>
      <w:r w:rsidRPr="00D21625">
        <w:t xml:space="preserve"> через желудочный зонд </w:t>
      </w:r>
      <w:r>
        <w:t>в дозах 10, 30, 240 мг/кг/сутки.</w:t>
      </w:r>
    </w:p>
    <w:p w14:paraId="68109C82" w14:textId="77777777" w:rsidR="00201BB7" w:rsidRDefault="004B1452" w:rsidP="00201BB7">
      <w:pPr>
        <w:ind w:firstLine="709"/>
      </w:pPr>
      <w:r>
        <w:t xml:space="preserve">NOAEL составила (самцы) = 240 мг/кг </w:t>
      </w:r>
      <w:bookmarkStart w:id="144" w:name="_Hlk121101045"/>
      <w:r w:rsidR="00201BB7">
        <w:t>(~800</w:t>
      </w:r>
      <w:r w:rsidR="00201BB7" w:rsidRPr="00786D75">
        <w:t xml:space="preserve"> </w:t>
      </w:r>
      <w:r w:rsidR="00201BB7">
        <w:t>кратное превышение максимально</w:t>
      </w:r>
      <w:r w:rsidR="00201BB7" w:rsidRPr="00093E95">
        <w:t xml:space="preserve"> </w:t>
      </w:r>
      <w:r w:rsidR="00201BB7">
        <w:t>рекомендованной дозы для человека), оценено по данным исследования хронического воздействия на крысах).</w:t>
      </w:r>
    </w:p>
    <w:p w14:paraId="37A60C1F" w14:textId="771AE14A" w:rsidR="00201BB7" w:rsidRDefault="00201BB7" w:rsidP="00201BB7">
      <w:pPr>
        <w:ind w:firstLine="709"/>
      </w:pPr>
      <w:r>
        <w:t>NOAEL (самки) = 240 мг/кг (~1000</w:t>
      </w:r>
      <w:r w:rsidRPr="00786D75">
        <w:t xml:space="preserve"> </w:t>
      </w:r>
      <w:r>
        <w:t>кратное превышение максимально</w:t>
      </w:r>
      <w:r w:rsidRPr="00093E95">
        <w:t xml:space="preserve"> </w:t>
      </w:r>
      <w:r>
        <w:t>рекомендованной дозы человека), оценено по данным исследований репродуктивной токсичности.</w:t>
      </w:r>
    </w:p>
    <w:p w14:paraId="5E9F03D6" w14:textId="5C475573" w:rsidR="004B1452" w:rsidRDefault="004B1452" w:rsidP="00201BB7">
      <w:pPr>
        <w:ind w:firstLine="709"/>
      </w:pPr>
      <w:r>
        <w:t xml:space="preserve">NOAEL для репродуктивной и ранней эмбриофетальной токсичности у крыс </w:t>
      </w:r>
      <w:r w:rsidR="00681AF1">
        <w:t>составил</w:t>
      </w:r>
      <w:r w:rsidR="00D06A60">
        <w:t xml:space="preserve"> </w:t>
      </w:r>
      <w:r>
        <w:t>240 мг/кг/день. При дозе 240 мг/кг/день наблюдались признаки легкой токсичности у половозрелых самцов и самок крыс, характеризующиеся значительным снижением прибавки массы тела и снижение потребления пищи по сравнению с контролем.</w:t>
      </w:r>
      <w:r w:rsidR="00D06A60">
        <w:t xml:space="preserve"> </w:t>
      </w:r>
      <w:r>
        <w:t>При гистологи</w:t>
      </w:r>
      <w:r w:rsidR="00681AF1">
        <w:t>ческом обследовании</w:t>
      </w:r>
      <w:r>
        <w:t xml:space="preserve"> не было обнаружено признаков гистопатологии яичек или влиянии на сперматогенез, индекс фертильности не изменился</w:t>
      </w:r>
      <w:r w:rsidR="00D06A60">
        <w:t xml:space="preserve"> </w:t>
      </w:r>
      <w:r w:rsidR="00D06A60">
        <w:fldChar w:fldCharType="begin"/>
      </w:r>
      <w:r w:rsidR="00D06A60">
        <w:instrText xml:space="preserve"> ADDIN ZOTERO_ITEM CSL_CITATION {"citationID":"dDIbXbAI","properties":{"formattedCitation":"[3,9]","plainCitation":"[3,9]","noteIndex":0},"citationItems":[{"id":2978,"uris":["http://zotero.org/users/5483459/items/DHAYHB8P"],"itemData":{"id":2978,"type":"document","title":"U.S.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04.03.2011"},"label":"page"},{"id":3035,"uris":["http://zotero.org/users/5483459/items/A4NC89C5"],"itemData":{"id":3035,"type":"document","title":"Australian government. Australian Public Assessment Report for Linagliptin. Proprietary Product Name: Trajenta Sponsor: Boehringer Ingleheim (Australia) Pty Ltd. 2011."},"label":"page"}],"schema":"https://github.com/citation-style-language/schema/raw/master/csl-citation.json"} </w:instrText>
      </w:r>
      <w:r w:rsidR="00D06A60">
        <w:fldChar w:fldCharType="separate"/>
      </w:r>
      <w:r w:rsidR="00D06A60" w:rsidRPr="00B97E22">
        <w:t>[3,9]</w:t>
      </w:r>
      <w:r w:rsidR="00D06A60">
        <w:fldChar w:fldCharType="end"/>
      </w:r>
      <w:r w:rsidR="00D06A60">
        <w:t>.</w:t>
      </w:r>
    </w:p>
    <w:p w14:paraId="1563201B" w14:textId="77777777" w:rsidR="004B1452" w:rsidRDefault="004B1452" w:rsidP="004B1452">
      <w:pPr>
        <w:pStyle w:val="4"/>
        <w:spacing w:after="240"/>
        <w:rPr>
          <w:rFonts w:ascii="Times New Roman" w:hAnsi="Times New Roman"/>
          <w:color w:val="000000" w:themeColor="text1"/>
          <w:sz w:val="24"/>
          <w:szCs w:val="24"/>
        </w:rPr>
      </w:pPr>
      <w:bookmarkStart w:id="145" w:name="_Toc139361970"/>
      <w:bookmarkEnd w:id="144"/>
      <w:r>
        <w:rPr>
          <w:rFonts w:ascii="Times New Roman" w:hAnsi="Times New Roman"/>
          <w:color w:val="000000" w:themeColor="text1"/>
          <w:sz w:val="24"/>
          <w:szCs w:val="24"/>
        </w:rPr>
        <w:t>3.3.5.2. Эмбрио-фетальная токсичность</w:t>
      </w:r>
      <w:bookmarkEnd w:id="145"/>
    </w:p>
    <w:p w14:paraId="16D36CD9" w14:textId="08F817E7" w:rsidR="004B1452" w:rsidRDefault="004B1452" w:rsidP="004B1452">
      <w:pPr>
        <w:ind w:firstLine="709"/>
      </w:pPr>
      <w:bookmarkStart w:id="146" w:name="_Hlk121101139"/>
      <w:r>
        <w:t xml:space="preserve">При исследовании влияния </w:t>
      </w:r>
      <w:r w:rsidRPr="00D21625">
        <w:t>линаглиптин</w:t>
      </w:r>
      <w:r>
        <w:t>а</w:t>
      </w:r>
      <w:r w:rsidRPr="00D21625">
        <w:t xml:space="preserve"> </w:t>
      </w:r>
      <w:r>
        <w:t xml:space="preserve">на развитие эмбриона и плода у крыс, </w:t>
      </w:r>
      <w:r w:rsidRPr="00D21625">
        <w:t xml:space="preserve">линаглиптин вводили перорально один раз в </w:t>
      </w:r>
      <w:r w:rsidR="00C679E0">
        <w:t>сутки</w:t>
      </w:r>
      <w:r w:rsidRPr="00D21625">
        <w:t xml:space="preserve"> через желудочный зонд </w:t>
      </w:r>
      <w:r>
        <w:t>в дозах 10, 30, 240 мг/кг/сут</w:t>
      </w:r>
      <w:r w:rsidR="00C679E0">
        <w:t>ки</w:t>
      </w:r>
      <w:r>
        <w:t>.</w:t>
      </w:r>
    </w:p>
    <w:bookmarkEnd w:id="146"/>
    <w:p w14:paraId="48038DC9" w14:textId="71BC891C" w:rsidR="004B1452" w:rsidRDefault="004B1452" w:rsidP="004B1452">
      <w:pPr>
        <w:ind w:firstLine="709"/>
      </w:pPr>
      <w:r>
        <w:t xml:space="preserve">NOAEL (материнский) = 30 мг/кг (49 кратное </w:t>
      </w:r>
      <w:r w:rsidR="00CA73CF">
        <w:t>превышение</w:t>
      </w:r>
      <w:r>
        <w:t xml:space="preserve"> максимально</w:t>
      </w:r>
      <w:r w:rsidRPr="00093E95">
        <w:t xml:space="preserve"> </w:t>
      </w:r>
      <w:r>
        <w:t>рекомендованной дозы человека).</w:t>
      </w:r>
    </w:p>
    <w:p w14:paraId="4B632066" w14:textId="698A2991" w:rsidR="004B1452" w:rsidRDefault="004B1452" w:rsidP="004B1452">
      <w:pPr>
        <w:ind w:firstLine="709"/>
      </w:pPr>
      <w:r>
        <w:t>Определение NOAEL для материнской токсичности было основан</w:t>
      </w:r>
      <w:r w:rsidR="00CA73CF">
        <w:t>о</w:t>
      </w:r>
      <w:r>
        <w:t xml:space="preserve"> на </w:t>
      </w:r>
      <w:r w:rsidR="00C679E0">
        <w:t xml:space="preserve">показателях </w:t>
      </w:r>
      <w:r>
        <w:t>снижения прироста массы тела матери и уменьшени</w:t>
      </w:r>
      <w:r w:rsidR="00CA73CF">
        <w:t>я</w:t>
      </w:r>
      <w:r>
        <w:t xml:space="preserve"> количества потребление пищи. Введение линаглиптин</w:t>
      </w:r>
      <w:r w:rsidR="00CA73CF">
        <w:t>а</w:t>
      </w:r>
      <w:r>
        <w:t xml:space="preserve"> также приводил</w:t>
      </w:r>
      <w:r w:rsidR="00561FD4">
        <w:t>о</w:t>
      </w:r>
      <w:r>
        <w:t xml:space="preserve"> к незначительному уменьшению количества желтых тел, эмбриофетальной выживаемости, снижени</w:t>
      </w:r>
      <w:r w:rsidR="00561FD4">
        <w:t>ю</w:t>
      </w:r>
      <w:r>
        <w:t xml:space="preserve"> числа имплантаций и жизнеспособных плодов и увеличени</w:t>
      </w:r>
      <w:r w:rsidR="00561FD4">
        <w:t>ю</w:t>
      </w:r>
      <w:r>
        <w:t xml:space="preserve"> поздней резорбции и преимплантационн</w:t>
      </w:r>
      <w:r w:rsidR="00C679E0">
        <w:t>ых</w:t>
      </w:r>
      <w:r>
        <w:t xml:space="preserve"> потер</w:t>
      </w:r>
      <w:r w:rsidR="00C679E0">
        <w:t>ь</w:t>
      </w:r>
      <w:r>
        <w:t>.</w:t>
      </w:r>
    </w:p>
    <w:p w14:paraId="34DED4BA" w14:textId="34757887" w:rsidR="004B1452" w:rsidRDefault="004B1452" w:rsidP="004B1452">
      <w:pPr>
        <w:ind w:firstLine="709"/>
      </w:pPr>
      <w:r>
        <w:t xml:space="preserve">NOAEL (фетальный) = 30 мг/кг (49 кратное </w:t>
      </w:r>
      <w:r w:rsidR="00561FD4">
        <w:t>превышение</w:t>
      </w:r>
      <w:r>
        <w:t xml:space="preserve"> максимально</w:t>
      </w:r>
      <w:r w:rsidRPr="00093E95">
        <w:t xml:space="preserve"> </w:t>
      </w:r>
      <w:r>
        <w:t xml:space="preserve">рекомендованной дозы человека). </w:t>
      </w:r>
      <w:r w:rsidR="00045C00">
        <w:t>Определение NOAEL для фетальной</w:t>
      </w:r>
      <w:r>
        <w:t xml:space="preserve"> токсичности было основано на выявлении скелетных пороков развития, </w:t>
      </w:r>
      <w:r w:rsidR="00E72A8B">
        <w:t xml:space="preserve">частота </w:t>
      </w:r>
      <w:r>
        <w:t>которы</w:t>
      </w:r>
      <w:r w:rsidR="00E72A8B">
        <w:t>х</w:t>
      </w:r>
      <w:r>
        <w:t xml:space="preserve"> </w:t>
      </w:r>
      <w:r w:rsidR="00E72A8B">
        <w:t>была немного</w:t>
      </w:r>
      <w:r>
        <w:t xml:space="preserve"> выше, чем в контроле при дозе 10 мг/кг, но не 30 мг/кг. Увеличение эмбриофетальной внутриутробной смертности произошло при дозе 240 мг/кг/день. Три порока развития скелета были чаще  </w:t>
      </w:r>
      <w:r w:rsidR="00C679E0">
        <w:t xml:space="preserve">зарегистрированы </w:t>
      </w:r>
      <w:r>
        <w:t xml:space="preserve">по сравнению с контролем – расщелина тела шейного позвонка, расщелина тела грудного позвонка, плоские и утолщенные ребра </w:t>
      </w:r>
      <w:r>
        <w:fldChar w:fldCharType="begin"/>
      </w:r>
      <w:r>
        <w:instrText xml:space="preserve"> ADDIN ZOTERO_ITEM CSL_CITATION {"citationID":"n6ZtL7yW","properties":{"formattedCitation":"[3]","plainCitation":"[3]","noteIndex":0},"citationItems":[{"id":2978,"uris":["http://zotero.org/users/5483459/items/DHAYHB8P"],"itemData":{"id":2978,"type":"document","title":"U.S.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A56070">
        <w:t>[3]</w:t>
      </w:r>
      <w:r>
        <w:fldChar w:fldCharType="end"/>
      </w:r>
      <w:r>
        <w:t>.</w:t>
      </w:r>
    </w:p>
    <w:p w14:paraId="6393BE15" w14:textId="4F00BAA2" w:rsidR="004B1452" w:rsidRDefault="004B1452" w:rsidP="004B1452">
      <w:pPr>
        <w:ind w:firstLine="709"/>
      </w:pPr>
      <w:r>
        <w:lastRenderedPageBreak/>
        <w:t xml:space="preserve">При исследовании влияния </w:t>
      </w:r>
      <w:r w:rsidRPr="00D21625">
        <w:t>линаглиптин</w:t>
      </w:r>
      <w:r>
        <w:t>а</w:t>
      </w:r>
      <w:r w:rsidRPr="00D21625">
        <w:t xml:space="preserve"> </w:t>
      </w:r>
      <w:r>
        <w:t xml:space="preserve">на развитие эмбриона и плода у кроликов, </w:t>
      </w:r>
      <w:r w:rsidRPr="00D21625">
        <w:t xml:space="preserve">линаглиптин вводили перорально один раз в </w:t>
      </w:r>
      <w:r w:rsidR="00C679E0">
        <w:t>сутки</w:t>
      </w:r>
      <w:r w:rsidRPr="00D21625">
        <w:t xml:space="preserve"> через желудочный зонд </w:t>
      </w:r>
      <w:r>
        <w:t>в дозах 4, 25, 150 мг/кг/сут</w:t>
      </w:r>
      <w:r w:rsidR="00C679E0">
        <w:t>ки</w:t>
      </w:r>
      <w:r>
        <w:t>.</w:t>
      </w:r>
    </w:p>
    <w:p w14:paraId="35F015A7" w14:textId="79E47A78" w:rsidR="004B1452" w:rsidRDefault="004B1452" w:rsidP="004B1452">
      <w:pPr>
        <w:ind w:firstLine="709"/>
      </w:pPr>
      <w:bookmarkStart w:id="147" w:name="_Hlk121101083"/>
      <w:r>
        <w:t xml:space="preserve">NOAEL (материнский) = 25 мг/кг (78 кратное </w:t>
      </w:r>
      <w:r w:rsidR="004B6550">
        <w:t>превышение</w:t>
      </w:r>
      <w:r>
        <w:t xml:space="preserve"> максимально</w:t>
      </w:r>
      <w:r w:rsidRPr="00093E95">
        <w:t xml:space="preserve"> </w:t>
      </w:r>
      <w:r>
        <w:t xml:space="preserve">рекомендованной дозы </w:t>
      </w:r>
      <w:r w:rsidR="004B6550">
        <w:t xml:space="preserve">для </w:t>
      </w:r>
      <w:r>
        <w:t>человека). Определение NOAEL для материнской токсичности было основан</w:t>
      </w:r>
      <w:r w:rsidR="00C679E0">
        <w:t>о</w:t>
      </w:r>
      <w:r>
        <w:t xml:space="preserve"> на </w:t>
      </w:r>
      <w:r w:rsidR="00045C00">
        <w:t xml:space="preserve">показателях </w:t>
      </w:r>
      <w:r>
        <w:t>снижени</w:t>
      </w:r>
      <w:r w:rsidR="004B6550">
        <w:t>е</w:t>
      </w:r>
      <w:r>
        <w:t xml:space="preserve"> прибавки массы тела </w:t>
      </w:r>
      <w:r w:rsidR="00C679E0">
        <w:t xml:space="preserve">на 39% </w:t>
      </w:r>
      <w:r>
        <w:t xml:space="preserve">по сравнению с контрольной группой на 28-й день беременности и снижение потребление пищи при дозе 150 мг/кг/день. </w:t>
      </w:r>
    </w:p>
    <w:p w14:paraId="567B8255" w14:textId="3F713C6C" w:rsidR="004B1452" w:rsidRDefault="004B1452" w:rsidP="004B1452">
      <w:pPr>
        <w:ind w:firstLine="709"/>
      </w:pPr>
      <w:r>
        <w:t>NOAEL (фетальный) = 150 мг/кг (</w:t>
      </w:r>
      <w:r w:rsidR="006831AE">
        <w:t xml:space="preserve">на основании выявленных </w:t>
      </w:r>
      <w:r>
        <w:t>порок</w:t>
      </w:r>
      <w:r w:rsidR="006831AE">
        <w:t>ов</w:t>
      </w:r>
      <w:r>
        <w:t xml:space="preserve"> развития плода</w:t>
      </w:r>
      <w:r w:rsidR="006831AE">
        <w:t xml:space="preserve"> при</w:t>
      </w:r>
      <w:r>
        <w:t xml:space="preserve"> </w:t>
      </w:r>
      <w:r w:rsidR="006831AE">
        <w:t>200</w:t>
      </w:r>
      <w:r w:rsidRPr="004B1C8B">
        <w:t xml:space="preserve"> </w:t>
      </w:r>
      <w:r>
        <w:t>кратно</w:t>
      </w:r>
      <w:r w:rsidR="006831AE">
        <w:t>м</w:t>
      </w:r>
      <w:r>
        <w:t xml:space="preserve"> </w:t>
      </w:r>
      <w:r w:rsidR="0029299F">
        <w:t>превышении</w:t>
      </w:r>
      <w:r>
        <w:t xml:space="preserve"> максимально</w:t>
      </w:r>
      <w:r w:rsidRPr="00093E95">
        <w:t xml:space="preserve"> </w:t>
      </w:r>
      <w:r>
        <w:t>рекомендованной дозы человека). О</w:t>
      </w:r>
      <w:r w:rsidR="0029299F">
        <w:t xml:space="preserve">пределение NOAEL для фетальной </w:t>
      </w:r>
      <w:r>
        <w:t>токсичности было основано на выявлении повышенн</w:t>
      </w:r>
      <w:r w:rsidR="006831AE">
        <w:t>ой</w:t>
      </w:r>
      <w:r>
        <w:t xml:space="preserve"> частот</w:t>
      </w:r>
      <w:r w:rsidR="006831AE">
        <w:t>ы</w:t>
      </w:r>
      <w:r>
        <w:t xml:space="preserve"> внутриутробных </w:t>
      </w:r>
      <w:r w:rsidR="006831AE">
        <w:t>пороков развития</w:t>
      </w:r>
      <w:r>
        <w:t xml:space="preserve"> желчного пузыря/гипоплазии желчного пузыря</w:t>
      </w:r>
      <w:r w:rsidR="00D37B19">
        <w:t xml:space="preserve"> </w:t>
      </w:r>
      <w:r w:rsidR="00D37B19">
        <w:fldChar w:fldCharType="begin"/>
      </w:r>
      <w:r w:rsidR="00D37B19">
        <w:instrText xml:space="preserve"> ADDIN ZOTERO_ITEM CSL_CITATION {"citationID":"n6ZtL7yW","properties":{"formattedCitation":"[3]","plainCitation":"[3]","noteIndex":0},"citationItems":[{"id":2978,"uris":["http://zotero.org/users/5483459/items/DHAYHB8P"],"itemData":{"id":2978,"type":"document","title":"U.S.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rsidR="00D37B19">
        <w:fldChar w:fldCharType="separate"/>
      </w:r>
      <w:r w:rsidR="00D37B19" w:rsidRPr="00A56070">
        <w:t>[3]</w:t>
      </w:r>
      <w:r w:rsidR="00D37B19">
        <w:fldChar w:fldCharType="end"/>
      </w:r>
      <w:r w:rsidR="00D37B19">
        <w:t>.</w:t>
      </w:r>
    </w:p>
    <w:p w14:paraId="5B43C879" w14:textId="77777777" w:rsidR="004B1452" w:rsidRDefault="004B1452" w:rsidP="004B1452">
      <w:pPr>
        <w:pStyle w:val="4"/>
        <w:spacing w:after="240"/>
        <w:rPr>
          <w:rFonts w:ascii="Times New Roman" w:hAnsi="Times New Roman"/>
          <w:color w:val="000000" w:themeColor="text1"/>
          <w:sz w:val="24"/>
          <w:szCs w:val="24"/>
        </w:rPr>
      </w:pPr>
      <w:bookmarkStart w:id="148" w:name="_Toc139361971"/>
      <w:bookmarkEnd w:id="147"/>
      <w:r w:rsidRPr="00584662">
        <w:rPr>
          <w:rFonts w:ascii="Times New Roman" w:eastAsia="MS Mincho" w:hAnsi="Times New Roman"/>
          <w:b w:val="0"/>
          <w:bCs w:val="0"/>
          <w:sz w:val="24"/>
          <w:szCs w:val="24"/>
        </w:rPr>
        <w:t>.</w:t>
      </w:r>
      <w:r>
        <w:rPr>
          <w:rFonts w:ascii="Times New Roman" w:hAnsi="Times New Roman"/>
          <w:color w:val="000000" w:themeColor="text1"/>
          <w:sz w:val="24"/>
          <w:szCs w:val="24"/>
        </w:rPr>
        <w:t>3.3.5.3. Влияние на п</w:t>
      </w:r>
      <w:r w:rsidRPr="002211BA">
        <w:rPr>
          <w:rFonts w:ascii="Times New Roman" w:hAnsi="Times New Roman"/>
          <w:color w:val="000000" w:themeColor="text1"/>
          <w:sz w:val="24"/>
          <w:szCs w:val="24"/>
        </w:rPr>
        <w:t>рената</w:t>
      </w:r>
      <w:r>
        <w:rPr>
          <w:rFonts w:ascii="Times New Roman" w:hAnsi="Times New Roman"/>
          <w:color w:val="000000" w:themeColor="text1"/>
          <w:sz w:val="24"/>
          <w:szCs w:val="24"/>
        </w:rPr>
        <w:t>льное и постнатальное развитие</w:t>
      </w:r>
      <w:bookmarkEnd w:id="148"/>
    </w:p>
    <w:p w14:paraId="526EC2BE" w14:textId="6CA46983" w:rsidR="004B1452" w:rsidRDefault="004B1452" w:rsidP="0029299F">
      <w:pPr>
        <w:ind w:firstLine="709"/>
      </w:pPr>
      <w:bookmarkStart w:id="149" w:name="_Hlk121101226"/>
      <w:r>
        <w:t xml:space="preserve">Для оценки </w:t>
      </w:r>
      <w:r w:rsidR="0029299F">
        <w:t xml:space="preserve">влияния на </w:t>
      </w:r>
      <w:r>
        <w:t>пре- и постнатально</w:t>
      </w:r>
      <w:r w:rsidR="0029299F">
        <w:t>е</w:t>
      </w:r>
      <w:r>
        <w:t xml:space="preserve"> развити</w:t>
      </w:r>
      <w:r w:rsidR="0029299F">
        <w:t>е у</w:t>
      </w:r>
      <w:r>
        <w:t xml:space="preserve"> крыс </w:t>
      </w:r>
      <w:r w:rsidRPr="00D21625">
        <w:t xml:space="preserve">линаглиптин вводили перорально один раз в </w:t>
      </w:r>
      <w:r w:rsidR="00D37B19">
        <w:t xml:space="preserve">сутки </w:t>
      </w:r>
      <w:r w:rsidRPr="00D21625">
        <w:t xml:space="preserve">через желудочный зонд </w:t>
      </w:r>
      <w:r w:rsidR="00045C00">
        <w:t xml:space="preserve">в дозах </w:t>
      </w:r>
      <w:r>
        <w:t>10, 30, 300 мг/кг/сут.</w:t>
      </w:r>
    </w:p>
    <w:bookmarkEnd w:id="149"/>
    <w:p w14:paraId="7E31C55E" w14:textId="6F9AFEA4" w:rsidR="004B1452" w:rsidRDefault="004B1452" w:rsidP="0029299F">
      <w:pPr>
        <w:ind w:firstLine="709"/>
      </w:pPr>
      <w:r>
        <w:t>NOAEL (материнский) = 30 мг/кг (49</w:t>
      </w:r>
      <w:r w:rsidRPr="00C55E3B">
        <w:t xml:space="preserve"> </w:t>
      </w:r>
      <w:r>
        <w:t xml:space="preserve">кратное </w:t>
      </w:r>
      <w:r w:rsidR="0029299F">
        <w:t>превышение</w:t>
      </w:r>
      <w:r>
        <w:t xml:space="preserve"> максимально</w:t>
      </w:r>
      <w:r w:rsidRPr="00093E95">
        <w:t xml:space="preserve"> </w:t>
      </w:r>
      <w:r>
        <w:t>рекомендованной дозы человека).</w:t>
      </w:r>
    </w:p>
    <w:p w14:paraId="566D98E3" w14:textId="36E38B7B" w:rsidR="004B1452" w:rsidRDefault="004B1452" w:rsidP="0029299F">
      <w:pPr>
        <w:ind w:firstLine="709"/>
      </w:pPr>
      <w:r>
        <w:t>NOAEL (плод) = 30 мг/кг (24</w:t>
      </w:r>
      <w:r w:rsidRPr="00C55E3B">
        <w:t xml:space="preserve"> </w:t>
      </w:r>
      <w:r>
        <w:t xml:space="preserve">кратное </w:t>
      </w:r>
      <w:r w:rsidR="0029299F">
        <w:t>превышение</w:t>
      </w:r>
      <w:r>
        <w:t xml:space="preserve"> максимально</w:t>
      </w:r>
      <w:r w:rsidRPr="00093E95">
        <w:t xml:space="preserve"> </w:t>
      </w:r>
      <w:r>
        <w:t>рекомендованной дозы человека рассчитано на основе 50% воздействия на плод) по сравнению с воздействием на мать.</w:t>
      </w:r>
    </w:p>
    <w:p w14:paraId="458F327A" w14:textId="2EF19090" w:rsidR="004B1452" w:rsidRPr="0053681B" w:rsidRDefault="004B1452" w:rsidP="0029299F">
      <w:pPr>
        <w:ind w:firstLine="709"/>
      </w:pPr>
      <w:bookmarkStart w:id="150" w:name="_Hlk121101201"/>
      <w:r>
        <w:t>Введение крысам во время беременности (F0), в период внутриутробного развития и в период лактации (F1) 300</w:t>
      </w:r>
      <w:r w:rsidR="00553441">
        <w:t xml:space="preserve"> </w:t>
      </w:r>
      <w:r>
        <w:t xml:space="preserve">мг/кг линаглиптина (&gt; 1000 кратное </w:t>
      </w:r>
      <w:r w:rsidR="005D7AFE">
        <w:t>превышение</w:t>
      </w:r>
      <w:r>
        <w:t xml:space="preserve"> максимально</w:t>
      </w:r>
      <w:r w:rsidRPr="00093E95">
        <w:t xml:space="preserve"> </w:t>
      </w:r>
      <w:r>
        <w:t xml:space="preserve">рекомендованной дозы </w:t>
      </w:r>
      <w:r w:rsidR="005D7AFE">
        <w:t xml:space="preserve">для </w:t>
      </w:r>
      <w:r>
        <w:t>человека) приводили к задержке роста и развития потомства</w:t>
      </w:r>
      <w:r w:rsidR="00553441">
        <w:t>.</w:t>
      </w:r>
      <w:r>
        <w:t xml:space="preserve"> Отмечались отсроченные роды и повышенные постимплантационные потери. Вес потомства (F1) был низким при рождении и оставался ниже, чем в контрольной группе. </w:t>
      </w:r>
      <w:r w:rsidR="005D7AFE">
        <w:t>Животные в п</w:t>
      </w:r>
      <w:r>
        <w:t>отомств</w:t>
      </w:r>
      <w:r w:rsidR="005D7AFE">
        <w:t>е</w:t>
      </w:r>
      <w:r>
        <w:t xml:space="preserve"> (F1) также имели умеренные задержки в физическом развитии, обучении/памяти, физической активность/исследовательском поведении и количеств</w:t>
      </w:r>
      <w:r w:rsidR="0050797A">
        <w:t>е</w:t>
      </w:r>
      <w:r>
        <w:t xml:space="preserve"> жизнеспособного потомства (F2) после спаривания</w:t>
      </w:r>
      <w:bookmarkEnd w:id="150"/>
      <w:r w:rsidR="00FF120E">
        <w:t xml:space="preserve"> </w:t>
      </w:r>
      <w:r w:rsidR="00FF120E">
        <w:fldChar w:fldCharType="begin"/>
      </w:r>
      <w:r w:rsidR="00FF120E">
        <w:instrText xml:space="preserve"> ADDIN ZOTERO_ITEM CSL_CITATION {"citationID":"n6ZtL7yW","properties":{"formattedCitation":"[3]","plainCitation":"[3]","noteIndex":0},"citationItems":[{"id":2978,"uris":["http://zotero.org/users/5483459/items/DHAYHB8P"],"itemData":{"id":2978,"type":"document","title":"U.S.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rsidR="00FF120E">
        <w:fldChar w:fldCharType="separate"/>
      </w:r>
      <w:r w:rsidR="00FF120E" w:rsidRPr="00A56070">
        <w:t>[3]</w:t>
      </w:r>
      <w:r w:rsidR="00FF120E">
        <w:fldChar w:fldCharType="end"/>
      </w:r>
      <w:r w:rsidR="00FF120E">
        <w:t>.</w:t>
      </w:r>
    </w:p>
    <w:p w14:paraId="21904F62" w14:textId="77777777" w:rsidR="004B1452" w:rsidRDefault="004B1452" w:rsidP="004B1452">
      <w:pPr>
        <w:pStyle w:val="4"/>
        <w:spacing w:after="240"/>
        <w:rPr>
          <w:rFonts w:ascii="Times New Roman" w:hAnsi="Times New Roman"/>
          <w:color w:val="000000" w:themeColor="text1"/>
          <w:sz w:val="24"/>
          <w:szCs w:val="24"/>
        </w:rPr>
      </w:pPr>
      <w:bookmarkStart w:id="151" w:name="_Toc139361972"/>
      <w:r w:rsidRPr="002211BA">
        <w:rPr>
          <w:rFonts w:ascii="Times New Roman" w:hAnsi="Times New Roman"/>
          <w:color w:val="000000" w:themeColor="text1"/>
          <w:sz w:val="24"/>
          <w:szCs w:val="24"/>
        </w:rPr>
        <w:t>3.</w:t>
      </w:r>
      <w:r>
        <w:rPr>
          <w:rFonts w:ascii="Times New Roman" w:hAnsi="Times New Roman"/>
          <w:color w:val="000000" w:themeColor="text1"/>
          <w:sz w:val="24"/>
          <w:szCs w:val="24"/>
        </w:rPr>
        <w:t>3.5.4</w:t>
      </w:r>
      <w:r w:rsidRPr="002211BA">
        <w:rPr>
          <w:rFonts w:ascii="Times New Roman" w:hAnsi="Times New Roman"/>
          <w:color w:val="000000" w:themeColor="text1"/>
          <w:sz w:val="24"/>
          <w:szCs w:val="24"/>
        </w:rPr>
        <w:t>. Ювенильная токсичность</w:t>
      </w:r>
      <w:bookmarkEnd w:id="151"/>
    </w:p>
    <w:p w14:paraId="38422D02" w14:textId="7559426E" w:rsidR="004B1452" w:rsidRDefault="004B1452" w:rsidP="0050797A">
      <w:pPr>
        <w:ind w:firstLine="709"/>
      </w:pPr>
      <w:r>
        <w:t>Не проводили исследований влияния линаглиптина на ювенильную</w:t>
      </w:r>
      <w:r w:rsidR="00255CCA">
        <w:t xml:space="preserve"> </w:t>
      </w:r>
      <w:r>
        <w:t xml:space="preserve">токсичность </w:t>
      </w:r>
      <w:r>
        <w:fldChar w:fldCharType="begin"/>
      </w:r>
      <w:r>
        <w:instrText xml:space="preserve"> ADDIN ZOTERO_ITEM CSL_CITATION {"citationID":"7idQq94J","properties":{"formattedCitation":"[1\\uc0\\u8211{}3,9]","plainCitation":"[1–3,9]","noteIndex":0},"citationItems":[{"id":3008,"uris":["http://zotero.org/users/5483459/items/A4YJC5H7"],"itemData":{"id":3008,"type":"document","title":"European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04.03.2011"},"label":"page"},{"id":3035,"uris":["http://zotero.org/users/5483459/items/A4NC89C5"],"itemData":{"id":3035,"type":"document","title":"Australian government. Australian Public Assessment Report for Linagliptin. Proprietary Product Name: Trajenta Sponsor: Boehringer Ingleheim (Australia) Pty Ltd. 2011."},"label":"page"}],"schema":"https://github.com/citation-style-language/schema/raw/master/csl-citation.json"} </w:instrText>
      </w:r>
      <w:r>
        <w:fldChar w:fldCharType="separate"/>
      </w:r>
      <w:r w:rsidRPr="0032219A">
        <w:t>[1–3,9]</w:t>
      </w:r>
      <w:r>
        <w:fldChar w:fldCharType="end"/>
      </w:r>
      <w:r>
        <w:t xml:space="preserve"> </w:t>
      </w:r>
    </w:p>
    <w:p w14:paraId="5DC5675D" w14:textId="77777777" w:rsidR="004B1452" w:rsidRPr="005E6358" w:rsidRDefault="004B1452" w:rsidP="004B1452">
      <w:pPr>
        <w:pStyle w:val="3"/>
        <w:spacing w:after="240"/>
        <w:rPr>
          <w:rFonts w:ascii="Times New Roman" w:hAnsi="Times New Roman"/>
          <w:color w:val="000000" w:themeColor="text1"/>
          <w:szCs w:val="24"/>
        </w:rPr>
      </w:pPr>
      <w:bookmarkStart w:id="152" w:name="_Toc99740815"/>
      <w:bookmarkStart w:id="153" w:name="_Toc139361973"/>
      <w:r>
        <w:rPr>
          <w:rFonts w:ascii="Times New Roman" w:hAnsi="Times New Roman"/>
          <w:color w:val="000000" w:themeColor="text1"/>
          <w:szCs w:val="24"/>
        </w:rPr>
        <w:t>3.3.6</w:t>
      </w:r>
      <w:r w:rsidRPr="005E6358">
        <w:rPr>
          <w:rFonts w:ascii="Times New Roman" w:hAnsi="Times New Roman"/>
          <w:color w:val="000000" w:themeColor="text1"/>
          <w:szCs w:val="24"/>
        </w:rPr>
        <w:t xml:space="preserve">. </w:t>
      </w:r>
      <w:r w:rsidRPr="00781AE0">
        <w:rPr>
          <w:rFonts w:ascii="Times New Roman" w:hAnsi="Times New Roman"/>
          <w:color w:val="000000" w:themeColor="text1"/>
          <w:szCs w:val="24"/>
        </w:rPr>
        <w:t>Местная переносимость</w:t>
      </w:r>
      <w:bookmarkEnd w:id="152"/>
      <w:bookmarkEnd w:id="153"/>
    </w:p>
    <w:p w14:paraId="246B280A" w14:textId="79486182" w:rsidR="004B1452" w:rsidRPr="00C5790E" w:rsidRDefault="008F3350" w:rsidP="005B61DA">
      <w:pPr>
        <w:ind w:firstLine="709"/>
      </w:pPr>
      <w:r>
        <w:t>В и</w:t>
      </w:r>
      <w:r w:rsidR="004B1452" w:rsidRPr="00C5790E">
        <w:t>сследования</w:t>
      </w:r>
      <w:r>
        <w:t>х</w:t>
      </w:r>
      <w:r w:rsidR="004B1452" w:rsidRPr="00C5790E">
        <w:t xml:space="preserve"> местной переносимости не выяви</w:t>
      </w:r>
      <w:r>
        <w:t>лено</w:t>
      </w:r>
      <w:r w:rsidR="004B1452" w:rsidRPr="00C5790E">
        <w:t xml:space="preserve"> раздражения после местно</w:t>
      </w:r>
      <w:r w:rsidR="004B1452">
        <w:t>го</w:t>
      </w:r>
      <w:r w:rsidR="004B1452" w:rsidRPr="00C5790E">
        <w:t xml:space="preserve"> нанесени</w:t>
      </w:r>
      <w:r w:rsidR="004B1452">
        <w:t>я</w:t>
      </w:r>
      <w:r w:rsidR="004B1452" w:rsidRPr="00C5790E">
        <w:t xml:space="preserve"> на кожу</w:t>
      </w:r>
      <w:r w:rsidR="004B1452">
        <w:t>, при проведении внутримышечных, внутривенных и</w:t>
      </w:r>
      <w:r w:rsidR="004B1452" w:rsidRPr="00C5790E">
        <w:t xml:space="preserve"> внутриартериальн</w:t>
      </w:r>
      <w:r w:rsidR="004B1452">
        <w:t>ых</w:t>
      </w:r>
      <w:r w:rsidR="004B1452" w:rsidRPr="00C5790E">
        <w:t xml:space="preserve"> инъекци</w:t>
      </w:r>
      <w:r w:rsidR="004B1452">
        <w:t>й</w:t>
      </w:r>
      <w:r w:rsidR="004B1452" w:rsidRPr="00C5790E">
        <w:t xml:space="preserve"> у кроликов </w:t>
      </w:r>
      <w:r w:rsidR="004B1452">
        <w:t>и</w:t>
      </w:r>
      <w:r w:rsidR="004B1452" w:rsidRPr="00C5790E">
        <w:t xml:space="preserve"> крыс. Гемосовместимость была продемонстрирована </w:t>
      </w:r>
      <w:r w:rsidR="004B1452" w:rsidRPr="00C5790E">
        <w:rPr>
          <w:i/>
          <w:iCs/>
          <w:lang w:val="en-US"/>
        </w:rPr>
        <w:t>in</w:t>
      </w:r>
      <w:r w:rsidR="004B1452" w:rsidRPr="00C5790E">
        <w:rPr>
          <w:i/>
          <w:iCs/>
        </w:rPr>
        <w:t xml:space="preserve"> </w:t>
      </w:r>
      <w:r w:rsidR="004B1452" w:rsidRPr="00C5790E">
        <w:rPr>
          <w:i/>
          <w:iCs/>
          <w:lang w:val="en-US"/>
        </w:rPr>
        <w:t>vitro</w:t>
      </w:r>
      <w:r w:rsidR="004B1452" w:rsidRPr="00C5790E">
        <w:t xml:space="preserve"> в анализах</w:t>
      </w:r>
      <w:r w:rsidR="004B1452">
        <w:t xml:space="preserve"> </w:t>
      </w:r>
      <w:r w:rsidR="004B1452" w:rsidRPr="00C5790E">
        <w:t>с кровью человека (инкубация с линаглиптином ≤0,5 мг/мл</w:t>
      </w:r>
      <w:r w:rsidR="004B1452">
        <w:t xml:space="preserve">) </w:t>
      </w:r>
      <w:r w:rsidR="004B1452">
        <w:fldChar w:fldCharType="begin"/>
      </w:r>
      <w:r w:rsidR="004B1452">
        <w:instrText xml:space="preserve"> ADDIN ZOTERO_ITEM CSL_CITATION {"citationID":"dDIbXbAI","properties":{"formattedCitation":"[3,9]","plainCitation":"[3,9]","noteIndex":0},"citationItems":[{"id":2978,"uris":["http://zotero.org/users/5483459/items/DHAYHB8P"],"itemData":{"id":2978,"type":"document","title":"U.S.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04.03.2011"},"label":"page"},{"id":3035,"uris":["http://zotero.org/users/5483459/items/A4NC89C5"],"itemData":{"id":3035,"type":"document","title":"Australian government. Australian Public Assessment Report for Linagliptin. Proprietary Product Name: Trajenta Sponsor: Boehringer Ingleheim (Australia) Pty Ltd. 2011."},"label":"page"}],"schema":"https://github.com/citation-style-language/schema/raw/master/csl-citation.json"} </w:instrText>
      </w:r>
      <w:r w:rsidR="004B1452">
        <w:fldChar w:fldCharType="separate"/>
      </w:r>
      <w:r w:rsidR="004B1452" w:rsidRPr="00B97E22">
        <w:t>[3,9]</w:t>
      </w:r>
      <w:r w:rsidR="004B1452">
        <w:fldChar w:fldCharType="end"/>
      </w:r>
      <w:r w:rsidR="004B1452">
        <w:t>.</w:t>
      </w:r>
    </w:p>
    <w:p w14:paraId="5D6C12FA" w14:textId="77777777" w:rsidR="0049695C" w:rsidRDefault="0049695C" w:rsidP="004B1452">
      <w:pPr>
        <w:pStyle w:val="3"/>
        <w:spacing w:after="240"/>
        <w:rPr>
          <w:rFonts w:ascii="Times New Roman" w:hAnsi="Times New Roman"/>
          <w:color w:val="000000" w:themeColor="text1"/>
          <w:szCs w:val="24"/>
        </w:rPr>
        <w:sectPr w:rsidR="0049695C" w:rsidSect="00AB01E2">
          <w:footnotePr>
            <w:pos w:val="beneathText"/>
          </w:footnotePr>
          <w:pgSz w:w="11906" w:h="16838"/>
          <w:pgMar w:top="1134" w:right="849" w:bottom="1134" w:left="1701" w:header="708" w:footer="709" w:gutter="0"/>
          <w:cols w:space="708"/>
          <w:docGrid w:linePitch="360"/>
        </w:sectPr>
      </w:pPr>
    </w:p>
    <w:p w14:paraId="3DEBD017" w14:textId="42FC2033" w:rsidR="004B1452" w:rsidRDefault="004B1452" w:rsidP="004B1452">
      <w:pPr>
        <w:pStyle w:val="3"/>
        <w:spacing w:after="240"/>
        <w:rPr>
          <w:rFonts w:ascii="Times New Roman" w:hAnsi="Times New Roman"/>
          <w:color w:val="000000" w:themeColor="text1"/>
          <w:szCs w:val="24"/>
        </w:rPr>
      </w:pPr>
      <w:bookmarkStart w:id="154" w:name="_Toc139361974"/>
      <w:r>
        <w:rPr>
          <w:rFonts w:ascii="Times New Roman" w:hAnsi="Times New Roman"/>
          <w:color w:val="000000" w:themeColor="text1"/>
          <w:szCs w:val="24"/>
        </w:rPr>
        <w:lastRenderedPageBreak/>
        <w:t>3.3.7</w:t>
      </w:r>
      <w:r w:rsidRPr="005E6358">
        <w:rPr>
          <w:rFonts w:ascii="Times New Roman" w:hAnsi="Times New Roman"/>
          <w:color w:val="000000" w:themeColor="text1"/>
          <w:szCs w:val="24"/>
        </w:rPr>
        <w:t xml:space="preserve">. </w:t>
      </w:r>
      <w:bookmarkStart w:id="155" w:name="_Hlk121101335"/>
      <w:r>
        <w:rPr>
          <w:rFonts w:ascii="Times New Roman" w:hAnsi="Times New Roman"/>
          <w:color w:val="000000" w:themeColor="text1"/>
          <w:szCs w:val="24"/>
        </w:rPr>
        <w:t>Токсикокинетика</w:t>
      </w:r>
      <w:bookmarkEnd w:id="154"/>
    </w:p>
    <w:p w14:paraId="1A9ACEA3" w14:textId="77777777" w:rsidR="004B1452" w:rsidRDefault="004B1452" w:rsidP="004B1452">
      <w:pPr>
        <w:rPr>
          <w:b/>
          <w:bCs/>
        </w:rPr>
      </w:pPr>
      <w:r w:rsidRPr="0028661A">
        <w:rPr>
          <w:b/>
          <w:bCs/>
        </w:rPr>
        <w:t>Крысы</w:t>
      </w:r>
    </w:p>
    <w:p w14:paraId="3825CBA6" w14:textId="77777777" w:rsidR="008F3350" w:rsidRDefault="008F3350" w:rsidP="008F3350">
      <w:pPr>
        <w:ind w:firstLine="709"/>
      </w:pPr>
    </w:p>
    <w:p w14:paraId="3FF5F33F" w14:textId="36C56FC7" w:rsidR="004B1452" w:rsidRDefault="004B1452" w:rsidP="008F3350">
      <w:pPr>
        <w:ind w:firstLine="709"/>
      </w:pPr>
      <w:r w:rsidRPr="00D21625">
        <w:t xml:space="preserve">В </w:t>
      </w:r>
      <w:r>
        <w:t>26</w:t>
      </w:r>
      <w:r w:rsidRPr="00D21625">
        <w:t xml:space="preserve">- недельном исследовании у </w:t>
      </w:r>
      <w:r>
        <w:t>крыс</w:t>
      </w:r>
      <w:r w:rsidRPr="00D21625">
        <w:t xml:space="preserve"> </w:t>
      </w:r>
      <w:r>
        <w:t xml:space="preserve">(20 самок, 20 самцов) </w:t>
      </w:r>
      <w:r w:rsidRPr="00D21625">
        <w:t xml:space="preserve">линаглиптин вводили перорально один раз в </w:t>
      </w:r>
      <w:r w:rsidR="007810C3">
        <w:t>сутки</w:t>
      </w:r>
      <w:r w:rsidRPr="00D21625">
        <w:t xml:space="preserve"> через желудочный зонд в </w:t>
      </w:r>
      <w:r w:rsidR="00A11B8A" w:rsidRPr="00D21625">
        <w:t xml:space="preserve">дозах </w:t>
      </w:r>
      <w:r w:rsidR="00A11B8A">
        <w:t>30</w:t>
      </w:r>
      <w:r>
        <w:t xml:space="preserve">, 100, 300 мг/кг/сутки. </w:t>
      </w:r>
      <w:r w:rsidRPr="00B97E22">
        <w:t>Препарат легко всасывался после перорального введения через желудочный зонд. Концентрации в плазме были</w:t>
      </w:r>
      <w:r>
        <w:t xml:space="preserve"> </w:t>
      </w:r>
      <w:r w:rsidRPr="00B97E22">
        <w:t xml:space="preserve">немного выше в равновесном состоянии на 88-й день по сравнению с 1-м днем. </w:t>
      </w:r>
    </w:p>
    <w:p w14:paraId="59817BEC" w14:textId="753CA650" w:rsidR="004B1452" w:rsidRDefault="004B1452" w:rsidP="008F3350">
      <w:pPr>
        <w:ind w:firstLine="709"/>
      </w:pPr>
      <w:r w:rsidRPr="00D21625">
        <w:t xml:space="preserve">В </w:t>
      </w:r>
      <w:r>
        <w:t>104</w:t>
      </w:r>
      <w:r w:rsidRPr="00D21625">
        <w:t xml:space="preserve">- недельном исследовании у </w:t>
      </w:r>
      <w:r>
        <w:t>крыс</w:t>
      </w:r>
      <w:r w:rsidRPr="00D21625">
        <w:t xml:space="preserve"> </w:t>
      </w:r>
      <w:r>
        <w:t xml:space="preserve">(55 самок, 55 самцов) </w:t>
      </w:r>
      <w:r w:rsidRPr="00D21625">
        <w:t xml:space="preserve">линаглиптин вводили перорально один раз в </w:t>
      </w:r>
      <w:r w:rsidR="007810C3">
        <w:t>сутки</w:t>
      </w:r>
      <w:r w:rsidRPr="00D21625">
        <w:t xml:space="preserve"> через желудочный зонд в </w:t>
      </w:r>
      <w:r w:rsidR="00A11B8A" w:rsidRPr="00D21625">
        <w:t xml:space="preserve">дозах </w:t>
      </w:r>
      <w:r w:rsidR="00A11B8A">
        <w:t>30</w:t>
      </w:r>
      <w:r>
        <w:t xml:space="preserve">, 100, 300 мг/кг/сутки. </w:t>
      </w:r>
    </w:p>
    <w:p w14:paraId="577BE3E0" w14:textId="7F6CBCE1" w:rsidR="004B1452" w:rsidRDefault="004B1452" w:rsidP="008F3350">
      <w:pPr>
        <w:ind w:firstLine="709"/>
      </w:pPr>
      <w:r>
        <w:t xml:space="preserve">У групп с высокой </w:t>
      </w:r>
      <w:r w:rsidR="00A11B8A">
        <w:t>дозой вариабельность</w:t>
      </w:r>
      <w:r>
        <w:t xml:space="preserve"> внутри групп колебалась от 16% до 80% для </w:t>
      </w:r>
      <w:r w:rsidRPr="00D21625">
        <w:t>линаглиптин</w:t>
      </w:r>
      <w:r>
        <w:t>а</w:t>
      </w:r>
      <w:r w:rsidRPr="00D21625">
        <w:t xml:space="preserve"> </w:t>
      </w:r>
      <w:r>
        <w:t>и был</w:t>
      </w:r>
      <w:r w:rsidR="00A11B8A">
        <w:t>а</w:t>
      </w:r>
      <w:r>
        <w:t xml:space="preserve"> выше для метаболита CD 1750. C</w:t>
      </w:r>
      <w:r w:rsidRPr="004C4187">
        <w:rPr>
          <w:vertAlign w:val="subscript"/>
        </w:rPr>
        <w:t>max</w:t>
      </w:r>
      <w:r>
        <w:t xml:space="preserve"> и AUC бы</w:t>
      </w:r>
      <w:r w:rsidR="007810C3">
        <w:t>ли</w:t>
      </w:r>
      <w:r>
        <w:t xml:space="preserve"> в 11 раз выше на 179-й день по сравнению с 1-м днем. Равновесная концентрация на 361 день исследования была анало</w:t>
      </w:r>
      <w:r w:rsidR="009D3190">
        <w:t>г</w:t>
      </w:r>
      <w:r>
        <w:t xml:space="preserve">ичной концентрации препарата на 179-й день </w:t>
      </w:r>
    </w:p>
    <w:p w14:paraId="46E1EBBB" w14:textId="77777777" w:rsidR="004B1452" w:rsidRDefault="004B1452" w:rsidP="004B1452">
      <w:pPr>
        <w:ind w:firstLine="709"/>
      </w:pPr>
    </w:p>
    <w:p w14:paraId="641D393A" w14:textId="77777777" w:rsidR="004B1452" w:rsidRPr="00B97E22" w:rsidRDefault="004B1452" w:rsidP="004B1452">
      <w:pPr>
        <w:rPr>
          <w:b/>
          <w:bCs/>
        </w:rPr>
      </w:pPr>
      <w:r w:rsidRPr="00B97E22">
        <w:rPr>
          <w:b/>
          <w:bCs/>
        </w:rPr>
        <w:t>Обезьяны</w:t>
      </w:r>
    </w:p>
    <w:p w14:paraId="3F8175C6" w14:textId="77777777" w:rsidR="008F3350" w:rsidRDefault="008F3350" w:rsidP="004B1452">
      <w:pPr>
        <w:ind w:firstLine="567"/>
      </w:pPr>
    </w:p>
    <w:p w14:paraId="50294D2C" w14:textId="65263851" w:rsidR="004B1452" w:rsidRDefault="004B1452" w:rsidP="00A11B8A">
      <w:pPr>
        <w:ind w:firstLine="709"/>
      </w:pPr>
      <w:r>
        <w:t>В</w:t>
      </w:r>
      <w:r w:rsidR="00A11B8A">
        <w:t xml:space="preserve"> 52-</w:t>
      </w:r>
      <w:r w:rsidRPr="00B97E22">
        <w:t xml:space="preserve">недельном исследовании у обезьян </w:t>
      </w:r>
      <w:r w:rsidRPr="00FF120E">
        <w:rPr>
          <w:i/>
          <w:iCs/>
        </w:rPr>
        <w:t xml:space="preserve">Cynomolgus </w:t>
      </w:r>
      <w:r w:rsidRPr="00B97E22">
        <w:t xml:space="preserve">(4 самки, 4 самца) линаглиптин вводили перорально один раз в </w:t>
      </w:r>
      <w:r w:rsidR="009D3190">
        <w:t>сутки</w:t>
      </w:r>
      <w:r w:rsidRPr="00B97E22">
        <w:t xml:space="preserve"> через желудочный зонд в дозах 1, 10, 100 мг/кг/сутки.</w:t>
      </w:r>
    </w:p>
    <w:p w14:paraId="5B82686D" w14:textId="76B064F5" w:rsidR="004B1452" w:rsidRDefault="004B1452" w:rsidP="00A11B8A">
      <w:pPr>
        <w:ind w:firstLine="709"/>
      </w:pPr>
      <w:r>
        <w:t>Препарат легко всасывался после перорального введения (T</w:t>
      </w:r>
      <w:r w:rsidRPr="00B97E22">
        <w:rPr>
          <w:vertAlign w:val="subscript"/>
        </w:rPr>
        <w:t>max</w:t>
      </w:r>
      <w:r>
        <w:t xml:space="preserve"> ≈ 0,5–4 ч). Основной метаболит CD 1750, имел сходную T</w:t>
      </w:r>
      <w:r w:rsidRPr="00B97E22">
        <w:rPr>
          <w:vertAlign w:val="subscript"/>
        </w:rPr>
        <w:t>max</w:t>
      </w:r>
      <w:r>
        <w:t xml:space="preserve"> и </w:t>
      </w:r>
      <w:r w:rsidR="00A02479">
        <w:t xml:space="preserve">регистрировался </w:t>
      </w:r>
      <w:r>
        <w:t xml:space="preserve"> приблизительно </w:t>
      </w:r>
      <w:r w:rsidR="00A02479">
        <w:t xml:space="preserve">в </w:t>
      </w:r>
      <w:r>
        <w:t>20-30%</w:t>
      </w:r>
      <w:r w:rsidR="00494F46">
        <w:t xml:space="preserve"> </w:t>
      </w:r>
      <w:r w:rsidR="00FF120E">
        <w:fldChar w:fldCharType="begin"/>
      </w:r>
      <w:r w:rsidR="00FF120E">
        <w:instrText xml:space="preserve"> ADDIN ZOTERO_ITEM CSL_CITATION {"citationID":"n6ZtL7yW","properties":{"formattedCitation":"[3]","plainCitation":"[3]","noteIndex":0},"citationItems":[{"id":2978,"uris":["http://zotero.org/users/5483459/items/DHAYHB8P"],"itemData":{"id":2978,"type":"document","title":"U.S.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rsidR="00FF120E">
        <w:fldChar w:fldCharType="separate"/>
      </w:r>
      <w:r w:rsidR="00FF120E" w:rsidRPr="00A56070">
        <w:t>[3]</w:t>
      </w:r>
      <w:r w:rsidR="00FF120E">
        <w:fldChar w:fldCharType="end"/>
      </w:r>
      <w:r w:rsidR="00FF120E">
        <w:t>.</w:t>
      </w:r>
    </w:p>
    <w:p w14:paraId="34ECF677" w14:textId="77777777" w:rsidR="004B1452" w:rsidRPr="005E6358" w:rsidRDefault="004B1452" w:rsidP="004B1452">
      <w:pPr>
        <w:pStyle w:val="3"/>
        <w:spacing w:after="240"/>
        <w:rPr>
          <w:rFonts w:ascii="Times New Roman" w:hAnsi="Times New Roman"/>
          <w:color w:val="000000" w:themeColor="text1"/>
          <w:szCs w:val="24"/>
        </w:rPr>
      </w:pPr>
      <w:bookmarkStart w:id="156" w:name="_Toc139361975"/>
      <w:bookmarkEnd w:id="155"/>
      <w:r w:rsidRPr="00C0012D">
        <w:rPr>
          <w:rFonts w:ascii="Times New Roman" w:hAnsi="Times New Roman"/>
          <w:color w:val="000000" w:themeColor="text1"/>
          <w:szCs w:val="24"/>
        </w:rPr>
        <w:t xml:space="preserve">3.3.8. </w:t>
      </w:r>
      <w:r w:rsidRPr="00781AE0">
        <w:rPr>
          <w:rFonts w:ascii="Times New Roman" w:hAnsi="Times New Roman"/>
          <w:color w:val="000000" w:themeColor="text1"/>
          <w:szCs w:val="24"/>
        </w:rPr>
        <w:t>Прочие исследования</w:t>
      </w:r>
      <w:bookmarkEnd w:id="156"/>
    </w:p>
    <w:p w14:paraId="01B7F70B" w14:textId="77777777" w:rsidR="004B1452" w:rsidRDefault="004B1452" w:rsidP="004B1452">
      <w:pPr>
        <w:pStyle w:val="4"/>
        <w:spacing w:after="240"/>
        <w:rPr>
          <w:rFonts w:ascii="Times New Roman" w:hAnsi="Times New Roman"/>
          <w:color w:val="000000" w:themeColor="text1"/>
          <w:sz w:val="24"/>
          <w:szCs w:val="24"/>
        </w:rPr>
      </w:pPr>
      <w:bookmarkStart w:id="157" w:name="_Toc139361976"/>
      <w:r>
        <w:rPr>
          <w:rFonts w:ascii="Times New Roman" w:hAnsi="Times New Roman"/>
          <w:color w:val="000000" w:themeColor="text1"/>
          <w:sz w:val="24"/>
          <w:szCs w:val="24"/>
        </w:rPr>
        <w:t>3.3.8</w:t>
      </w:r>
      <w:r w:rsidRPr="002E7351">
        <w:rPr>
          <w:rFonts w:ascii="Times New Roman" w:hAnsi="Times New Roman"/>
          <w:color w:val="000000" w:themeColor="text1"/>
          <w:sz w:val="24"/>
          <w:szCs w:val="24"/>
        </w:rPr>
        <w:t>.</w:t>
      </w:r>
      <w:r>
        <w:rPr>
          <w:rFonts w:ascii="Times New Roman" w:hAnsi="Times New Roman"/>
          <w:color w:val="000000" w:themeColor="text1"/>
          <w:sz w:val="24"/>
          <w:szCs w:val="24"/>
        </w:rPr>
        <w:t xml:space="preserve">1. </w:t>
      </w:r>
      <w:r w:rsidRPr="002E7351">
        <w:rPr>
          <w:rFonts w:ascii="Times New Roman" w:hAnsi="Times New Roman"/>
          <w:color w:val="000000" w:themeColor="text1"/>
          <w:sz w:val="24"/>
          <w:szCs w:val="24"/>
        </w:rPr>
        <w:t>Фототоксичность</w:t>
      </w:r>
      <w:bookmarkEnd w:id="157"/>
    </w:p>
    <w:p w14:paraId="098D233D" w14:textId="77777777" w:rsidR="004B1452" w:rsidRDefault="004B1452" w:rsidP="008F3350">
      <w:pPr>
        <w:ind w:firstLine="709"/>
      </w:pPr>
      <w:r>
        <w:t xml:space="preserve">Линаглиптин имеет второй максимум поглощения при длине волны более 290 нм (U09-1738). Фототоксический потенциал линаглиптина оценивали в клинических условиях </w:t>
      </w:r>
      <w:r>
        <w:fldChar w:fldCharType="begin"/>
      </w:r>
      <w:r>
        <w:instrText xml:space="preserve"> ADDIN ZOTERO_ITEM CSL_CITATION {"citationID":"D5n2T6HA","properties":{"formattedCitation":"[9]","plainCitation":"[9]","noteIndex":0},"citationItems":[{"id":3035,"uris":["http://zotero.org/users/5483459/items/A4NC89C5"],"itemData":{"id":3035,"type":"document","title":"Australian government. Australian Public Assessment Report for Linagliptin. Proprietary Product Name: Trajenta Sponsor: Boehringer Ingleheim (Australia) Pty Ltd. 2011."}}],"schema":"https://github.com/citation-style-language/schema/raw/master/csl-citation.json"} </w:instrText>
      </w:r>
      <w:r>
        <w:fldChar w:fldCharType="separate"/>
      </w:r>
      <w:r w:rsidRPr="007A0CA9">
        <w:t>[9]</w:t>
      </w:r>
      <w:r>
        <w:fldChar w:fldCharType="end"/>
      </w:r>
      <w:r>
        <w:t>.</w:t>
      </w:r>
    </w:p>
    <w:p w14:paraId="068D7E28" w14:textId="77777777" w:rsidR="004B1452" w:rsidRDefault="004B1452" w:rsidP="004B1452">
      <w:pPr>
        <w:pStyle w:val="4"/>
        <w:spacing w:after="240"/>
        <w:rPr>
          <w:rFonts w:ascii="Times New Roman" w:hAnsi="Times New Roman"/>
          <w:color w:val="000000" w:themeColor="text1"/>
          <w:sz w:val="24"/>
          <w:szCs w:val="24"/>
        </w:rPr>
      </w:pPr>
      <w:bookmarkStart w:id="158" w:name="_Toc139361977"/>
      <w:r w:rsidRPr="002E7351">
        <w:rPr>
          <w:rFonts w:ascii="Times New Roman" w:hAnsi="Times New Roman"/>
          <w:color w:val="000000" w:themeColor="text1"/>
          <w:sz w:val="24"/>
          <w:szCs w:val="24"/>
        </w:rPr>
        <w:t>3</w:t>
      </w:r>
      <w:r>
        <w:rPr>
          <w:rFonts w:ascii="Times New Roman" w:hAnsi="Times New Roman"/>
          <w:color w:val="000000" w:themeColor="text1"/>
          <w:sz w:val="24"/>
          <w:szCs w:val="24"/>
        </w:rPr>
        <w:t>.3.8.2</w:t>
      </w:r>
      <w:r w:rsidRPr="002E7351">
        <w:rPr>
          <w:rFonts w:ascii="Times New Roman" w:hAnsi="Times New Roman"/>
          <w:color w:val="000000" w:themeColor="text1"/>
          <w:sz w:val="24"/>
          <w:szCs w:val="24"/>
        </w:rPr>
        <w:t>. Иммунотоксичность</w:t>
      </w:r>
      <w:bookmarkEnd w:id="158"/>
    </w:p>
    <w:p w14:paraId="7D2D8854" w14:textId="14FC178B" w:rsidR="004B1452" w:rsidRDefault="004B1452" w:rsidP="004B1452">
      <w:pPr>
        <w:ind w:firstLine="709"/>
      </w:pPr>
      <w:r>
        <w:t>Специализированные исследования иммунотоксичности не проводились. Зависимый от Т-клеток гуморальный ответ не изменился у крыс, получавших линаглиптин в течение 2 недель по 1000 мг/кг/день перорально</w:t>
      </w:r>
      <w:r w:rsidR="00CD1964">
        <w:t>.</w:t>
      </w:r>
      <w:r>
        <w:t xml:space="preserve"> Хотя ДПП-4 является корецептором с CD3 для активации и пролиферации Т-клеток, не было указаний на то, что другие ингибиторы ДПП-4 влияют на функцию Т-клеток при терапевтическом воздействии.</w:t>
      </w:r>
      <w:r w:rsidR="00CD1964">
        <w:t xml:space="preserve"> </w:t>
      </w:r>
      <w:r>
        <w:t xml:space="preserve">На основании приведенных данных не прогнозируется никакого значительного иммунотоксического риска для клинического применения линаглиптина </w:t>
      </w:r>
      <w:r>
        <w:fldChar w:fldCharType="begin"/>
      </w:r>
      <w:r>
        <w:instrText xml:space="preserve"> ADDIN ZOTERO_ITEM CSL_CITATION {"citationID":"O77E26pS","properties":{"formattedCitation":"[9]","plainCitation":"[9]","noteIndex":0},"citationItems":[{"id":3035,"uris":["http://zotero.org/users/5483459/items/A4NC89C5"],"itemData":{"id":3035,"type":"document","title":"Australian government. Australian Public Assessment Report for Linagliptin. Proprietary Product Name: Trajenta Sponsor: Boehringer Ingleheim (Australia) Pty Ltd. 2011."}}],"schema":"https://github.com/citation-style-language/schema/raw/master/csl-citation.json"} </w:instrText>
      </w:r>
      <w:r>
        <w:fldChar w:fldCharType="separate"/>
      </w:r>
      <w:r w:rsidRPr="00A429F6">
        <w:t>[9]</w:t>
      </w:r>
      <w:r>
        <w:fldChar w:fldCharType="end"/>
      </w:r>
      <w:r>
        <w:t>.</w:t>
      </w:r>
    </w:p>
    <w:p w14:paraId="56D3FE38" w14:textId="77777777" w:rsidR="004B1452" w:rsidRDefault="004B1452" w:rsidP="004B1452">
      <w:pPr>
        <w:pStyle w:val="4"/>
        <w:spacing w:after="240"/>
        <w:rPr>
          <w:rFonts w:ascii="Times New Roman" w:hAnsi="Times New Roman"/>
          <w:color w:val="000000" w:themeColor="text1"/>
          <w:sz w:val="24"/>
          <w:szCs w:val="24"/>
        </w:rPr>
      </w:pPr>
      <w:bookmarkStart w:id="159" w:name="_Toc139361978"/>
      <w:r w:rsidRPr="002E7351">
        <w:rPr>
          <w:rFonts w:ascii="Times New Roman" w:hAnsi="Times New Roman"/>
          <w:color w:val="000000" w:themeColor="text1"/>
          <w:sz w:val="24"/>
          <w:szCs w:val="24"/>
        </w:rPr>
        <w:t>3</w:t>
      </w:r>
      <w:r>
        <w:rPr>
          <w:rFonts w:ascii="Times New Roman" w:hAnsi="Times New Roman"/>
          <w:color w:val="000000" w:themeColor="text1"/>
          <w:sz w:val="24"/>
          <w:szCs w:val="24"/>
        </w:rPr>
        <w:t>.3.8.3</w:t>
      </w:r>
      <w:r w:rsidRPr="002E7351">
        <w:rPr>
          <w:rFonts w:ascii="Times New Roman" w:hAnsi="Times New Roman"/>
          <w:color w:val="000000" w:themeColor="text1"/>
          <w:sz w:val="24"/>
          <w:szCs w:val="24"/>
        </w:rPr>
        <w:t xml:space="preserve">. </w:t>
      </w:r>
      <w:r>
        <w:rPr>
          <w:rFonts w:ascii="Times New Roman" w:hAnsi="Times New Roman"/>
          <w:color w:val="000000" w:themeColor="text1"/>
          <w:sz w:val="24"/>
          <w:szCs w:val="24"/>
        </w:rPr>
        <w:t>Псевдоаллергические реакции</w:t>
      </w:r>
      <w:bookmarkEnd w:id="159"/>
    </w:p>
    <w:p w14:paraId="1DCC9F76" w14:textId="19546D01" w:rsidR="004B1452" w:rsidRDefault="00062A47" w:rsidP="004B1452">
      <w:pPr>
        <w:ind w:firstLine="709"/>
      </w:pPr>
      <w:r>
        <w:t>В</w:t>
      </w:r>
      <w:r w:rsidR="004B1452">
        <w:t xml:space="preserve"> исследованиях токсичности при многократном введении у собак отмечались явления гиперчувствительности, котор</w:t>
      </w:r>
      <w:r w:rsidR="0006421D">
        <w:t>ые</w:t>
      </w:r>
      <w:r w:rsidR="004B1452">
        <w:t xml:space="preserve"> был</w:t>
      </w:r>
      <w:r w:rsidR="0006421D">
        <w:t>и</w:t>
      </w:r>
      <w:r w:rsidR="004B1452">
        <w:t xml:space="preserve"> расценен</w:t>
      </w:r>
      <w:r w:rsidR="0006421D">
        <w:t>ы</w:t>
      </w:r>
      <w:r w:rsidR="004B1452">
        <w:t xml:space="preserve"> как псевдоаллергическая реакция, поскольку она проявилась без предварительной сенсибилизации. Реакция была связана со значительным повышением уровня гистамина в плазме и зависела от дозы. В 2-недельном исследовании у собак псевдоаллергические реакции наблюдалась при дозе 15 мг/кг/</w:t>
      </w:r>
      <w:r w:rsidR="0095670B">
        <w:t>сутки</w:t>
      </w:r>
      <w:r w:rsidR="004B1452">
        <w:t xml:space="preserve"> и выше. </w:t>
      </w:r>
    </w:p>
    <w:p w14:paraId="4E0E21AC" w14:textId="71867953" w:rsidR="004B1452" w:rsidRDefault="001C452E" w:rsidP="004B1452">
      <w:pPr>
        <w:ind w:firstLine="709"/>
      </w:pPr>
      <w:r>
        <w:lastRenderedPageBreak/>
        <w:t>В</w:t>
      </w:r>
      <w:r w:rsidR="004B1452">
        <w:t xml:space="preserve"> исследовании на обезьянах клинических признаков псевдоаллергии и повышения концентрации гистамина в плазме крови у яванских макак при пероральном введении не наблюдалось в дозах до 300 мг/кг/день, а у макак-резусов до 150 мг/кг</w:t>
      </w:r>
      <w:r w:rsidR="00770A3D">
        <w:t xml:space="preserve"> </w:t>
      </w:r>
      <w:r w:rsidR="00770A3D">
        <w:fldChar w:fldCharType="begin"/>
      </w:r>
      <w:r w:rsidR="00770A3D">
        <w:instrText xml:space="preserve"> ADDIN ZOTERO_ITEM CSL_CITATION {"citationID":"O77E26pS","properties":{"formattedCitation":"[9]","plainCitation":"[9]","noteIndex":0},"citationItems":[{"id":3035,"uris":["http://zotero.org/users/5483459/items/A4NC89C5"],"itemData":{"id":3035,"type":"document","title":"Australian government. Australian Public Assessment Report for Linagliptin. Proprietary Product Name: Trajenta Sponsor: Boehringer Ingleheim (Australia) Pty Ltd. 2011."}}],"schema":"https://github.com/citation-style-language/schema/raw/master/csl-citation.json"} </w:instrText>
      </w:r>
      <w:r w:rsidR="00770A3D">
        <w:fldChar w:fldCharType="separate"/>
      </w:r>
      <w:r w:rsidR="00770A3D" w:rsidRPr="00A429F6">
        <w:t>[9]</w:t>
      </w:r>
      <w:r w:rsidR="00770A3D">
        <w:fldChar w:fldCharType="end"/>
      </w:r>
      <w:r w:rsidR="00770A3D">
        <w:t>.</w:t>
      </w:r>
    </w:p>
    <w:p w14:paraId="0F2E98FB" w14:textId="77777777" w:rsidR="004B1452" w:rsidRDefault="004B1452" w:rsidP="004B1452">
      <w:pPr>
        <w:pStyle w:val="4"/>
        <w:spacing w:after="240"/>
        <w:rPr>
          <w:rFonts w:ascii="Times New Roman" w:hAnsi="Times New Roman"/>
          <w:color w:val="000000" w:themeColor="text1"/>
          <w:sz w:val="24"/>
          <w:szCs w:val="24"/>
        </w:rPr>
      </w:pPr>
      <w:bookmarkStart w:id="160" w:name="_Toc139361979"/>
      <w:r w:rsidRPr="002E7351">
        <w:rPr>
          <w:rFonts w:ascii="Times New Roman" w:hAnsi="Times New Roman"/>
          <w:color w:val="000000" w:themeColor="text1"/>
          <w:sz w:val="24"/>
          <w:szCs w:val="24"/>
        </w:rPr>
        <w:t>3</w:t>
      </w:r>
      <w:r>
        <w:rPr>
          <w:rFonts w:ascii="Times New Roman" w:hAnsi="Times New Roman"/>
          <w:color w:val="000000" w:themeColor="text1"/>
          <w:sz w:val="24"/>
          <w:szCs w:val="24"/>
        </w:rPr>
        <w:t>.3.8.4</w:t>
      </w:r>
      <w:r w:rsidRPr="002E7351">
        <w:rPr>
          <w:rFonts w:ascii="Times New Roman" w:hAnsi="Times New Roman"/>
          <w:color w:val="000000" w:themeColor="text1"/>
          <w:sz w:val="24"/>
          <w:szCs w:val="24"/>
        </w:rPr>
        <w:t xml:space="preserve">. </w:t>
      </w:r>
      <w:r>
        <w:rPr>
          <w:rFonts w:ascii="Times New Roman" w:hAnsi="Times New Roman"/>
          <w:color w:val="000000" w:themeColor="text1"/>
          <w:sz w:val="24"/>
          <w:szCs w:val="24"/>
        </w:rPr>
        <w:t>Токсичность метаболитов</w:t>
      </w:r>
      <w:bookmarkEnd w:id="160"/>
    </w:p>
    <w:p w14:paraId="09AF9254" w14:textId="6A28A879" w:rsidR="004B1452" w:rsidRDefault="004B1452" w:rsidP="008F3350">
      <w:pPr>
        <w:ind w:firstLine="709"/>
      </w:pPr>
      <w:r w:rsidRPr="00D8638E">
        <w:t xml:space="preserve">CD 1790 </w:t>
      </w:r>
      <w:r>
        <w:t>определя</w:t>
      </w:r>
      <w:r w:rsidR="001C452E">
        <w:t>л</w:t>
      </w:r>
      <w:r>
        <w:t>ся</w:t>
      </w:r>
      <w:r w:rsidRPr="00D8638E">
        <w:t xml:space="preserve"> у мышей, крыс, кроликов и обезьян, и его токсичность была</w:t>
      </w:r>
      <w:r>
        <w:t xml:space="preserve"> </w:t>
      </w:r>
      <w:r w:rsidRPr="00D8638E">
        <w:t>оценен</w:t>
      </w:r>
      <w:r>
        <w:t>а</w:t>
      </w:r>
      <w:r w:rsidRPr="00D8638E">
        <w:t xml:space="preserve"> в токсикологических исследованиях. Ни</w:t>
      </w:r>
      <w:r>
        <w:t xml:space="preserve"> у </w:t>
      </w:r>
      <w:r w:rsidRPr="00D8638E">
        <w:t xml:space="preserve">CD 1790, ни </w:t>
      </w:r>
      <w:r>
        <w:t>у</w:t>
      </w:r>
      <w:r w:rsidRPr="00D8638E">
        <w:t xml:space="preserve"> други</w:t>
      </w:r>
      <w:r>
        <w:t>х</w:t>
      </w:r>
      <w:r w:rsidRPr="00D8638E">
        <w:t xml:space="preserve"> метаболит</w:t>
      </w:r>
      <w:r>
        <w:t xml:space="preserve">ов не была </w:t>
      </w:r>
      <w:r w:rsidRPr="00D8638E">
        <w:t>обнаружен</w:t>
      </w:r>
      <w:r>
        <w:t>а</w:t>
      </w:r>
      <w:r w:rsidRPr="00D8638E">
        <w:t xml:space="preserve"> фармакологическ</w:t>
      </w:r>
      <w:r>
        <w:t>ая</w:t>
      </w:r>
      <w:r w:rsidRPr="00D8638E">
        <w:t xml:space="preserve"> </w:t>
      </w:r>
      <w:r>
        <w:t>активность</w:t>
      </w:r>
      <w:r w:rsidRPr="00D8638E">
        <w:t xml:space="preserve"> </w:t>
      </w:r>
      <w:r w:rsidRPr="00D8638E">
        <w:rPr>
          <w:i/>
          <w:iCs/>
        </w:rPr>
        <w:t>in vitro</w:t>
      </w:r>
      <w:r w:rsidRPr="00D8638E">
        <w:t xml:space="preserve"> </w:t>
      </w:r>
      <w:r w:rsidR="001C452E">
        <w:t>в отношении</w:t>
      </w:r>
      <w:r w:rsidRPr="00D8638E">
        <w:t xml:space="preserve"> ингибирования </w:t>
      </w:r>
      <w:r>
        <w:t>ДПП-4</w:t>
      </w:r>
      <w:r w:rsidRPr="00D8638E">
        <w:t xml:space="preserve">. CD 1790 продемонстрировал очень низкую активность и неполное ингибирование </w:t>
      </w:r>
      <w:r>
        <w:t>ДПП-4</w:t>
      </w:r>
      <w:r w:rsidRPr="00D8638E">
        <w:t>, что</w:t>
      </w:r>
      <w:r>
        <w:t xml:space="preserve"> является</w:t>
      </w:r>
      <w:r w:rsidRPr="00D8638E">
        <w:t xml:space="preserve"> фармакологически незначимым </w:t>
      </w:r>
      <w:r>
        <w:fldChar w:fldCharType="begin"/>
      </w:r>
      <w:r>
        <w:instrText xml:space="preserve"> ADDIN ZOTERO_ITEM CSL_CITATION {"citationID":"LL5cAc8P","properties":{"formattedCitation":"[3]","plainCitation":"[3]","noteIndex":0},"citationItems":[{"id":2978,"uris":["http://zotero.org/users/5483459/items/DHAYHB8P"],"itemData":{"id":2978,"type":"document","title":"U.S. Food and Drug Administration. Drug Approval Package. Tradjenta (Linagliptin)  tablets. Company:  Boehringer Ingelheim Pharmaceuticals, Inc. Pharmacology Review.Application No.:  201280 Approval Date: 04.03.2011"}}],"schema":"https://github.com/citation-style-language/schema/raw/master/csl-citation.json"} </w:instrText>
      </w:r>
      <w:r>
        <w:fldChar w:fldCharType="separate"/>
      </w:r>
      <w:r w:rsidRPr="00827CAB">
        <w:t>[3]</w:t>
      </w:r>
      <w:r>
        <w:fldChar w:fldCharType="end"/>
      </w:r>
      <w:r w:rsidR="008F3350">
        <w:t>.</w:t>
      </w:r>
    </w:p>
    <w:p w14:paraId="2F8D5C62" w14:textId="01E28A1D" w:rsidR="004B1452" w:rsidRDefault="004B1452" w:rsidP="004B1452">
      <w:pPr>
        <w:pStyle w:val="4"/>
        <w:spacing w:after="240"/>
        <w:rPr>
          <w:rFonts w:ascii="Times New Roman" w:hAnsi="Times New Roman"/>
          <w:color w:val="000000" w:themeColor="text1"/>
          <w:sz w:val="24"/>
          <w:szCs w:val="24"/>
        </w:rPr>
      </w:pPr>
      <w:bookmarkStart w:id="161" w:name="_Toc139361980"/>
      <w:r w:rsidRPr="002E7351">
        <w:rPr>
          <w:rFonts w:ascii="Times New Roman" w:hAnsi="Times New Roman"/>
          <w:color w:val="000000" w:themeColor="text1"/>
          <w:sz w:val="24"/>
          <w:szCs w:val="24"/>
        </w:rPr>
        <w:t>3</w:t>
      </w:r>
      <w:r>
        <w:rPr>
          <w:rFonts w:ascii="Times New Roman" w:hAnsi="Times New Roman"/>
          <w:color w:val="000000" w:themeColor="text1"/>
          <w:sz w:val="24"/>
          <w:szCs w:val="24"/>
        </w:rPr>
        <w:t>.3.8.5</w:t>
      </w:r>
      <w:r w:rsidRPr="002E7351">
        <w:rPr>
          <w:rFonts w:ascii="Times New Roman" w:hAnsi="Times New Roman"/>
          <w:color w:val="000000" w:themeColor="text1"/>
          <w:sz w:val="24"/>
          <w:szCs w:val="24"/>
        </w:rPr>
        <w:t xml:space="preserve">. </w:t>
      </w:r>
      <w:r>
        <w:rPr>
          <w:rFonts w:ascii="Times New Roman" w:hAnsi="Times New Roman"/>
          <w:color w:val="000000" w:themeColor="text1"/>
          <w:sz w:val="24"/>
          <w:szCs w:val="24"/>
        </w:rPr>
        <w:t>Токсичность примесей</w:t>
      </w:r>
      <w:bookmarkEnd w:id="161"/>
    </w:p>
    <w:p w14:paraId="0E033EC8" w14:textId="5DA7E203" w:rsidR="00137A99" w:rsidRDefault="00137A99" w:rsidP="008F3350">
      <w:pPr>
        <w:ind w:firstLine="709"/>
      </w:pPr>
      <w:r>
        <w:t>Примеси присутствовали в пределах от &lt; 0,05 до 0,68%</w:t>
      </w:r>
      <w:r w:rsidR="00C302BA">
        <w:t xml:space="preserve">. Все органические примеси были квалифицированы в анализах генетической токсичности и </w:t>
      </w:r>
      <w:r w:rsidR="00C302BA" w:rsidRPr="00C302BA">
        <w:rPr>
          <w:i/>
          <w:iCs/>
        </w:rPr>
        <w:t>in vivo</w:t>
      </w:r>
      <w:r w:rsidR="00C302BA">
        <w:t xml:space="preserve"> в доклинических токсикологических исследованиях</w:t>
      </w:r>
      <w:r w:rsidR="0012593E">
        <w:t xml:space="preserve"> и</w:t>
      </w:r>
      <w:r w:rsidR="00E75788">
        <w:t xml:space="preserve"> </w:t>
      </w:r>
      <w:r w:rsidR="0012593E">
        <w:t xml:space="preserve">в исследованиях канцерогенности. </w:t>
      </w:r>
      <w:r w:rsidR="00677C70">
        <w:t>Установлено</w:t>
      </w:r>
      <w:r w:rsidR="00A44C4D">
        <w:t xml:space="preserve">, что ни одна примесь не представляет </w:t>
      </w:r>
      <w:r w:rsidR="00C302BA">
        <w:t>значительный токсикологический риск.</w:t>
      </w:r>
      <w:r>
        <w:t xml:space="preserve"> </w:t>
      </w:r>
      <w:r w:rsidR="00A44C4D">
        <w:t>Не</w:t>
      </w:r>
      <w:r w:rsidR="00951739">
        <w:t xml:space="preserve"> </w:t>
      </w:r>
      <w:r w:rsidR="00822EA0">
        <w:t>был</w:t>
      </w:r>
      <w:r w:rsidR="00A44C4D">
        <w:t>о</w:t>
      </w:r>
      <w:r w:rsidR="00822EA0">
        <w:t xml:space="preserve"> </w:t>
      </w:r>
      <w:r w:rsidR="00951739">
        <w:t xml:space="preserve">обнаружено генотоксичности, </w:t>
      </w:r>
      <w:r w:rsidR="00822EA0">
        <w:t xml:space="preserve">канцерогенности и других видов токсичности при проведенных исследованиях </w:t>
      </w:r>
      <w:r w:rsidR="00FA71EC">
        <w:fldChar w:fldCharType="begin"/>
      </w:r>
      <w:r w:rsidR="00FA71EC">
        <w:instrText xml:space="preserve"> ADDIN ZOTERO_ITEM CSL_CITATION {"citationID":"7idQq94J","properties":{"formattedCitation":"[1\\uc0\\u8211{}3,9]","plainCitation":"[1–3,9]","noteIndex":0},"citationItems":[{"id":3008,"uris":["http://zotero.org/users/5483459/items/A4YJC5H7"],"itemData":{"id":3008,"type":"document","title":"European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EMEA/H/C/002110/0000"},"label":"page"},{"id":2978,"uris":["http://zotero.org/users/5483459/items/DHAYHB8P"],"itemData":{"id":2978,"type":"document","title":"U.S. Food and Drug Administration. Drug Approval Package. Tradjenta (Linagliptin)  tablets. Company:  Boehringer Ingelheim Pharmaceuticals, Inc. Pharmacology Review.Application No.:  201280 Approval Date: 04.03.2011"},"label":"page"},{"id":3035,"uris":["http://zotero.org/users/5483459/items/A4NC89C5"],"itemData":{"id":3035,"type":"document","title":"Australian government. Australian Public Assessment Report for Linagliptin. Proprietary Product Name: Trajenta Sponsor: Boehringer Ingleheim (Australia) Pty Ltd. 2011."},"label":"page"}],"schema":"https://github.com/citation-style-language/schema/raw/master/csl-citation.json"} </w:instrText>
      </w:r>
      <w:r w:rsidR="00FA71EC">
        <w:fldChar w:fldCharType="separate"/>
      </w:r>
      <w:r w:rsidR="00FA71EC" w:rsidRPr="0032219A">
        <w:t>[1–3,9]</w:t>
      </w:r>
      <w:r w:rsidR="00FA71EC">
        <w:fldChar w:fldCharType="end"/>
      </w:r>
      <w:r w:rsidR="00682839">
        <w:t>.</w:t>
      </w:r>
    </w:p>
    <w:p w14:paraId="621E590E" w14:textId="6CC5FBAD" w:rsidR="004B1452" w:rsidRPr="007A0CD3" w:rsidRDefault="004B1452" w:rsidP="004B1452">
      <w:pPr>
        <w:pStyle w:val="2"/>
        <w:spacing w:line="240" w:lineRule="auto"/>
        <w:rPr>
          <w:color w:val="000000" w:themeColor="text1"/>
          <w:szCs w:val="24"/>
          <w:lang w:val="en-US"/>
        </w:rPr>
      </w:pPr>
      <w:bookmarkStart w:id="162" w:name="_Toc139361981"/>
      <w:r>
        <w:rPr>
          <w:color w:val="000000" w:themeColor="text1"/>
          <w:szCs w:val="24"/>
        </w:rPr>
        <w:t>Список</w:t>
      </w:r>
      <w:r w:rsidRPr="007A0CD3">
        <w:rPr>
          <w:color w:val="000000" w:themeColor="text1"/>
          <w:szCs w:val="24"/>
          <w:lang w:val="en-US"/>
        </w:rPr>
        <w:t xml:space="preserve"> </w:t>
      </w:r>
      <w:r>
        <w:rPr>
          <w:color w:val="000000" w:themeColor="text1"/>
          <w:szCs w:val="24"/>
        </w:rPr>
        <w:t>литературы</w:t>
      </w:r>
      <w:bookmarkEnd w:id="162"/>
    </w:p>
    <w:p w14:paraId="414B6645" w14:textId="77777777" w:rsidR="004B1452" w:rsidRPr="002356EB" w:rsidRDefault="004B1452" w:rsidP="002356EB">
      <w:pPr>
        <w:pStyle w:val="afff2"/>
        <w:spacing w:after="0"/>
        <w:rPr>
          <w:lang w:val="en-US"/>
        </w:rPr>
      </w:pPr>
      <w:r w:rsidRPr="002356EB">
        <w:fldChar w:fldCharType="begin"/>
      </w:r>
      <w:r w:rsidRPr="002356EB">
        <w:rPr>
          <w:lang w:val="en-US"/>
        </w:rPr>
        <w:instrText xml:space="preserve"> ADDIN ZOTERO_BIBL {"uncited":[],"omitted":[],"custom":[]} CSL_BIBLIOGRAPHY </w:instrText>
      </w:r>
      <w:r w:rsidRPr="002356EB">
        <w:fldChar w:fldCharType="separate"/>
      </w:r>
      <w:r w:rsidRPr="002356EB">
        <w:rPr>
          <w:lang w:val="en-US"/>
        </w:rPr>
        <w:t xml:space="preserve">1. </w:t>
      </w:r>
      <w:r w:rsidRPr="002356EB">
        <w:rPr>
          <w:lang w:val="en-US"/>
        </w:rPr>
        <w:tab/>
        <w:t xml:space="preserve">European  Medicines agency.Summary of product characteristics.Trajenta 5 mg film-coated tablets.First published: 06/10/2011. Last updated: 15/04/2013. </w:t>
      </w:r>
    </w:p>
    <w:p w14:paraId="049F4C65" w14:textId="344D4AE2" w:rsidR="004B1452" w:rsidRPr="002356EB" w:rsidRDefault="004B1452" w:rsidP="002356EB">
      <w:pPr>
        <w:pStyle w:val="afff2"/>
        <w:spacing w:after="0"/>
        <w:rPr>
          <w:lang w:val="en-US"/>
        </w:rPr>
      </w:pPr>
      <w:r w:rsidRPr="002356EB">
        <w:rPr>
          <w:lang w:val="en-US"/>
        </w:rPr>
        <w:t xml:space="preserve">2. </w:t>
      </w:r>
      <w:r w:rsidRPr="002356EB">
        <w:rPr>
          <w:lang w:val="en-US"/>
        </w:rPr>
        <w:tab/>
        <w:t xml:space="preserve">European Medicines Agency.Assessment report Trajenta (linagliptin). Procedure No.: EMEA/H/C/002110/0000. </w:t>
      </w:r>
    </w:p>
    <w:p w14:paraId="6E4284AC" w14:textId="4023410C" w:rsidR="004B1452" w:rsidRPr="002356EB" w:rsidRDefault="004B1452" w:rsidP="002356EB">
      <w:pPr>
        <w:pStyle w:val="afff2"/>
        <w:spacing w:after="0"/>
        <w:rPr>
          <w:lang w:val="en-US"/>
        </w:rPr>
      </w:pPr>
      <w:r w:rsidRPr="002356EB">
        <w:rPr>
          <w:lang w:val="en-US"/>
        </w:rPr>
        <w:t xml:space="preserve">3. </w:t>
      </w:r>
      <w:r w:rsidRPr="002356EB">
        <w:rPr>
          <w:lang w:val="en-US"/>
        </w:rPr>
        <w:tab/>
        <w:t xml:space="preserve">U.S. Food and Drug Administration. Drug Approval Package. Tradjenta (Linagliptin)  tablets. Company: Boehringer Ingelheim Pharmaceuticals, Inc. Pharmacology Review.Application No.: 201280 Approval Date: 04.03.2011. </w:t>
      </w:r>
    </w:p>
    <w:p w14:paraId="08E8AD5A" w14:textId="77777777" w:rsidR="004B1452" w:rsidRPr="002356EB" w:rsidRDefault="004B1452" w:rsidP="002356EB">
      <w:pPr>
        <w:pStyle w:val="afff2"/>
        <w:spacing w:after="0"/>
        <w:rPr>
          <w:lang w:val="en-US"/>
        </w:rPr>
      </w:pPr>
      <w:r w:rsidRPr="002356EB">
        <w:rPr>
          <w:lang w:val="en-US"/>
        </w:rPr>
        <w:t xml:space="preserve">4. </w:t>
      </w:r>
      <w:r w:rsidRPr="002356EB">
        <w:rPr>
          <w:lang w:val="en-US"/>
        </w:rPr>
        <w:tab/>
        <w:t xml:space="preserve">Yokoi N, Hoshino M, Hidaka S, Yoshida E, Beppu M, Hoshikawa R, </w:t>
      </w:r>
      <w:r w:rsidRPr="002356EB">
        <w:t>и</w:t>
      </w:r>
      <w:r w:rsidRPr="002356EB">
        <w:rPr>
          <w:lang w:val="en-US"/>
        </w:rPr>
        <w:t xml:space="preserve"> </w:t>
      </w:r>
      <w:r w:rsidRPr="002356EB">
        <w:t>др</w:t>
      </w:r>
      <w:r w:rsidRPr="002356EB">
        <w:rPr>
          <w:lang w:val="en-US"/>
        </w:rPr>
        <w:t xml:space="preserve">. A Novel Rat Model of Type 2 Diabetes: The Zucker Fatty Diabetes Mellitus ZFDM Rat. J Diabetes Res. 2013 </w:t>
      </w:r>
      <w:r w:rsidRPr="002356EB">
        <w:t>г</w:t>
      </w:r>
      <w:r w:rsidRPr="002356EB">
        <w:rPr>
          <w:lang w:val="en-US"/>
        </w:rPr>
        <w:t xml:space="preserve">.;2013:103731. </w:t>
      </w:r>
    </w:p>
    <w:p w14:paraId="614F1AB4" w14:textId="77777777" w:rsidR="004B1452" w:rsidRPr="002356EB" w:rsidRDefault="004B1452" w:rsidP="002356EB">
      <w:pPr>
        <w:pStyle w:val="afff2"/>
        <w:spacing w:after="0"/>
        <w:rPr>
          <w:lang w:val="en-US"/>
        </w:rPr>
      </w:pPr>
      <w:r w:rsidRPr="002356EB">
        <w:rPr>
          <w:lang w:val="en-US"/>
        </w:rPr>
        <w:t xml:space="preserve">5. </w:t>
      </w:r>
      <w:r w:rsidRPr="002356EB">
        <w:rPr>
          <w:lang w:val="en-US"/>
        </w:rPr>
        <w:tab/>
        <w:t xml:space="preserve">Suriano F, Vieira-Silva S, Falony G, Roumain M, Paquot A, Pelicaen R, </w:t>
      </w:r>
      <w:r w:rsidRPr="002356EB">
        <w:t>и</w:t>
      </w:r>
      <w:r w:rsidRPr="002356EB">
        <w:rPr>
          <w:lang w:val="en-US"/>
        </w:rPr>
        <w:t xml:space="preserve"> </w:t>
      </w:r>
      <w:r w:rsidRPr="002356EB">
        <w:t>др</w:t>
      </w:r>
      <w:r w:rsidRPr="002356EB">
        <w:rPr>
          <w:lang w:val="en-US"/>
        </w:rPr>
        <w:t xml:space="preserve">. Novel insights into the genetically obese (ob/ob) and diabetic (db/db) mice: two sides of the same coin. Microbiome. 28 </w:t>
      </w:r>
      <w:r w:rsidRPr="002356EB">
        <w:t>июнь</w:t>
      </w:r>
      <w:r w:rsidRPr="002356EB">
        <w:rPr>
          <w:lang w:val="en-US"/>
        </w:rPr>
        <w:t xml:space="preserve"> 2021 </w:t>
      </w:r>
      <w:r w:rsidRPr="002356EB">
        <w:t>г</w:t>
      </w:r>
      <w:r w:rsidRPr="002356EB">
        <w:rPr>
          <w:lang w:val="en-US"/>
        </w:rPr>
        <w:t xml:space="preserve">.;9:147. </w:t>
      </w:r>
    </w:p>
    <w:p w14:paraId="32C05065" w14:textId="77777777" w:rsidR="004B1452" w:rsidRPr="002356EB" w:rsidRDefault="004B1452" w:rsidP="002356EB">
      <w:pPr>
        <w:pStyle w:val="afff2"/>
        <w:spacing w:after="0"/>
        <w:rPr>
          <w:lang w:val="en-US"/>
        </w:rPr>
      </w:pPr>
      <w:r w:rsidRPr="002356EB">
        <w:rPr>
          <w:lang w:val="en-US"/>
        </w:rPr>
        <w:t xml:space="preserve">6. </w:t>
      </w:r>
      <w:r w:rsidRPr="002356EB">
        <w:rPr>
          <w:lang w:val="en-US"/>
        </w:rPr>
        <w:tab/>
        <w:t xml:space="preserve">Abhangi KV, Patel JI. Neuroprotective effects of linagliptin in a rotenone-induced rat model of Parkinson’s disease. Indian J Pharmacol. 2022 </w:t>
      </w:r>
      <w:r w:rsidRPr="002356EB">
        <w:t>г</w:t>
      </w:r>
      <w:r w:rsidRPr="002356EB">
        <w:rPr>
          <w:lang w:val="en-US"/>
        </w:rPr>
        <w:t xml:space="preserve">.;54(1):46–50. </w:t>
      </w:r>
    </w:p>
    <w:p w14:paraId="16D906D7" w14:textId="77777777" w:rsidR="004B1452" w:rsidRPr="002356EB" w:rsidRDefault="004B1452" w:rsidP="002356EB">
      <w:pPr>
        <w:pStyle w:val="afff2"/>
        <w:spacing w:after="0"/>
        <w:rPr>
          <w:lang w:val="en-US"/>
        </w:rPr>
      </w:pPr>
      <w:r w:rsidRPr="002356EB">
        <w:rPr>
          <w:lang w:val="en-US"/>
        </w:rPr>
        <w:t xml:space="preserve">7. </w:t>
      </w:r>
      <w:r w:rsidRPr="002356EB">
        <w:rPr>
          <w:lang w:val="en-US"/>
        </w:rPr>
        <w:tab/>
        <w:t xml:space="preserve">Hussien YA, Mansour DF, Nada SA, Abd El-Rahman SS, Abdelsalam RM, Attia AS, </w:t>
      </w:r>
      <w:r w:rsidRPr="002356EB">
        <w:t>и</w:t>
      </w:r>
      <w:r w:rsidRPr="002356EB">
        <w:rPr>
          <w:lang w:val="en-US"/>
        </w:rPr>
        <w:t xml:space="preserve"> </w:t>
      </w:r>
      <w:r w:rsidRPr="002356EB">
        <w:t>др</w:t>
      </w:r>
      <w:r w:rsidRPr="002356EB">
        <w:rPr>
          <w:lang w:val="en-US"/>
        </w:rPr>
        <w:t>. Linagliptin attenuates thioacetamide-induced hepatic encephalopathy in rats: Modulation of C/EBP-</w:t>
      </w:r>
      <w:r w:rsidRPr="002356EB">
        <w:t>β</w:t>
      </w:r>
      <w:r w:rsidRPr="002356EB">
        <w:rPr>
          <w:lang w:val="en-US"/>
        </w:rPr>
        <w:t xml:space="preserve"> and CX3CL1/Fractalkine, neuro-inflammation, oxidative stress and behavioral defects. Life Sci. 15 </w:t>
      </w:r>
      <w:r w:rsidRPr="002356EB">
        <w:t>апрель</w:t>
      </w:r>
      <w:r w:rsidRPr="002356EB">
        <w:rPr>
          <w:lang w:val="en-US"/>
        </w:rPr>
        <w:t xml:space="preserve"> 2022 </w:t>
      </w:r>
      <w:r w:rsidRPr="002356EB">
        <w:t>г</w:t>
      </w:r>
      <w:r w:rsidRPr="002356EB">
        <w:rPr>
          <w:lang w:val="en-US"/>
        </w:rPr>
        <w:t xml:space="preserve">.;295:120378. </w:t>
      </w:r>
    </w:p>
    <w:p w14:paraId="1EE818E9" w14:textId="77777777" w:rsidR="004B1452" w:rsidRPr="002356EB" w:rsidRDefault="004B1452" w:rsidP="002356EB">
      <w:pPr>
        <w:pStyle w:val="afff2"/>
        <w:spacing w:after="0"/>
        <w:rPr>
          <w:lang w:val="en-US"/>
        </w:rPr>
      </w:pPr>
      <w:r w:rsidRPr="002356EB">
        <w:rPr>
          <w:lang w:val="en-US"/>
        </w:rPr>
        <w:t xml:space="preserve">8. </w:t>
      </w:r>
      <w:r w:rsidRPr="002356EB">
        <w:rPr>
          <w:lang w:val="en-US"/>
        </w:rPr>
        <w:tab/>
        <w:t xml:space="preserve">Gu N, Park SI, Chung H, Jin X, Lee S, Kim TE. Possibility of pharmacokinetic drug interaction between a DPP-4 inhibitor and a SGLT2 inhibitor. Translational and Clinical Pharmacology. </w:t>
      </w:r>
      <w:r w:rsidRPr="002356EB">
        <w:t>март</w:t>
      </w:r>
      <w:r w:rsidRPr="002356EB">
        <w:rPr>
          <w:lang w:val="en-US"/>
        </w:rPr>
        <w:t xml:space="preserve"> 2020 </w:t>
      </w:r>
      <w:r w:rsidRPr="002356EB">
        <w:t>г</w:t>
      </w:r>
      <w:r w:rsidRPr="002356EB">
        <w:rPr>
          <w:lang w:val="en-US"/>
        </w:rPr>
        <w:t xml:space="preserve">.;28(1):17–33. </w:t>
      </w:r>
    </w:p>
    <w:p w14:paraId="49105BF7" w14:textId="77777777" w:rsidR="004B1452" w:rsidRPr="002356EB" w:rsidRDefault="004B1452" w:rsidP="002356EB">
      <w:pPr>
        <w:pStyle w:val="afff2"/>
        <w:spacing w:after="0"/>
        <w:rPr>
          <w:lang w:val="en-US"/>
        </w:rPr>
      </w:pPr>
      <w:r w:rsidRPr="002356EB">
        <w:rPr>
          <w:lang w:val="en-US"/>
        </w:rPr>
        <w:t xml:space="preserve">9. </w:t>
      </w:r>
      <w:r w:rsidRPr="002356EB">
        <w:rPr>
          <w:lang w:val="en-US"/>
        </w:rPr>
        <w:tab/>
        <w:t xml:space="preserve">Australian government. Australian Public Assessment Report for Linagliptin. Proprietary Product Name: Trajenta Sponsor: Boehringer Ingleheim (Australia) Pty Ltd. 2011. </w:t>
      </w:r>
    </w:p>
    <w:p w14:paraId="13A4EAD9" w14:textId="77777777" w:rsidR="004B1452" w:rsidRPr="004B1452" w:rsidRDefault="004B1452" w:rsidP="002356EB">
      <w:pPr>
        <w:rPr>
          <w:lang w:val="en-US"/>
        </w:rPr>
      </w:pPr>
      <w:r w:rsidRPr="002356EB">
        <w:fldChar w:fldCharType="end"/>
      </w:r>
    </w:p>
    <w:p w14:paraId="6102A19E" w14:textId="573E2E4D" w:rsidR="004B1452" w:rsidRDefault="004B1452" w:rsidP="004B1452">
      <w:pPr>
        <w:jc w:val="left"/>
        <w:rPr>
          <w:rStyle w:val="aa"/>
          <w:rFonts w:cs="Arial"/>
          <w:b/>
          <w:bCs/>
          <w:color w:val="auto"/>
          <w:kern w:val="32"/>
          <w:szCs w:val="32"/>
          <w:u w:val="none"/>
          <w:lang w:val="en-US"/>
        </w:rPr>
      </w:pPr>
    </w:p>
    <w:p w14:paraId="3CFF0CC8" w14:textId="77777777" w:rsidR="004B1452" w:rsidRPr="005E6358" w:rsidRDefault="004B1452" w:rsidP="004B1452">
      <w:pPr>
        <w:pStyle w:val="12"/>
        <w:spacing w:line="240" w:lineRule="auto"/>
        <w:rPr>
          <w:rFonts w:cs="Times New Roman"/>
          <w:color w:val="000000" w:themeColor="text1"/>
          <w:szCs w:val="24"/>
        </w:rPr>
      </w:pPr>
      <w:bookmarkStart w:id="163" w:name="_Toc139361982"/>
      <w:r w:rsidRPr="005E6358">
        <w:rPr>
          <w:rFonts w:cs="Times New Roman"/>
          <w:color w:val="000000" w:themeColor="text1"/>
          <w:szCs w:val="24"/>
        </w:rPr>
        <w:lastRenderedPageBreak/>
        <w:t xml:space="preserve">4. </w:t>
      </w:r>
      <w:bookmarkStart w:id="164" w:name="_Hlk118304075"/>
      <w:r w:rsidRPr="005E6358">
        <w:rPr>
          <w:rFonts w:cs="Times New Roman"/>
          <w:color w:val="000000" w:themeColor="text1"/>
          <w:szCs w:val="24"/>
        </w:rPr>
        <w:t>ДЕЙСТВИЕ У ЧЕЛОВЕКА</w:t>
      </w:r>
      <w:bookmarkEnd w:id="163"/>
    </w:p>
    <w:p w14:paraId="1F9A1B17" w14:textId="77777777" w:rsidR="004B1452" w:rsidRDefault="004B1452" w:rsidP="004B1452">
      <w:pPr>
        <w:pStyle w:val="2"/>
        <w:spacing w:before="120" w:after="120" w:line="240" w:lineRule="auto"/>
        <w:rPr>
          <w:color w:val="000000" w:themeColor="text1"/>
          <w:szCs w:val="24"/>
        </w:rPr>
      </w:pPr>
      <w:bookmarkStart w:id="165" w:name="_Toc139361983"/>
      <w:r w:rsidRPr="005E6358">
        <w:rPr>
          <w:color w:val="000000" w:themeColor="text1"/>
          <w:szCs w:val="24"/>
        </w:rPr>
        <w:t>Введение и резюме</w:t>
      </w:r>
      <w:bookmarkEnd w:id="165"/>
    </w:p>
    <w:p w14:paraId="49DBE802" w14:textId="5DD6E61F" w:rsidR="00834A44" w:rsidRDefault="00834A44" w:rsidP="00834A44">
      <w:pPr>
        <w:ind w:firstLine="709"/>
        <w:contextualSpacing/>
      </w:pPr>
      <w:r w:rsidRPr="00EC3299">
        <w:t xml:space="preserve">Клинических исследований препарата </w:t>
      </w:r>
      <w:r w:rsidRPr="00EC3299">
        <w:rPr>
          <w:lang w:val="en-US" w:eastAsia="ru-RU"/>
        </w:rPr>
        <w:t>D</w:t>
      </w:r>
      <w:r w:rsidRPr="00EC3299">
        <w:rPr>
          <w:lang w:eastAsia="ru-RU"/>
        </w:rPr>
        <w:t>T-</w:t>
      </w:r>
      <w:r w:rsidRPr="00EC3299">
        <w:rPr>
          <w:lang w:val="en-US" w:eastAsia="ru-RU"/>
        </w:rPr>
        <w:t>LNG</w:t>
      </w:r>
      <w:r w:rsidRPr="00EC3299">
        <w:t xml:space="preserve">, таблетки, покрытые пленочной оболочкой, 5 мг (АО «Р-Фарм», Россия) не проводилось. Так как препарат </w:t>
      </w:r>
      <w:r w:rsidRPr="00EC3299">
        <w:rPr>
          <w:lang w:val="en-US" w:eastAsia="ru-RU"/>
        </w:rPr>
        <w:t>D</w:t>
      </w:r>
      <w:r w:rsidRPr="00EC3299">
        <w:rPr>
          <w:lang w:eastAsia="ru-RU"/>
        </w:rPr>
        <w:t>T-</w:t>
      </w:r>
      <w:r w:rsidRPr="00EC3299">
        <w:rPr>
          <w:lang w:val="en-US" w:eastAsia="ru-RU"/>
        </w:rPr>
        <w:t>LNG</w:t>
      </w:r>
      <w:r w:rsidRPr="00EC3299">
        <w:t>, разработанный АО «Р-Фарм», Россия, представляет собой воспроизведенный препарат линаглиптина, ожидается, что его свойства будут идентичны свойствам оригинального препарата Тражента</w:t>
      </w:r>
      <w:r w:rsidRPr="00EC3299">
        <w:rPr>
          <w:vertAlign w:val="superscript"/>
        </w:rPr>
        <w:t>®</w:t>
      </w:r>
      <w:r w:rsidRPr="00EC3299">
        <w:t>, таблетки, покрытые пленочной оболочкой, 5 мг (</w:t>
      </w:r>
      <w:r w:rsidR="00EC3299" w:rsidRPr="00EC3299">
        <w:rPr>
          <w:rFonts w:eastAsia="Calibri"/>
          <w:bCs/>
        </w:rPr>
        <w:t>Берингер Ингельхайм Интернешнл ГмбХ, Германия</w:t>
      </w:r>
      <w:r w:rsidRPr="00EC3299">
        <w:t xml:space="preserve">), которому </w:t>
      </w:r>
      <w:r w:rsidRPr="00EC3299">
        <w:rPr>
          <w:lang w:val="en-US" w:eastAsia="ru-RU"/>
        </w:rPr>
        <w:t>D</w:t>
      </w:r>
      <w:r w:rsidRPr="00EC3299">
        <w:rPr>
          <w:lang w:eastAsia="ru-RU"/>
        </w:rPr>
        <w:t>T-</w:t>
      </w:r>
      <w:r w:rsidR="00EC3299" w:rsidRPr="00EC3299">
        <w:rPr>
          <w:lang w:val="en-US" w:eastAsia="ru-RU"/>
        </w:rPr>
        <w:t>LNG</w:t>
      </w:r>
      <w:r w:rsidRPr="00EC3299">
        <w:t xml:space="preserve"> полностью соответствует по качественному и количественному составу действующ</w:t>
      </w:r>
      <w:r w:rsidR="00EC3299" w:rsidRPr="00EC3299">
        <w:t>его вещества и качественному составу</w:t>
      </w:r>
      <w:r w:rsidRPr="00EC3299">
        <w:t xml:space="preserve"> вспомогательных веществ, а также по лекарственной форме и дозировке. В связи с этим ниже приводятся данные клинических исследований оригинального препарата </w:t>
      </w:r>
      <w:r w:rsidR="00EC3299" w:rsidRPr="00EC3299">
        <w:t>линаглиптина</w:t>
      </w:r>
      <w:r w:rsidRPr="00EC3299">
        <w:t>.</w:t>
      </w:r>
    </w:p>
    <w:p w14:paraId="57BAC83D" w14:textId="0E23919B" w:rsidR="008200B5" w:rsidRDefault="008200B5" w:rsidP="00356B7B">
      <w:pPr>
        <w:ind w:firstLine="709"/>
        <w:rPr>
          <w:noProof/>
        </w:rPr>
      </w:pPr>
      <w:r>
        <w:rPr>
          <w:noProof/>
        </w:rPr>
        <w:t>Линаглиптин участвует в инактивации гормонов инкретинов —</w:t>
      </w:r>
      <w:r w:rsidR="00ED62D0">
        <w:rPr>
          <w:noProof/>
        </w:rPr>
        <w:t xml:space="preserve"> </w:t>
      </w:r>
      <w:r>
        <w:rPr>
          <w:noProof/>
        </w:rPr>
        <w:t>ГПП-1 и ГИП. Эти гормоны быстро разрушаются ферментом ДПП-4. Оба эти инкретина участвуют в поддержании концентрации глюкозы на физиологическом уровне. Базальные концентрации ГПП-1 и ГИП в течение суток низкие, они быстро повышаются в ответ на прием пищи. ГПП-1 и ГИП усиливают биосинтез инсулина и его секрецию бета-клетками поджелудочной железы при нормальной или повышенной концентрации глюкозы крови. Линаглиптин активно связывается с ферментом ДПП-4 (связь обратимая), что вызывает устойчивое повышение концентрации инкретинов и длительное сохранение их активности.</w:t>
      </w:r>
    </w:p>
    <w:p w14:paraId="36888E9A" w14:textId="041F4F6C" w:rsidR="008200B5" w:rsidRDefault="008200B5" w:rsidP="00356B7B">
      <w:pPr>
        <w:ind w:firstLine="709"/>
      </w:pPr>
      <w:r>
        <w:t xml:space="preserve">После перорального приема дозы 5 мг линаглиптин быстро всасывается с пиком концентрации в плазме крови, возникающим через 1,5–2,5 часа после введения (медиана </w:t>
      </w:r>
      <w:r>
        <w:rPr>
          <w:lang w:val="en-US"/>
        </w:rPr>
        <w:t>T</w:t>
      </w:r>
      <w:r w:rsidRPr="003979D6">
        <w:rPr>
          <w:vertAlign w:val="subscript"/>
        </w:rPr>
        <w:t>max</w:t>
      </w:r>
      <w:r>
        <w:t>), что свидетельствует о преобладании всасывание в верхних отделах</w:t>
      </w:r>
      <w:r w:rsidR="0049354E">
        <w:t xml:space="preserve"> желудочно-кишечного тракта. Ф</w:t>
      </w:r>
      <w:r>
        <w:t>армакодинамические исследования, в которых изучалась связь концентрации линаглиптина в плазме с ингибированием ДПП-4</w:t>
      </w:r>
      <w:r w:rsidR="0049354E">
        <w:t xml:space="preserve"> продемонстрировали</w:t>
      </w:r>
      <w:r>
        <w:t>, что IC</w:t>
      </w:r>
      <w:r w:rsidRPr="005127F2">
        <w:rPr>
          <w:vertAlign w:val="subscript"/>
        </w:rPr>
        <w:t>50</w:t>
      </w:r>
      <w:r>
        <w:t xml:space="preserve"> линаглиптина составля</w:t>
      </w:r>
      <w:r w:rsidR="0049354E">
        <w:t>ет</w:t>
      </w:r>
      <w:r>
        <w:t xml:space="preserve"> приблизительно 2-4 нмоль/л, IC</w:t>
      </w:r>
      <w:r w:rsidRPr="005127F2">
        <w:rPr>
          <w:vertAlign w:val="subscript"/>
        </w:rPr>
        <w:t>80</w:t>
      </w:r>
      <w:r>
        <w:t xml:space="preserve"> составля</w:t>
      </w:r>
      <w:r w:rsidR="0049354E">
        <w:t>ет</w:t>
      </w:r>
      <w:r>
        <w:t xml:space="preserve"> приблизительно 4-6 нмоль/л, а I</w:t>
      </w:r>
      <w:r w:rsidRPr="00C77621">
        <w:rPr>
          <w:vertAlign w:val="subscript"/>
        </w:rPr>
        <w:t>max</w:t>
      </w:r>
      <w:r>
        <w:t xml:space="preserve"> может быть принято за 100% ингибирование ДПП-4. Влияние на ДПП-4</w:t>
      </w:r>
      <w:r w:rsidRPr="00C77621">
        <w:t xml:space="preserve"> </w:t>
      </w:r>
      <w:r>
        <w:t>сохраня</w:t>
      </w:r>
      <w:r w:rsidR="0049354E">
        <w:t>етс</w:t>
      </w:r>
      <w:r>
        <w:t xml:space="preserve">я в течение 24 часов. </w:t>
      </w:r>
    </w:p>
    <w:p w14:paraId="5F59D45D" w14:textId="5A72D5B3" w:rsidR="008200B5" w:rsidRDefault="008200B5" w:rsidP="00356B7B">
      <w:pPr>
        <w:ind w:firstLine="709"/>
      </w:pPr>
      <w:r w:rsidRPr="008B4EDB">
        <w:t xml:space="preserve">Средний кажущийся </w:t>
      </w:r>
      <w:r>
        <w:t>о</w:t>
      </w:r>
      <w:r w:rsidRPr="008B4EDB">
        <w:t xml:space="preserve">бъем распределения </w:t>
      </w:r>
      <w:r>
        <w:t>(</w:t>
      </w:r>
      <w:r w:rsidRPr="008B4EDB">
        <w:t>Vss</w:t>
      </w:r>
      <w:r>
        <w:t>)</w:t>
      </w:r>
      <w:r w:rsidRPr="008B4EDB">
        <w:t xml:space="preserve"> </w:t>
      </w:r>
      <w:r w:rsidRPr="00CC6355">
        <w:t>после однократного внутривенного введения линаглиптина в дозе 5 мг здоровым добровольцам составляет примерно 1110 литров, что указывает на интенсивное распределение в тканях. Связывание линаглиптина с белками плазмы зависит от его концентрации и составля</w:t>
      </w:r>
      <w:r>
        <w:t>ло</w:t>
      </w:r>
      <w:r w:rsidRPr="00CC6355">
        <w:t xml:space="preserve"> при концентрации 1 нмоль/л около 99 </w:t>
      </w:r>
      <w:r>
        <w:t>%</w:t>
      </w:r>
      <w:r w:rsidRPr="00CC6355">
        <w:t xml:space="preserve">, а при концентрации более 30 нмоль/л </w:t>
      </w:r>
      <w:r w:rsidR="0033698F">
        <w:t xml:space="preserve">– </w:t>
      </w:r>
      <w:r w:rsidRPr="00CC6355">
        <w:t>75-89</w:t>
      </w:r>
      <w:r>
        <w:t>%</w:t>
      </w:r>
      <w:r w:rsidRPr="00CC6355">
        <w:t>, что отражает насыщение связывания линаглиптина с ДПП-4 по мере увеличения его концентрации. При высокой концентрации, когда возникает полное насыщение ДПП-4, 7</w:t>
      </w:r>
      <w:r w:rsidR="0033698F">
        <w:t>0-80</w:t>
      </w:r>
      <w:r w:rsidRPr="00CC6355">
        <w:t>% линаглиптина связывается с другими белками плазмы (не с ДПП-4), а 20-30 % линаглиптина находится в плазме в несвязанном состоянии</w:t>
      </w:r>
      <w:r>
        <w:t>.</w:t>
      </w:r>
    </w:p>
    <w:p w14:paraId="1434E169" w14:textId="77777777" w:rsidR="008200B5" w:rsidRDefault="008200B5" w:rsidP="00356B7B">
      <w:pPr>
        <w:ind w:firstLine="709"/>
      </w:pPr>
      <w:r>
        <w:t>Плазменные концентрации линаглиптина снижаются трехфазным образом с длительным конечным периодом полувыведения (конечный период полувыведения линаглиптина более 100 часов), что в большей степени связано со связыванием линаглиптина с ДПП-4 и не способствует кумуляции лекарственного средства.</w:t>
      </w:r>
    </w:p>
    <w:p w14:paraId="4BB822A8" w14:textId="56B08A94" w:rsidR="008200B5" w:rsidRDefault="008200B5" w:rsidP="00356B7B">
      <w:pPr>
        <w:ind w:firstLine="709"/>
      </w:pPr>
      <w:r>
        <w:t xml:space="preserve">Преимущественный путь выведения </w:t>
      </w:r>
      <w:r w:rsidR="00D2796B">
        <w:t xml:space="preserve">– </w:t>
      </w:r>
      <w:r>
        <w:t xml:space="preserve">через кишечник. Через 4 дня после перорального применения </w:t>
      </w:r>
      <w:r w:rsidR="0033698F">
        <w:t xml:space="preserve">радиоактивно </w:t>
      </w:r>
      <w:r>
        <w:t xml:space="preserve">меченого </w:t>
      </w:r>
      <w:r w:rsidRPr="00DF4122">
        <w:rPr>
          <w:vertAlign w:val="superscript"/>
        </w:rPr>
        <w:t>14</w:t>
      </w:r>
      <w:r>
        <w:t>C</w:t>
      </w:r>
      <w:r w:rsidR="0033698F">
        <w:t>-</w:t>
      </w:r>
      <w:r>
        <w:t xml:space="preserve">линаглиптина у здоровых добровольцев выводилось примерно 85 % дозы (через кишечник 80 %, почками 5 %) при клиренсе креатинина примерно 70 мл/мин. </w:t>
      </w:r>
    </w:p>
    <w:p w14:paraId="721652A2" w14:textId="1D64B522" w:rsidR="008200B5" w:rsidRDefault="008200B5" w:rsidP="00356B7B">
      <w:pPr>
        <w:ind w:firstLine="709"/>
      </w:pPr>
      <w:r>
        <w:t xml:space="preserve">Программа 3 фазы клинических исследований для линаглиптина </w:t>
      </w:r>
      <w:r w:rsidR="00BA7D3D">
        <w:t>включала изучение</w:t>
      </w:r>
      <w:r>
        <w:t xml:space="preserve"> эффективност</w:t>
      </w:r>
      <w:r w:rsidR="00BA7D3D">
        <w:t>и</w:t>
      </w:r>
      <w:r>
        <w:t xml:space="preserve"> линаглиптина в монотерапии и в комбинации с 3 важными </w:t>
      </w:r>
      <w:r w:rsidRPr="005B2F71">
        <w:rPr>
          <w:rFonts w:eastAsia="TimesNewRomanPSMT"/>
          <w:lang w:eastAsia="en-US"/>
        </w:rPr>
        <w:t>ПССП</w:t>
      </w:r>
      <w:r>
        <w:rPr>
          <w:rFonts w:eastAsia="TimesNewRomanPSMT"/>
          <w:lang w:eastAsia="en-US"/>
        </w:rPr>
        <w:t>:</w:t>
      </w:r>
      <w:r>
        <w:t xml:space="preserve"> </w:t>
      </w:r>
      <w:r>
        <w:lastRenderedPageBreak/>
        <w:t xml:space="preserve">метформином, сульфонилмочевиной и пиоглитазоном. Предполагалось, что эти комбинации будут клинически эффективны, учитывая потенциально взаимодополняющие механизмы действия – добавление препаратов, направленных на инсулинорезистентность и/или чрезмерное печеночное производство глюкозы (агонист PPARγ или метформин) с линаглиптином, препаратом, действие которого направлено на повышение секреции инсулина и снижение концентрации глюкагона. </w:t>
      </w:r>
    </w:p>
    <w:p w14:paraId="5D6CF541" w14:textId="77777777" w:rsidR="008200B5" w:rsidRDefault="008200B5" w:rsidP="00356B7B">
      <w:pPr>
        <w:ind w:firstLine="709"/>
      </w:pPr>
      <w:r>
        <w:t xml:space="preserve">Эффективность и безопасность монотерапии линаглиптином была оценена в двойном слепом плацебо-контролируемом исследовании продолжительностью 24 недели. </w:t>
      </w:r>
    </w:p>
    <w:p w14:paraId="3809A7BD" w14:textId="330114FB" w:rsidR="008200B5" w:rsidRPr="00BA7D3D" w:rsidRDefault="00BA7D3D" w:rsidP="00BA7D3D">
      <w:pPr>
        <w:ind w:firstLine="709"/>
      </w:pPr>
      <w:r>
        <w:t>Л</w:t>
      </w:r>
      <w:r w:rsidR="008200B5" w:rsidRPr="0060778A">
        <w:t xml:space="preserve">ечение линаглиптином </w:t>
      </w:r>
      <w:r>
        <w:t>приводило</w:t>
      </w:r>
      <w:r w:rsidR="008200B5" w:rsidRPr="0060778A">
        <w:t xml:space="preserve"> </w:t>
      </w:r>
      <w:r w:rsidR="008200B5">
        <w:t>к снижению</w:t>
      </w:r>
      <w:r w:rsidR="008200B5" w:rsidRPr="0060778A">
        <w:t xml:space="preserve"> изменени</w:t>
      </w:r>
      <w:r>
        <w:t>я</w:t>
      </w:r>
      <w:r w:rsidR="008200B5" w:rsidRPr="0060778A">
        <w:t xml:space="preserve"> HbA1c по сравнению с исходным уровнем на -0,69% (p </w:t>
      </w:r>
      <w:r w:rsidR="00D92F14" w:rsidRPr="0060778A">
        <w:t>&lt;0</w:t>
      </w:r>
      <w:r w:rsidR="008200B5" w:rsidRPr="0060778A">
        <w:t xml:space="preserve">,0001) через 24 недели. У пациентов с исходным уровнем HbA1c ≥ 9,0 % снижение HbA1c составило 1,01 % (p </w:t>
      </w:r>
      <w:r w:rsidR="00D92F14" w:rsidRPr="0060778A">
        <w:t>&lt;0</w:t>
      </w:r>
      <w:r w:rsidR="008200B5" w:rsidRPr="0060778A">
        <w:t>,0001)</w:t>
      </w:r>
      <w:r w:rsidR="008200B5">
        <w:t xml:space="preserve">. </w:t>
      </w:r>
      <w:r w:rsidR="008200B5" w:rsidRPr="0060778A">
        <w:t>Пациенты, получавшие линаглиптин достигали снижения HbA1c на ≥0,5% через 24 недели</w:t>
      </w:r>
      <w:r w:rsidR="008200B5">
        <w:t xml:space="preserve"> в сравнении с </w:t>
      </w:r>
      <w:r w:rsidR="00652372">
        <w:t>группой</w:t>
      </w:r>
      <w:r w:rsidR="00652372" w:rsidRPr="0060778A">
        <w:t xml:space="preserve"> </w:t>
      </w:r>
      <w:r w:rsidR="00652372">
        <w:t>плацебо</w:t>
      </w:r>
      <w:r w:rsidR="008200B5">
        <w:t xml:space="preserve"> </w:t>
      </w:r>
      <w:r w:rsidR="008200B5" w:rsidRPr="0060778A">
        <w:t xml:space="preserve">(47,1% и 19,0% соответственно; отношение шансов, ОШ = 4,2, р &lt;0,0001). Уровень глюкозы в плазме натощак </w:t>
      </w:r>
      <w:r w:rsidR="008200B5">
        <w:t>снизился</w:t>
      </w:r>
      <w:r w:rsidR="008200B5" w:rsidRPr="0060778A">
        <w:t xml:space="preserve"> на -1,3 ммоль/л (p </w:t>
      </w:r>
      <w:r w:rsidR="00D92F14" w:rsidRPr="0060778A">
        <w:t>&lt;0</w:t>
      </w:r>
      <w:r w:rsidR="008200B5" w:rsidRPr="0060778A">
        <w:t>,0001) при приеме линаглиптина по сравнению с плацебо</w:t>
      </w:r>
      <w:r w:rsidR="008200B5">
        <w:t>.</w:t>
      </w:r>
      <w:r w:rsidR="008200B5" w:rsidRPr="0060778A">
        <w:t xml:space="preserve"> </w:t>
      </w:r>
      <w:r w:rsidR="008200B5">
        <w:t>С</w:t>
      </w:r>
      <w:r w:rsidR="008200B5" w:rsidRPr="0060778A">
        <w:t>реднее снижение</w:t>
      </w:r>
      <w:r w:rsidR="008200B5">
        <w:t xml:space="preserve"> </w:t>
      </w:r>
      <w:r w:rsidR="00652372">
        <w:t xml:space="preserve">глюкозы </w:t>
      </w:r>
      <w:r w:rsidR="00652372" w:rsidRPr="0060778A">
        <w:t>через</w:t>
      </w:r>
      <w:r w:rsidR="008200B5">
        <w:t xml:space="preserve"> 2 часа после приема пищи составило</w:t>
      </w:r>
      <w:r w:rsidR="008200B5" w:rsidRPr="0060778A">
        <w:t xml:space="preserve"> -3,2 ммоль/л</w:t>
      </w:r>
      <w:r w:rsidR="008200B5">
        <w:t xml:space="preserve"> </w:t>
      </w:r>
      <w:r w:rsidR="008200B5" w:rsidRPr="0060778A">
        <w:t xml:space="preserve">по сравнению с исходным уровнем (p </w:t>
      </w:r>
      <w:r w:rsidR="00D92F14" w:rsidRPr="0060778A">
        <w:t>&lt;0</w:t>
      </w:r>
      <w:r w:rsidR="008200B5" w:rsidRPr="0060778A">
        <w:t>,0001)</w:t>
      </w:r>
      <w:r w:rsidR="008200B5">
        <w:t>.</w:t>
      </w:r>
    </w:p>
    <w:p w14:paraId="4D9345A6" w14:textId="4DC13E5C" w:rsidR="008200B5" w:rsidRDefault="00652372" w:rsidP="00652372">
      <w:pPr>
        <w:ind w:firstLine="709"/>
      </w:pPr>
      <w:r>
        <w:t>В</w:t>
      </w:r>
      <w:r w:rsidR="008200B5">
        <w:t xml:space="preserve"> международно</w:t>
      </w:r>
      <w:r>
        <w:t>м</w:t>
      </w:r>
      <w:r w:rsidR="008200B5">
        <w:t xml:space="preserve"> рандомизированно</w:t>
      </w:r>
      <w:r>
        <w:t>м</w:t>
      </w:r>
      <w:r w:rsidR="008200B5">
        <w:t xml:space="preserve"> двойно</w:t>
      </w:r>
      <w:r>
        <w:t>м</w:t>
      </w:r>
      <w:r w:rsidR="008200B5">
        <w:t xml:space="preserve"> слепо</w:t>
      </w:r>
      <w:r>
        <w:t>м</w:t>
      </w:r>
      <w:r w:rsidR="008200B5">
        <w:t xml:space="preserve"> плацебо-контролируемо</w:t>
      </w:r>
      <w:r>
        <w:t>м</w:t>
      </w:r>
      <w:r w:rsidR="008200B5">
        <w:t xml:space="preserve"> исследовани</w:t>
      </w:r>
      <w:r>
        <w:t>и</w:t>
      </w:r>
      <w:r w:rsidR="008200B5">
        <w:t xml:space="preserve"> в параллельных группах изучени</w:t>
      </w:r>
      <w:r>
        <w:t>я</w:t>
      </w:r>
      <w:r w:rsidR="008200B5">
        <w:t xml:space="preserve"> эффективности комбинированной </w:t>
      </w:r>
      <w:r w:rsidR="00EF31B6">
        <w:t>терапии линаглиптина</w:t>
      </w:r>
      <w:r w:rsidR="008200B5" w:rsidRPr="0060778A">
        <w:t xml:space="preserve"> </w:t>
      </w:r>
      <w:r>
        <w:t xml:space="preserve">с пиоглитазоном </w:t>
      </w:r>
      <w:r w:rsidR="008200B5">
        <w:t xml:space="preserve">разница в средних значениях HbA1c в группе линаглиптина по сравнению с плацебо составила -0,51% (95% доверительный интервал [ДИ] -0,71, -0,30; p </w:t>
      </w:r>
      <w:r w:rsidR="00D92F14">
        <w:t>&lt;0</w:t>
      </w:r>
      <w:r w:rsidR="008200B5">
        <w:t>,0001). Снижение уровня ГПН было значительно больше для группы линаглиптин плюс пиоглитазон, чем для плацебо плюс пиоглитазон; -1,8 и -1,0 ммоль/л</w:t>
      </w:r>
      <w:r w:rsidR="00EF31B6">
        <w:t>,</w:t>
      </w:r>
      <w:r w:rsidR="008200B5">
        <w:t xml:space="preserve"> соответственно (95% ДИ -1,2, -0,4; p </w:t>
      </w:r>
      <w:r w:rsidR="00D92F14">
        <w:t>&lt;0</w:t>
      </w:r>
      <w:r w:rsidR="008200B5">
        <w:t xml:space="preserve">,0001). Пациенты, принимавшие линаглиптин плюс пиоглитазон, по сравнению с теми, кто получал плацебо плюс пиоглитазон, с большей вероятностью достигали уровня HbA1c &lt;7,0% (42,9 против 30,5% соответственно; p = 0,0051) и снижения HbA1c ≥0,5% (75,0 против 50,8 % соответственно, p </w:t>
      </w:r>
      <w:r w:rsidR="00D92F14">
        <w:t>&lt;0</w:t>
      </w:r>
      <w:r w:rsidR="008200B5">
        <w:t>,0001.</w:t>
      </w:r>
    </w:p>
    <w:p w14:paraId="2D2C10AD" w14:textId="77A90C75" w:rsidR="008200B5" w:rsidRPr="00F77D2A" w:rsidRDefault="00EF31B6" w:rsidP="00EF31B6">
      <w:pPr>
        <w:ind w:firstLine="709"/>
      </w:pPr>
      <w:r>
        <w:t>В</w:t>
      </w:r>
      <w:r w:rsidR="008200B5" w:rsidRPr="0016106D">
        <w:t xml:space="preserve"> международно</w:t>
      </w:r>
      <w:r>
        <w:t>м</w:t>
      </w:r>
      <w:r w:rsidR="008200B5" w:rsidRPr="0016106D">
        <w:t xml:space="preserve"> рандомизированно</w:t>
      </w:r>
      <w:r>
        <w:t>м</w:t>
      </w:r>
      <w:r w:rsidR="008200B5" w:rsidRPr="0016106D">
        <w:t xml:space="preserve"> двойно</w:t>
      </w:r>
      <w:r>
        <w:t>м</w:t>
      </w:r>
      <w:r w:rsidR="008200B5" w:rsidRPr="0016106D">
        <w:t xml:space="preserve"> слепо</w:t>
      </w:r>
      <w:r>
        <w:t>м</w:t>
      </w:r>
      <w:r w:rsidR="008200B5" w:rsidRPr="0016106D">
        <w:t xml:space="preserve"> плацебо-контролируемо</w:t>
      </w:r>
      <w:r>
        <w:t>м</w:t>
      </w:r>
      <w:r w:rsidR="008200B5" w:rsidRPr="0016106D">
        <w:t xml:space="preserve"> исследовани</w:t>
      </w:r>
      <w:r>
        <w:t>и</w:t>
      </w:r>
      <w:r w:rsidR="008200B5" w:rsidRPr="0016106D">
        <w:t xml:space="preserve"> в параллельных группах</w:t>
      </w:r>
      <w:r>
        <w:t xml:space="preserve"> </w:t>
      </w:r>
      <w:r w:rsidR="008200B5">
        <w:t>линаглиптин</w:t>
      </w:r>
      <w:r w:rsidR="0060089C">
        <w:t xml:space="preserve"> (+метформин)</w:t>
      </w:r>
      <w:r w:rsidR="008200B5">
        <w:t xml:space="preserve"> показал значительное снижение по сравнению с плацебо</w:t>
      </w:r>
      <w:r w:rsidR="0060089C">
        <w:t xml:space="preserve"> (+метформин)</w:t>
      </w:r>
      <w:r w:rsidR="008200B5">
        <w:t xml:space="preserve"> средних значений по сравнению с исходным уровнем </w:t>
      </w:r>
      <w:r w:rsidR="0060089C">
        <w:t xml:space="preserve">следующих показателей: </w:t>
      </w:r>
      <w:r w:rsidR="008200B5">
        <w:t>HbA1c (-0,49 против 0,15%), ГПН (-0,59 против 0,58 ммоль/л) и у</w:t>
      </w:r>
      <w:r w:rsidR="008200B5" w:rsidRPr="00B41EC9">
        <w:t>ровн</w:t>
      </w:r>
      <w:r w:rsidR="008200B5">
        <w:t>я</w:t>
      </w:r>
      <w:r w:rsidR="008200B5" w:rsidRPr="00B41EC9">
        <w:t xml:space="preserve"> глюкоз</w:t>
      </w:r>
      <w:r w:rsidR="008200B5">
        <w:t>ы</w:t>
      </w:r>
      <w:r w:rsidR="008200B5" w:rsidRPr="00B41EC9">
        <w:t xml:space="preserve"> в </w:t>
      </w:r>
      <w:r w:rsidR="00145B9C" w:rsidRPr="00B41EC9">
        <w:t>крови через</w:t>
      </w:r>
      <w:r w:rsidR="008200B5" w:rsidRPr="00B41EC9">
        <w:t xml:space="preserve"> 2 часа после приема пищи</w:t>
      </w:r>
      <w:r w:rsidR="008200B5">
        <w:t xml:space="preserve"> (-2,7 против 0,7 ммоль/л), р </w:t>
      </w:r>
      <w:r w:rsidR="00D32DC2">
        <w:t>&lt;0</w:t>
      </w:r>
      <w:r w:rsidR="008200B5">
        <w:t xml:space="preserve">,0001. Добавление линаглиптина в дозе 5 мг 1 раз в сутки у пациентов с СД 2, недостаточно контролируемым метформином, приводило к значительному и клинически значимому улучшение гликемического контроля без увеличения </w:t>
      </w:r>
      <w:r w:rsidR="0060089C">
        <w:t>массы тела</w:t>
      </w:r>
      <w:r w:rsidR="008200B5">
        <w:t xml:space="preserve"> или повышенного риска гипогликемии.</w:t>
      </w:r>
    </w:p>
    <w:p w14:paraId="296E4B16" w14:textId="1D916C20" w:rsidR="008200B5" w:rsidRPr="0016106D" w:rsidRDefault="00145B9C" w:rsidP="00145B9C">
      <w:pPr>
        <w:ind w:firstLine="709"/>
      </w:pPr>
      <w:r>
        <w:t>В</w:t>
      </w:r>
      <w:r w:rsidR="008200B5">
        <w:t xml:space="preserve"> </w:t>
      </w:r>
      <w:r w:rsidR="008200B5" w:rsidRPr="006840D6">
        <w:t>многоцентрово</w:t>
      </w:r>
      <w:r>
        <w:t>м</w:t>
      </w:r>
      <w:r w:rsidR="008200B5" w:rsidRPr="006840D6">
        <w:t xml:space="preserve"> 24-недельно</w:t>
      </w:r>
      <w:r>
        <w:t>м</w:t>
      </w:r>
      <w:r w:rsidR="008200B5" w:rsidRPr="006840D6">
        <w:t xml:space="preserve"> рандомизированно</w:t>
      </w:r>
      <w:r>
        <w:t>м</w:t>
      </w:r>
      <w:r w:rsidR="008200B5" w:rsidRPr="006840D6">
        <w:t xml:space="preserve"> двойно</w:t>
      </w:r>
      <w:r>
        <w:t>м</w:t>
      </w:r>
      <w:r w:rsidR="008200B5" w:rsidRPr="006840D6">
        <w:t xml:space="preserve"> слепо</w:t>
      </w:r>
      <w:r>
        <w:t>м</w:t>
      </w:r>
      <w:r w:rsidR="008200B5" w:rsidRPr="006840D6">
        <w:t xml:space="preserve"> исследовани</w:t>
      </w:r>
      <w:r>
        <w:t>и</w:t>
      </w:r>
      <w:r w:rsidR="008200B5" w:rsidRPr="006840D6">
        <w:t xml:space="preserve"> в параллельных группах с участием 1058 пациентов, сравнивающе</w:t>
      </w:r>
      <w:r>
        <w:t>м</w:t>
      </w:r>
      <w:r w:rsidR="008200B5" w:rsidRPr="006840D6">
        <w:t xml:space="preserve"> </w:t>
      </w:r>
      <w:r w:rsidR="008200B5">
        <w:t xml:space="preserve">лечение </w:t>
      </w:r>
      <w:r w:rsidR="008200B5" w:rsidRPr="006840D6">
        <w:t>линаглиптин</w:t>
      </w:r>
      <w:r w:rsidR="008200B5">
        <w:t>ом</w:t>
      </w:r>
      <w:r w:rsidR="008200B5" w:rsidRPr="006840D6">
        <w:t xml:space="preserve"> (5 мг один раз в </w:t>
      </w:r>
      <w:r w:rsidR="008200B5">
        <w:t>сутки</w:t>
      </w:r>
      <w:r w:rsidR="008200B5" w:rsidRPr="006840D6">
        <w:t xml:space="preserve">) и плацебо при добавлении к </w:t>
      </w:r>
      <w:r w:rsidR="008200B5">
        <w:t xml:space="preserve">комбинации </w:t>
      </w:r>
      <w:r w:rsidR="008200B5" w:rsidRPr="006840D6">
        <w:t>ме</w:t>
      </w:r>
      <w:r>
        <w:t xml:space="preserve">тформин плюс сульфонилмочевина, </w:t>
      </w:r>
      <w:r w:rsidR="008200B5">
        <w:t xml:space="preserve">на 24-й неделе среднее изменение HbA(1c) по сравнению с исходным уровнем составило -7 ммоль/моль (-0,62%) [95% ДИ от -8 до -6 ммоль/моль (от -0,73 до -0,50%).; р &lt;0,0001]. Больше участников с исходным уровнем HbA(1c) ≥ 53 ммоль/моль (≥ </w:t>
      </w:r>
      <w:r w:rsidR="001E078D">
        <w:t>7,0%) достигли уровня HbA(1c) &lt;</w:t>
      </w:r>
      <w:r w:rsidR="008200B5">
        <w:t xml:space="preserve">53 ммоль/моль (&lt;7,0%) при применении линаглиптина по сравнению с плацебо (29,2% против 8,1%, </w:t>
      </w:r>
      <w:r>
        <w:rPr>
          <w:lang w:val="en-US"/>
        </w:rPr>
        <w:t>p</w:t>
      </w:r>
      <w:r w:rsidR="00D32DC2">
        <w:t xml:space="preserve"> </w:t>
      </w:r>
      <w:r w:rsidR="008200B5">
        <w:t>&lt;0,0001). ГПН снижалась при приеме линаглиптина по сравнению с плацебо (-0,7 мм</w:t>
      </w:r>
      <w:r w:rsidR="001E078D">
        <w:t>оль/л, 95% ДИ от -1,0 до -0,4; р</w:t>
      </w:r>
      <w:r w:rsidR="008200B5">
        <w:t xml:space="preserve">&lt;0,0001). У пациентов с СД2 добавление линаглиптина к метформину, назначаемому в комбинации с сульфонилмочевиной, значительно улучшало гликемический контроль. </w:t>
      </w:r>
    </w:p>
    <w:p w14:paraId="0743473D" w14:textId="32DC8952" w:rsidR="008200B5" w:rsidRDefault="008200B5" w:rsidP="00356B7B">
      <w:pPr>
        <w:pStyle w:val="OT"/>
        <w:spacing w:after="0"/>
        <w:ind w:firstLine="709"/>
        <w:rPr>
          <w:sz w:val="24"/>
          <w:szCs w:val="24"/>
        </w:rPr>
      </w:pPr>
      <w:r w:rsidRPr="00296518">
        <w:rPr>
          <w:sz w:val="24"/>
          <w:szCs w:val="24"/>
        </w:rPr>
        <w:t>В анализ безопасности включены исследования, котор</w:t>
      </w:r>
      <w:r w:rsidR="001E078D">
        <w:rPr>
          <w:sz w:val="24"/>
          <w:szCs w:val="24"/>
        </w:rPr>
        <w:t>ые проводились у пациентов с СД</w:t>
      </w:r>
      <w:r w:rsidRPr="00296518">
        <w:rPr>
          <w:sz w:val="24"/>
          <w:szCs w:val="24"/>
        </w:rPr>
        <w:t>2</w:t>
      </w:r>
      <w:r>
        <w:rPr>
          <w:sz w:val="24"/>
          <w:szCs w:val="24"/>
        </w:rPr>
        <w:t>. В</w:t>
      </w:r>
      <w:r w:rsidRPr="00C41DF0">
        <w:rPr>
          <w:sz w:val="24"/>
          <w:szCs w:val="24"/>
        </w:rPr>
        <w:t xml:space="preserve">се исследования у пациентов с сахарным диабетом 2 типа включали в общей </w:t>
      </w:r>
      <w:r w:rsidRPr="00C41DF0">
        <w:rPr>
          <w:sz w:val="24"/>
          <w:szCs w:val="24"/>
        </w:rPr>
        <w:lastRenderedPageBreak/>
        <w:t>сложности 6198 пациентов. Из них 4687</w:t>
      </w:r>
      <w:r>
        <w:rPr>
          <w:sz w:val="24"/>
          <w:szCs w:val="24"/>
        </w:rPr>
        <w:t xml:space="preserve"> </w:t>
      </w:r>
      <w:r w:rsidRPr="00C41DF0">
        <w:rPr>
          <w:sz w:val="24"/>
          <w:szCs w:val="24"/>
        </w:rPr>
        <w:t xml:space="preserve">пациентов получали линаглиптин (в любой дозе), а 4040 пациентов получали линаглиптин в дозе 5 мг </w:t>
      </w:r>
      <w:r>
        <w:rPr>
          <w:sz w:val="24"/>
          <w:szCs w:val="24"/>
        </w:rPr>
        <w:t>один раз в день</w:t>
      </w:r>
      <w:r w:rsidRPr="00C41DF0">
        <w:rPr>
          <w:sz w:val="24"/>
          <w:szCs w:val="24"/>
        </w:rPr>
        <w:t>.</w:t>
      </w:r>
      <w:r>
        <w:rPr>
          <w:sz w:val="24"/>
          <w:szCs w:val="24"/>
        </w:rPr>
        <w:t xml:space="preserve"> </w:t>
      </w:r>
      <w:r w:rsidRPr="00C41DF0">
        <w:rPr>
          <w:sz w:val="24"/>
          <w:szCs w:val="24"/>
        </w:rPr>
        <w:t>Из пациентов, получавших линаглиптин в дозе 5 мг, 3430 пациентов подвергались воздействию в течение 6 месяцев или дольше</w:t>
      </w:r>
      <w:r>
        <w:rPr>
          <w:sz w:val="24"/>
          <w:szCs w:val="24"/>
        </w:rPr>
        <w:t xml:space="preserve">, </w:t>
      </w:r>
      <w:r>
        <w:t xml:space="preserve">2390 </w:t>
      </w:r>
      <w:r w:rsidRPr="00C41DF0">
        <w:rPr>
          <w:sz w:val="24"/>
          <w:szCs w:val="24"/>
        </w:rPr>
        <w:t xml:space="preserve">пациентов в течение 12 месяцев или дольше и 536 пациентов в течение 18 месяцев или дольше. </w:t>
      </w:r>
    </w:p>
    <w:p w14:paraId="3B10A423" w14:textId="72AADA98" w:rsidR="008200B5" w:rsidRDefault="008200B5" w:rsidP="00356B7B">
      <w:pPr>
        <w:pStyle w:val="OT"/>
        <w:spacing w:after="0"/>
        <w:ind w:firstLine="709"/>
        <w:rPr>
          <w:sz w:val="24"/>
          <w:szCs w:val="24"/>
        </w:rPr>
      </w:pPr>
      <w:r w:rsidRPr="00326568">
        <w:rPr>
          <w:sz w:val="24"/>
          <w:szCs w:val="24"/>
        </w:rPr>
        <w:t xml:space="preserve">Общий процент пациентов с нежелательными явлениями был сопоставим между видами лечения (плацебо 53,8% по сравнению с линаглиптином 55,0%). Доля пациентов с нежелательными явлениями легкой (36,8% против 37,6% в группе плацебо и линаглиптина соответственно), средней тяжести (15,6% против 15,6%) или тяжелой (1,4% против 1,8%) интенсивности были одинаковыми. Нежелательные явления, связанные с лекарственным </w:t>
      </w:r>
      <w:r w:rsidR="0084744D">
        <w:rPr>
          <w:sz w:val="24"/>
          <w:szCs w:val="24"/>
        </w:rPr>
        <w:t>препаратом</w:t>
      </w:r>
      <w:r w:rsidRPr="00326568">
        <w:rPr>
          <w:sz w:val="24"/>
          <w:szCs w:val="24"/>
        </w:rPr>
        <w:t>, были немного более частыми в группе линаглиптина, чем в группе плацебо (10,4%</w:t>
      </w:r>
      <w:r>
        <w:rPr>
          <w:sz w:val="24"/>
          <w:szCs w:val="24"/>
        </w:rPr>
        <w:t xml:space="preserve"> </w:t>
      </w:r>
      <w:r w:rsidRPr="00326568">
        <w:rPr>
          <w:sz w:val="24"/>
          <w:szCs w:val="24"/>
        </w:rPr>
        <w:t>против</w:t>
      </w:r>
      <w:r>
        <w:rPr>
          <w:sz w:val="24"/>
          <w:szCs w:val="24"/>
        </w:rPr>
        <w:t xml:space="preserve"> </w:t>
      </w:r>
      <w:r w:rsidRPr="00326568">
        <w:rPr>
          <w:sz w:val="24"/>
          <w:szCs w:val="24"/>
        </w:rPr>
        <w:t xml:space="preserve">8,5%). Самое частое связанное с линаглиптином нежелательное явление была гипогликемия с более высокой частотой в группе линаглиптина (2,4% против 5,0% в группе плацебо и линаглиптина соответственно, возникающая преимущественно на фоне </w:t>
      </w:r>
      <w:r>
        <w:rPr>
          <w:sz w:val="24"/>
          <w:szCs w:val="24"/>
        </w:rPr>
        <w:t xml:space="preserve">приема </w:t>
      </w:r>
      <w:r w:rsidRPr="00326568">
        <w:rPr>
          <w:sz w:val="24"/>
          <w:szCs w:val="24"/>
        </w:rPr>
        <w:t>метформина), и гипергликемия с более высокой частотой в группе плацебо. группа (1,5% против 0,5%)</w:t>
      </w:r>
      <w:r>
        <w:rPr>
          <w:sz w:val="24"/>
          <w:szCs w:val="24"/>
        </w:rPr>
        <w:t>.</w:t>
      </w:r>
    </w:p>
    <w:p w14:paraId="0875964E" w14:textId="03545B63" w:rsidR="008200B5" w:rsidRDefault="008200B5" w:rsidP="002F4265">
      <w:pPr>
        <w:ind w:firstLine="709"/>
      </w:pPr>
      <w:r w:rsidRPr="00C41DF0">
        <w:t xml:space="preserve">Частота преждевременного прекращения приема исследуемого препарата была выше в группе плацебо, чем в группе линаглиптина (3,6% против 2,3%). Разница была в основном связана с более высокой частотой гипергликемии (0,9% против 0,2%) и повышением уровня глюкозы в крови (0,4% против 0,1%) в группе плацебо. </w:t>
      </w:r>
      <w:r w:rsidR="002F4265">
        <w:t>Как и ожидалось, гипергликемия возникала с большей частотой в группе плацебо/фон, чем в группе линаглиптина (10,6% против 5,0%). И наоборот, гипогликемия реже встречалась в группе плацебо (4,1%), чем в группе линаглиптина (7,6%).</w:t>
      </w:r>
    </w:p>
    <w:p w14:paraId="2213DBAB" w14:textId="77777777" w:rsidR="008200B5" w:rsidRPr="00785050" w:rsidRDefault="008200B5" w:rsidP="00356B7B">
      <w:pPr>
        <w:pStyle w:val="OT"/>
        <w:spacing w:after="0"/>
        <w:ind w:firstLine="709"/>
        <w:rPr>
          <w:sz w:val="24"/>
          <w:szCs w:val="24"/>
        </w:rPr>
      </w:pPr>
      <w:r w:rsidRPr="00326568">
        <w:rPr>
          <w:sz w:val="24"/>
          <w:szCs w:val="24"/>
        </w:rPr>
        <w:t>Частота серьезных нежелательных явлений была низкой в обеих группах лечения (2,5% против 2,7%). Было 2 серьезных нежелательных явления со смертельным исходом в группе линаглиптина и ни одного в группе плацебо</w:t>
      </w:r>
      <w:r>
        <w:rPr>
          <w:sz w:val="24"/>
          <w:szCs w:val="24"/>
        </w:rPr>
        <w:t>.</w:t>
      </w:r>
    </w:p>
    <w:p w14:paraId="7CC97E26" w14:textId="294BD7C3" w:rsidR="008200B5" w:rsidRPr="0016106D" w:rsidRDefault="008200B5" w:rsidP="00356B7B">
      <w:pPr>
        <w:ind w:firstLine="709"/>
      </w:pPr>
      <w:r>
        <w:t xml:space="preserve">В целом, инфекции и инвазии были наиболее частыми побочными эффектами. Нарушения опорно-двигательного аппарата и соединительной ткани; респираторные, торакальные и медиастинальные расстройства, а также сосудистые расстройства встречались с большей частотой в группе линаглиптина, однако разница никогда не превышала 2%. Кроме того, в группе линаглиптина также наблюдались более высокие частоты заболеваний кожи и подкожной клетчатки (2,6% против 4,0%). </w:t>
      </w:r>
    </w:p>
    <w:p w14:paraId="2DDE4E8C" w14:textId="77777777" w:rsidR="004B1452" w:rsidRDefault="004B1452" w:rsidP="004B1452">
      <w:pPr>
        <w:pStyle w:val="2"/>
        <w:spacing w:line="240" w:lineRule="auto"/>
        <w:rPr>
          <w:color w:val="000000" w:themeColor="text1"/>
          <w:szCs w:val="24"/>
        </w:rPr>
      </w:pPr>
      <w:bookmarkStart w:id="166" w:name="_Toc139361984"/>
      <w:r w:rsidRPr="005E6358">
        <w:rPr>
          <w:color w:val="000000" w:themeColor="text1"/>
          <w:szCs w:val="24"/>
        </w:rPr>
        <w:t>4.1. Фармакокинетика у человека</w:t>
      </w:r>
      <w:bookmarkEnd w:id="166"/>
    </w:p>
    <w:p w14:paraId="44782408" w14:textId="77777777" w:rsidR="004B1452" w:rsidRDefault="004B1452" w:rsidP="008F1986">
      <w:pPr>
        <w:ind w:firstLine="709"/>
      </w:pPr>
      <w:bookmarkStart w:id="167" w:name="_Hlk118204976"/>
      <w:r>
        <w:t xml:space="preserve">Фармакокинетические параметры </w:t>
      </w:r>
      <w:r w:rsidRPr="003E3E7C">
        <w:rPr>
          <w:lang w:eastAsia="ru-RU" w:bidi="ru-RU"/>
        </w:rPr>
        <w:t xml:space="preserve">линаглиптина </w:t>
      </w:r>
      <w:r>
        <w:t>изучались у здоровых взрослых добровольцев, у пациентов с печеночной недостаточностью, почечной недостаточностью и СД.</w:t>
      </w:r>
    </w:p>
    <w:p w14:paraId="500B1235" w14:textId="77777777" w:rsidR="004B1452" w:rsidRDefault="004B1452" w:rsidP="004B1452">
      <w:pPr>
        <w:pStyle w:val="3"/>
        <w:spacing w:after="240"/>
        <w:rPr>
          <w:rFonts w:ascii="Times New Roman" w:hAnsi="Times New Roman"/>
          <w:bCs w:val="0"/>
          <w:szCs w:val="24"/>
        </w:rPr>
      </w:pPr>
      <w:bookmarkStart w:id="168" w:name="_Toc99740826"/>
      <w:bookmarkStart w:id="169" w:name="_Toc52190579"/>
      <w:bookmarkStart w:id="170" w:name="_Toc139361985"/>
      <w:r w:rsidRPr="002E7351">
        <w:rPr>
          <w:rFonts w:ascii="Times New Roman" w:hAnsi="Times New Roman"/>
          <w:bCs w:val="0"/>
          <w:szCs w:val="24"/>
        </w:rPr>
        <w:t>4</w:t>
      </w:r>
      <w:r w:rsidRPr="009D7041">
        <w:rPr>
          <w:rFonts w:ascii="Times New Roman" w:hAnsi="Times New Roman"/>
          <w:bCs w:val="0"/>
          <w:szCs w:val="24"/>
        </w:rPr>
        <w:t>.1.</w:t>
      </w:r>
      <w:r>
        <w:rPr>
          <w:rFonts w:ascii="Times New Roman" w:hAnsi="Times New Roman"/>
          <w:bCs w:val="0"/>
          <w:szCs w:val="24"/>
        </w:rPr>
        <w:t>1. Всасывание</w:t>
      </w:r>
      <w:bookmarkEnd w:id="168"/>
      <w:bookmarkEnd w:id="170"/>
    </w:p>
    <w:p w14:paraId="53C66A26" w14:textId="36AFAE53" w:rsidR="004B1452" w:rsidRDefault="004B1452" w:rsidP="00836279">
      <w:pPr>
        <w:ind w:firstLine="709"/>
      </w:pPr>
      <w:bookmarkStart w:id="171" w:name="_Hlk121690882"/>
      <w:r>
        <w:t xml:space="preserve">После перорального приема дозы 5 мг линаглиптин быстро всасывается с пиком </w:t>
      </w:r>
      <w:r w:rsidR="00A0598A">
        <w:t xml:space="preserve">концентрации </w:t>
      </w:r>
      <w:r>
        <w:t>в плазме крови, возникающи</w:t>
      </w:r>
      <w:r w:rsidR="00A0598A">
        <w:t>м</w:t>
      </w:r>
      <w:r>
        <w:t xml:space="preserve"> через 1,5–2,5 часа после введения дозы (медиана </w:t>
      </w:r>
      <w:r w:rsidR="003979D6">
        <w:rPr>
          <w:lang w:val="en-US"/>
        </w:rPr>
        <w:t>T</w:t>
      </w:r>
      <w:r w:rsidRPr="003979D6">
        <w:rPr>
          <w:vertAlign w:val="subscript"/>
        </w:rPr>
        <w:t>max</w:t>
      </w:r>
      <w:r>
        <w:t>), что свидетельствует о преобладании всасывани</w:t>
      </w:r>
      <w:r w:rsidR="00C8641A">
        <w:t>я</w:t>
      </w:r>
      <w:r>
        <w:t xml:space="preserve"> в верхних отделах кишечника. Линаглиптин имеет пероральную системную биодоступность 30%. Кроме того, линаглиптин является хорошо растворимым лекарственным средством. Таким образом, линаглиптин можно отнести к лекарственным веществам класса 3 согласно Системе биофармацевтической классификации (BCS</w:t>
      </w:r>
      <w:bookmarkEnd w:id="171"/>
      <w:r>
        <w:t>)</w:t>
      </w:r>
      <w:r w:rsidRPr="00C703AE">
        <w:t xml:space="preserve"> </w:t>
      </w:r>
      <w:r>
        <w:fldChar w:fldCharType="begin"/>
      </w:r>
      <w:r>
        <w:instrText xml:space="preserve"> ADDIN ZOTERO_ITEM CSL_CITATION {"citationID":"15pxkbOb","properties":{"formattedCitation":"[1,2]","plainCitation":"[1,2]","noteIndex":0},"citationItems":[{"id":3008,"uris":["http://zotero.org/users/5483459/items/A4YJC5H7"],"itemData":{"id":3008,"type":"document","title":"European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EMEA/H/C/002110/0000"},"label":"page"}],"schema":"https://github.com/citation-style-language/schema/raw/master/csl-citation.json"} </w:instrText>
      </w:r>
      <w:r>
        <w:fldChar w:fldCharType="separate"/>
      </w:r>
      <w:r w:rsidRPr="00AF05DE">
        <w:t>[1,2]</w:t>
      </w:r>
      <w:r>
        <w:fldChar w:fldCharType="end"/>
      </w:r>
      <w:r>
        <w:t>.</w:t>
      </w:r>
    </w:p>
    <w:p w14:paraId="7DE3070C" w14:textId="77777777" w:rsidR="004B1452" w:rsidRDefault="004B1452" w:rsidP="004B1452">
      <w:pPr>
        <w:ind w:firstLine="851"/>
      </w:pPr>
    </w:p>
    <w:p w14:paraId="09924FFF" w14:textId="305512DE" w:rsidR="004B1452" w:rsidRPr="00F97308" w:rsidRDefault="004B1452" w:rsidP="004B1452">
      <w:pPr>
        <w:rPr>
          <w:b/>
          <w:bCs/>
        </w:rPr>
      </w:pPr>
      <w:r w:rsidRPr="00F97308">
        <w:rPr>
          <w:b/>
          <w:bCs/>
        </w:rPr>
        <w:lastRenderedPageBreak/>
        <w:t xml:space="preserve">Исследования </w:t>
      </w:r>
      <w:r w:rsidR="00C8641A">
        <w:rPr>
          <w:b/>
          <w:bCs/>
        </w:rPr>
        <w:t>влияния пищи</w:t>
      </w:r>
    </w:p>
    <w:p w14:paraId="24E53C96" w14:textId="77777777" w:rsidR="00C8641A" w:rsidRDefault="00C8641A" w:rsidP="004B1452">
      <w:pPr>
        <w:ind w:firstLine="851"/>
      </w:pPr>
    </w:p>
    <w:p w14:paraId="4D13AE32" w14:textId="68C39066" w:rsidR="004B1452" w:rsidRDefault="004B777D" w:rsidP="00C8641A">
      <w:pPr>
        <w:ind w:firstLine="709"/>
      </w:pPr>
      <w:r>
        <w:t>И</w:t>
      </w:r>
      <w:r w:rsidR="004B1452">
        <w:t>зучено влияние высококалорийной и жирной пищи на фармакокинетику однократной дозы линаглиптина 5 мг в виде таблеток. Прием пищи продлевает время достижения максимальных концентраций в плазме на 2 часа и снижает C</w:t>
      </w:r>
      <w:r w:rsidR="004B1452" w:rsidRPr="00A65B6E">
        <w:rPr>
          <w:vertAlign w:val="subscript"/>
        </w:rPr>
        <w:t>max</w:t>
      </w:r>
      <w:r w:rsidR="004B1452">
        <w:t xml:space="preserve"> на 15%. Влияния на AUC</w:t>
      </w:r>
      <w:r w:rsidR="004B1452" w:rsidRPr="00E576DE">
        <w:rPr>
          <w:vertAlign w:val="subscript"/>
        </w:rPr>
        <w:t>0-72</w:t>
      </w:r>
      <w:r w:rsidR="004B1452">
        <w:t xml:space="preserve"> не наблюдалось. Другие фармакокинетические параметры линаглиптина были сопоставимы </w:t>
      </w:r>
      <w:r w:rsidR="003979D6">
        <w:t>при приеме</w:t>
      </w:r>
      <w:r w:rsidR="003979D6" w:rsidRPr="003979D6">
        <w:t xml:space="preserve"> </w:t>
      </w:r>
      <w:r w:rsidR="004B1452">
        <w:t xml:space="preserve">натощак и после еды. Таким образом, линаглиптин можно принимать независимо от приема пищи </w:t>
      </w:r>
      <w:r w:rsidR="004B1452">
        <w:fldChar w:fldCharType="begin"/>
      </w:r>
      <w:r w:rsidR="004B1452">
        <w:instrText xml:space="preserve"> ADDIN ZOTERO_ITEM CSL_CITATION {"citationID":"VOfSuOIS","properties":{"formattedCitation":"[2,3]","plainCitation":"[2,3]","noteIndex":0},"citationItems":[{"id":2939,"uris":["http://zotero.org/users/5483459/items/SJBZ4HU2"],"itemData":{"id":2939,"type":"document","title":"European  Medicines Agency.Assessment report Trajenta (linagliptin). Procedure No.: EMEA/H/C/002110/0000"},"label":"page"},{"id":3042,"uris":["http://zotero.org/users/5483459/items/8P37IGM4"],"itemData":{"id":3042,"type":"article-journal","abstract":"OBJECTIVE: The objective of this study was to determine the relative bioavailability of the dipeptidyl-peptidase-4 (DPP-4) inhibitor linagliptin when administered with and without food, in accordance with regulatory requirements to support dosing recommendations for patients.\nMETHODS: This was a randomized, open-label, crossover study involving 32 healthy white male and female subjects. All subjects received a single dose of 5 mg linagliptin after an overnight fast of at least 10 hours, or immediately after ingestion of a high-fat, high-calorie breakfast. These treatments were separated by a period of 5 weeks. Plasma samples for pharmacokinetic analysis were collected before dosing and at prespecified time points after dosing. The concentration of linagliptin in these samples was analyzed by high-performance liquid chromatography coupled to tandem mass spectrometry. Relative bioavailability was assessed by the total area under the curve between 0 and 72 hours (AUC(0-72)) and maximum measured plasma concentration (C(max)) of linagliptin. Tolerability was also assessed.\nRESULTS: In 32 subjects (mean age, 34.8 years; weight, 74.3 kg; male, 53%; white race, 100%), intake of a high-fat meal resulted in comparable bioavailability with regard to AUC(0-72) (geometric mean ratio [GMR] between the fed and fasted group means was 103.5%; 90% CI, 98.1%-109.2%). Individuals' responses to food ranged from a maximum increase in exposure of 38% to a decrease of 32% relative to the fasted state. The concurrent intake of food increased the time to reach maximum plasma concentration (T(max)) by approximately 2 hours and reduced C(max) by about 15% (GMR 84.7%; 90% CI, 75.9%-94.6%). Since adequate drug exposure for inhibition of DPP-4 was still given for the entire 24-hour dosing interval, this result was considered to be of no clinical relevance. Linagliptin was well tolerated during the study.\nCONCLUSIONS: Intake of a high-fat meal reduced the rate of linagliptin absorption but had no influence on the extent of absorption; this finding suggests that food has no relevant influence on the efficacy of linagliptin.","container-title":"Clinical Therapeutics","DOI":"10.1016/j.clinthera.2011.07.005","ISSN":"1879-114X","issue":"8","journalAbbreviation":"Clin Ther","language":"eng","note":"PMID: 21803422","page":"1096-1103","source":"PubMed","title":"A randomized, open-label, crossover study evaluating the effect of food on the relative bioavailability of linagliptin in healthy subjects","volume":"33","author":[{"family":"Graefe-Mody","given":"Ulrike"},{"family":"Giessmann","given":"Thomas"},{"family":"Ring","given":"Arne"},{"family":"Iovino","given":"Mario"},{"family":"Woerle","given":"Hans-Juergen"}],"issued":{"date-parts":[["2011",8]]}},"label":"page"}],"schema":"https://github.com/citation-style-language/schema/raw/master/csl-citation.json"} </w:instrText>
      </w:r>
      <w:r w:rsidR="004B1452">
        <w:fldChar w:fldCharType="separate"/>
      </w:r>
      <w:r w:rsidR="004B1452" w:rsidRPr="00EA59C6">
        <w:t>[2,3]</w:t>
      </w:r>
      <w:r w:rsidR="004B1452">
        <w:fldChar w:fldCharType="end"/>
      </w:r>
      <w:r w:rsidR="004B1452">
        <w:t>.</w:t>
      </w:r>
    </w:p>
    <w:p w14:paraId="070E95B9" w14:textId="77777777" w:rsidR="004B1452" w:rsidRDefault="004B1452" w:rsidP="004B1452">
      <w:pPr>
        <w:pStyle w:val="3"/>
        <w:spacing w:after="240"/>
        <w:rPr>
          <w:rFonts w:ascii="Times New Roman" w:hAnsi="Times New Roman"/>
          <w:bCs w:val="0"/>
          <w:szCs w:val="24"/>
        </w:rPr>
      </w:pPr>
      <w:bookmarkStart w:id="172" w:name="_Toc52190578"/>
      <w:bookmarkStart w:id="173" w:name="_Toc99740827"/>
      <w:bookmarkStart w:id="174" w:name="_Toc139361986"/>
      <w:r w:rsidRPr="002E7351">
        <w:rPr>
          <w:rFonts w:ascii="Times New Roman" w:hAnsi="Times New Roman"/>
          <w:bCs w:val="0"/>
          <w:szCs w:val="24"/>
        </w:rPr>
        <w:t>4</w:t>
      </w:r>
      <w:r w:rsidRPr="009D7041">
        <w:rPr>
          <w:rFonts w:ascii="Times New Roman" w:hAnsi="Times New Roman"/>
          <w:bCs w:val="0"/>
          <w:szCs w:val="24"/>
        </w:rPr>
        <w:t>.1.</w:t>
      </w:r>
      <w:r>
        <w:rPr>
          <w:rFonts w:ascii="Times New Roman" w:hAnsi="Times New Roman"/>
          <w:bCs w:val="0"/>
          <w:szCs w:val="24"/>
        </w:rPr>
        <w:t>2.</w:t>
      </w:r>
      <w:r w:rsidRPr="009D7041">
        <w:rPr>
          <w:rFonts w:ascii="Times New Roman" w:hAnsi="Times New Roman"/>
          <w:bCs w:val="0"/>
          <w:szCs w:val="24"/>
        </w:rPr>
        <w:t xml:space="preserve"> Распределение</w:t>
      </w:r>
      <w:bookmarkEnd w:id="172"/>
      <w:bookmarkEnd w:id="173"/>
      <w:bookmarkEnd w:id="174"/>
    </w:p>
    <w:p w14:paraId="5592A0B7" w14:textId="3F9366DA" w:rsidR="004B1452" w:rsidRDefault="008B4EDB" w:rsidP="004B777D">
      <w:pPr>
        <w:ind w:firstLine="709"/>
      </w:pPr>
      <w:bookmarkStart w:id="175" w:name="_Hlk121690920"/>
      <w:r w:rsidRPr="008B4EDB">
        <w:t xml:space="preserve">Средний кажущийся </w:t>
      </w:r>
      <w:r>
        <w:t>о</w:t>
      </w:r>
      <w:r w:rsidRPr="008B4EDB">
        <w:t xml:space="preserve">бъем распределения </w:t>
      </w:r>
      <w:r>
        <w:t>(</w:t>
      </w:r>
      <w:r w:rsidRPr="008B4EDB">
        <w:t>Vss</w:t>
      </w:r>
      <w:r>
        <w:t>)</w:t>
      </w:r>
      <w:r w:rsidRPr="008B4EDB">
        <w:t xml:space="preserve"> </w:t>
      </w:r>
      <w:r w:rsidR="004B1452" w:rsidRPr="00CC6355">
        <w:t>после однократного внутривенного введения линаглиптина в дозе 5 мг здоровым добровольцам составляет примерно 1110 литров, что указывает на интенсивное распределение в тканях. Связывание линаглиптина с белками плазмы завис</w:t>
      </w:r>
      <w:r w:rsidR="004B777D">
        <w:t>ело</w:t>
      </w:r>
      <w:r w:rsidR="004B1452" w:rsidRPr="00CC6355">
        <w:t xml:space="preserve"> от его концентрации и составля</w:t>
      </w:r>
      <w:r w:rsidR="004D6A0F">
        <w:t>ло</w:t>
      </w:r>
      <w:r w:rsidR="004B1452" w:rsidRPr="00CC6355">
        <w:t xml:space="preserve"> при концентрации 1 нмоль/л около 99 </w:t>
      </w:r>
      <w:r w:rsidR="00EA16C0">
        <w:t>%</w:t>
      </w:r>
      <w:r w:rsidR="004B1452" w:rsidRPr="00CC6355">
        <w:t xml:space="preserve">, а при концентрации более 30 нмоль/л </w:t>
      </w:r>
      <w:r w:rsidR="004B777D">
        <w:t xml:space="preserve">– </w:t>
      </w:r>
      <w:r w:rsidR="004B1452" w:rsidRPr="00CC6355">
        <w:t>75-89</w:t>
      </w:r>
      <w:r w:rsidR="00EA16C0">
        <w:t>%</w:t>
      </w:r>
      <w:r w:rsidR="004B1452" w:rsidRPr="00CC6355">
        <w:t>, что отражает насыщение связывания линаглиптина с ДПП-4 по мере увеличения его концентрации. При высокой концентрации, когда возникае</w:t>
      </w:r>
      <w:r w:rsidR="004B777D">
        <w:t>т полное насыщение ДПП-4, 70-80</w:t>
      </w:r>
      <w:r w:rsidR="004B1452" w:rsidRPr="00CC6355">
        <w:t>% линаглиптина связывается с другими белками плазмы (не с ДПП-4), а 20-30 % линаглиптина находится в плазме в несвязанном состоянии</w:t>
      </w:r>
      <w:r w:rsidR="004B1452">
        <w:t xml:space="preserve"> </w:t>
      </w:r>
      <w:r w:rsidR="004B1452">
        <w:fldChar w:fldCharType="begin"/>
      </w:r>
      <w:r w:rsidR="004B1452">
        <w:instrText xml:space="preserve"> ADDIN ZOTERO_ITEM CSL_CITATION {"citationID":"qlsfmtGo","properties":{"formattedCitation":"[1]","plainCitation":"[1]","noteIndex":0},"citationItems":[{"id":3008,"uris":["http://zotero.org/users/5483459/items/A4YJC5H7"],"itemData":{"id":3008,"type":"document","title":"European  Medicines agency.Summary of product characteristics.Trajenta 5 mg film-coated tablets.First published: 06/10/2011. Last updated: 15/04/2013"}}],"schema":"https://github.com/citation-style-language/schema/raw/master/csl-citation.json"} </w:instrText>
      </w:r>
      <w:r w:rsidR="004B1452">
        <w:fldChar w:fldCharType="separate"/>
      </w:r>
      <w:r w:rsidR="004B1452" w:rsidRPr="00884D67">
        <w:t>[1]</w:t>
      </w:r>
      <w:r w:rsidR="004B1452">
        <w:fldChar w:fldCharType="end"/>
      </w:r>
      <w:r w:rsidR="004B1452">
        <w:t xml:space="preserve">. </w:t>
      </w:r>
    </w:p>
    <w:p w14:paraId="752C6365" w14:textId="77777777" w:rsidR="004B1452" w:rsidRDefault="004B1452" w:rsidP="004B1452">
      <w:pPr>
        <w:pStyle w:val="3"/>
        <w:spacing w:after="240"/>
        <w:rPr>
          <w:rFonts w:ascii="Times New Roman" w:hAnsi="Times New Roman"/>
          <w:bCs w:val="0"/>
          <w:szCs w:val="24"/>
        </w:rPr>
      </w:pPr>
      <w:bookmarkStart w:id="176" w:name="_Toc139361987"/>
      <w:bookmarkEnd w:id="175"/>
      <w:r w:rsidRPr="00095D49">
        <w:rPr>
          <w:rFonts w:ascii="Times New Roman" w:hAnsi="Times New Roman"/>
          <w:bCs w:val="0"/>
          <w:szCs w:val="24"/>
        </w:rPr>
        <w:t>4</w:t>
      </w:r>
      <w:r w:rsidRPr="009D7041">
        <w:rPr>
          <w:rFonts w:ascii="Times New Roman" w:hAnsi="Times New Roman"/>
          <w:bCs w:val="0"/>
          <w:szCs w:val="24"/>
        </w:rPr>
        <w:t>.</w:t>
      </w:r>
      <w:r>
        <w:rPr>
          <w:rFonts w:ascii="Times New Roman" w:hAnsi="Times New Roman"/>
          <w:bCs w:val="0"/>
          <w:szCs w:val="24"/>
        </w:rPr>
        <w:t>1.3</w:t>
      </w:r>
      <w:r w:rsidRPr="009D7041">
        <w:rPr>
          <w:rFonts w:ascii="Times New Roman" w:hAnsi="Times New Roman"/>
          <w:bCs w:val="0"/>
          <w:szCs w:val="24"/>
        </w:rPr>
        <w:t>. Метаболизм</w:t>
      </w:r>
      <w:bookmarkEnd w:id="169"/>
      <w:bookmarkEnd w:id="176"/>
    </w:p>
    <w:p w14:paraId="42EE0E81" w14:textId="288721B0" w:rsidR="004B1452" w:rsidRPr="00CB06CA" w:rsidRDefault="004B1452" w:rsidP="004B777D">
      <w:pPr>
        <w:ind w:firstLine="709"/>
      </w:pPr>
      <w:r>
        <w:t>Преобладающим метаболитом является CD</w:t>
      </w:r>
      <w:r w:rsidR="009C5514">
        <w:t xml:space="preserve"> </w:t>
      </w:r>
      <w:r>
        <w:t xml:space="preserve">1790 (образуется изоформой CYP3A4), терапевтически неактивен </w:t>
      </w:r>
      <w:r>
        <w:fldChar w:fldCharType="begin"/>
      </w:r>
      <w:r>
        <w:instrText xml:space="preserve"> ADDIN ZOTERO_ITEM CSL_CITATION {"citationID":"UH9ipGQ4","properties":{"formattedCitation":"[4]","plainCitation":"[4]","noteIndex":0},"citationItems":[{"id":3014,"uris":["http://zotero.org/users/5483459/items/GEX9J9W2"],"itemData":{"id":3014,"type":"document","title":"U.S. Food and Drug Administration. Drug Approval Package. Tradjenta (Linagliptin)  tablets. Company:  Boehringer Ingelheim Pharmaceuticals, Inc. Medical Review. Application No.:  201280 Approval Date: 04.03.2011"}}],"schema":"https://github.com/citation-style-language/schema/raw/master/csl-citation.json"} </w:instrText>
      </w:r>
      <w:r>
        <w:fldChar w:fldCharType="separate"/>
      </w:r>
      <w:r w:rsidRPr="00EA59C6">
        <w:t>[4]</w:t>
      </w:r>
      <w:r>
        <w:fldChar w:fldCharType="end"/>
      </w:r>
      <w:r>
        <w:t>. В плазме CD 1790 был идентифицирован как основной метаболит</w:t>
      </w:r>
      <w:r w:rsidR="00EE1932">
        <w:t>, его концентрация составляла</w:t>
      </w:r>
      <w:r>
        <w:t xml:space="preserve"> 16,9%</w:t>
      </w:r>
      <w:r w:rsidR="00EE1932">
        <w:t>.</w:t>
      </w:r>
      <w:r>
        <w:t xml:space="preserve"> Линаглиптин метаболизируется в основном CYP3A4 </w:t>
      </w:r>
      <w:r>
        <w:fldChar w:fldCharType="begin"/>
      </w:r>
      <w:r>
        <w:instrText xml:space="preserve"> ADDIN ZOTERO_ITEM CSL_CITATION {"citationID":"zJ58gfBK","properties":{"formattedCitation":"[2]","plainCitation":"[2]","noteIndex":0},"citationItems":[{"id":2939,"uris":["http://zotero.org/users/5483459/items/SJBZ4HU2"],"itemData":{"id":2939,"type":"document","title":"European  Medicines Agency.Assessment report Trajenta (linagliptin). Procedure No.: EMEA/H/C/002110/0000"}}],"schema":"https://github.com/citation-style-language/schema/raw/master/csl-citation.json"} </w:instrText>
      </w:r>
      <w:r>
        <w:fldChar w:fldCharType="separate"/>
      </w:r>
      <w:r w:rsidRPr="00CA610C">
        <w:t>[2]</w:t>
      </w:r>
      <w:r>
        <w:fldChar w:fldCharType="end"/>
      </w:r>
      <w:r>
        <w:t>.</w:t>
      </w:r>
    </w:p>
    <w:p w14:paraId="41AF4B99" w14:textId="77777777" w:rsidR="004B1452" w:rsidRDefault="004B1452" w:rsidP="004B1452">
      <w:pPr>
        <w:pStyle w:val="3"/>
        <w:spacing w:after="240"/>
        <w:rPr>
          <w:rFonts w:ascii="Times New Roman" w:hAnsi="Times New Roman"/>
          <w:bCs w:val="0"/>
          <w:szCs w:val="24"/>
        </w:rPr>
      </w:pPr>
      <w:bookmarkStart w:id="177" w:name="_Toc52190580"/>
      <w:bookmarkStart w:id="178" w:name="_Toc139361988"/>
      <w:r>
        <w:rPr>
          <w:rFonts w:ascii="Times New Roman" w:hAnsi="Times New Roman"/>
          <w:bCs w:val="0"/>
          <w:szCs w:val="24"/>
        </w:rPr>
        <w:t>4</w:t>
      </w:r>
      <w:r w:rsidRPr="009505C5">
        <w:rPr>
          <w:rFonts w:ascii="Times New Roman" w:hAnsi="Times New Roman"/>
          <w:bCs w:val="0"/>
          <w:szCs w:val="24"/>
        </w:rPr>
        <w:t>.</w:t>
      </w:r>
      <w:r>
        <w:rPr>
          <w:rFonts w:ascii="Times New Roman" w:hAnsi="Times New Roman"/>
          <w:bCs w:val="0"/>
          <w:szCs w:val="24"/>
        </w:rPr>
        <w:t>1.4</w:t>
      </w:r>
      <w:r w:rsidRPr="009505C5">
        <w:rPr>
          <w:rFonts w:ascii="Times New Roman" w:hAnsi="Times New Roman"/>
          <w:bCs w:val="0"/>
          <w:szCs w:val="24"/>
        </w:rPr>
        <w:t>. Выведение</w:t>
      </w:r>
      <w:bookmarkEnd w:id="177"/>
      <w:bookmarkEnd w:id="178"/>
    </w:p>
    <w:p w14:paraId="7CF3F329" w14:textId="77777777" w:rsidR="004B1452" w:rsidRDefault="004B1452" w:rsidP="004B1452">
      <w:pPr>
        <w:ind w:firstLine="709"/>
      </w:pPr>
      <w:bookmarkStart w:id="179" w:name="_Hlk121690936"/>
      <w:r>
        <w:t>Плазменные концентрации линаглиптина снижаются трехфазным образом с длительным конечным периодом полувыведения (конечный период полувыведения линаглиптина более 100 часов), что в большей степени связано со связыванием линаглиптина с ДПП-4 и не способствует кумуляции лекарственного средства.</w:t>
      </w:r>
    </w:p>
    <w:p w14:paraId="35C47025" w14:textId="09822D29" w:rsidR="004B1452" w:rsidRDefault="004B1452" w:rsidP="004B1452">
      <w:pPr>
        <w:ind w:firstLine="709"/>
      </w:pPr>
      <w:r>
        <w:t xml:space="preserve">Преимущественный путь выведения </w:t>
      </w:r>
      <w:r w:rsidR="00E60F45">
        <w:t xml:space="preserve">– </w:t>
      </w:r>
      <w:r>
        <w:t xml:space="preserve">через кишечник. Через 4 дня после перорального применения </w:t>
      </w:r>
      <w:r w:rsidR="00A248BA">
        <w:t xml:space="preserve">радиоактивно </w:t>
      </w:r>
      <w:r>
        <w:t xml:space="preserve">меченого </w:t>
      </w:r>
      <w:r w:rsidRPr="00DF4122">
        <w:rPr>
          <w:vertAlign w:val="superscript"/>
        </w:rPr>
        <w:t>14</w:t>
      </w:r>
      <w:r>
        <w:t>C</w:t>
      </w:r>
      <w:r w:rsidR="00A248BA">
        <w:t>-</w:t>
      </w:r>
      <w:r>
        <w:t>линаглиптина у здоровых добровольцев выводилось примерно 85 % дозы (через кишечник 80 %</w:t>
      </w:r>
      <w:r w:rsidR="00A0598A">
        <w:t xml:space="preserve">, </w:t>
      </w:r>
      <w:r>
        <w:t xml:space="preserve">почками 5 </w:t>
      </w:r>
      <w:r w:rsidR="00EE1932">
        <w:t>%</w:t>
      </w:r>
      <w:r>
        <w:t xml:space="preserve">) при клиренсе креатинина примерно 70 мл/мин </w:t>
      </w:r>
      <w:r>
        <w:fldChar w:fldCharType="begin"/>
      </w:r>
      <w:r>
        <w:instrText xml:space="preserve"> ADDIN ZOTERO_ITEM CSL_CITATION {"citationID":"aTsd51ZY","properties":{"formattedCitation":"[1,2]","plainCitation":"[1,2]","noteIndex":0},"citationItems":[{"id":3008,"uris":["http://zotero.org/users/5483459/items/A4YJC5H7"],"itemData":{"id":3008,"type":"document","title":"European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EMEA/H/C/002110/0000"},"label":"page"}],"schema":"https://github.com/citation-style-language/schema/raw/master/csl-citation.json"} </w:instrText>
      </w:r>
      <w:r>
        <w:fldChar w:fldCharType="separate"/>
      </w:r>
      <w:r w:rsidRPr="00DF4122">
        <w:t>[1,2]</w:t>
      </w:r>
      <w:r>
        <w:fldChar w:fldCharType="end"/>
      </w:r>
      <w:r>
        <w:t>.</w:t>
      </w:r>
    </w:p>
    <w:bookmarkEnd w:id="179"/>
    <w:p w14:paraId="4C0F05D8" w14:textId="16C30111" w:rsidR="004B1452" w:rsidRDefault="004B1452" w:rsidP="004B1452">
      <w:pPr>
        <w:ind w:firstLine="709"/>
      </w:pPr>
      <w:r>
        <w:t>После однократного ежедневного приема 5 мг линаглиптина равновесные концентрации в плазме достигаются после третьей дозы. Плазменная AUC линаглиптин</w:t>
      </w:r>
      <w:r w:rsidR="00A0598A">
        <w:t>а</w:t>
      </w:r>
      <w:r>
        <w:t xml:space="preserve"> увеличи</w:t>
      </w:r>
      <w:r w:rsidR="00A248BA">
        <w:t>валась</w:t>
      </w:r>
      <w:r>
        <w:t xml:space="preserve"> примерно на 33% после приема 5 мг в равновесном состоянии по сравнению с первой дозой </w:t>
      </w:r>
      <w:r>
        <w:fldChar w:fldCharType="begin"/>
      </w:r>
      <w:r>
        <w:instrText xml:space="preserve"> ADDIN ZOTERO_ITEM CSL_CITATION {"citationID":"mlDJYOrA","properties":{"formattedCitation":"[4]","plainCitation":"[4]","noteIndex":0},"citationItems":[{"id":3014,"uris":["http://zotero.org/users/5483459/items/GEX9J9W2"],"itemData":{"id":3014,"type":"document","title":"U.S. Food and Drug Administration. Drug Approval Package. Tradjenta (Linagliptin)  tablets. Company:  Boehringer Ingelheim Pharmaceuticals, Inc. Medical Review. Application No.:  201280 Approval Date: 04.03.2011"}}],"schema":"https://github.com/citation-style-language/schema/raw/master/csl-citation.json"} </w:instrText>
      </w:r>
      <w:r>
        <w:fldChar w:fldCharType="separate"/>
      </w:r>
      <w:r w:rsidRPr="00EA59C6">
        <w:t>[4]</w:t>
      </w:r>
      <w:r>
        <w:fldChar w:fldCharType="end"/>
      </w:r>
      <w:r>
        <w:t>.</w:t>
      </w:r>
    </w:p>
    <w:p w14:paraId="77601777" w14:textId="77777777" w:rsidR="004B1452" w:rsidRDefault="004B1452" w:rsidP="004B1452">
      <w:pPr>
        <w:pStyle w:val="3"/>
        <w:spacing w:after="240"/>
        <w:rPr>
          <w:rFonts w:ascii="Times New Roman" w:hAnsi="Times New Roman"/>
          <w:bCs w:val="0"/>
          <w:szCs w:val="24"/>
        </w:rPr>
      </w:pPr>
      <w:bookmarkStart w:id="180" w:name="_Toc83655951"/>
      <w:bookmarkStart w:id="181" w:name="_Toc139361989"/>
      <w:bookmarkEnd w:id="167"/>
      <w:r>
        <w:rPr>
          <w:rFonts w:ascii="Times New Roman" w:hAnsi="Times New Roman"/>
          <w:bCs w:val="0"/>
          <w:szCs w:val="24"/>
        </w:rPr>
        <w:t>4.1.</w:t>
      </w:r>
      <w:r w:rsidRPr="00E75618">
        <w:rPr>
          <w:rFonts w:ascii="Times New Roman" w:hAnsi="Times New Roman"/>
          <w:bCs w:val="0"/>
          <w:szCs w:val="24"/>
        </w:rPr>
        <w:t>5. Линейность фармакокинетики</w:t>
      </w:r>
      <w:bookmarkEnd w:id="180"/>
      <w:bookmarkEnd w:id="181"/>
    </w:p>
    <w:p w14:paraId="3C7134EE" w14:textId="3A6263BA" w:rsidR="004B1452" w:rsidRDefault="004B1452" w:rsidP="004B1452">
      <w:pPr>
        <w:ind w:firstLine="709"/>
        <w:rPr>
          <w:b/>
          <w:bCs/>
        </w:rPr>
      </w:pPr>
      <w:bookmarkStart w:id="182" w:name="_Toc52190581"/>
      <w:r>
        <w:t>Из-за зависящего от концентрации связывания линаглиптина с ДПП-4, фармакокинетика лин</w:t>
      </w:r>
      <w:r w:rsidR="00F05924">
        <w:t>аглиптина, не является линейной</w:t>
      </w:r>
      <w:r>
        <w:t xml:space="preserve"> для доз от 1 мг до 600 мг </w:t>
      </w:r>
      <w:r>
        <w:fldChar w:fldCharType="begin"/>
      </w:r>
      <w:r>
        <w:instrText xml:space="preserve"> ADDIN ZOTERO_ITEM CSL_CITATION {"citationID":"I6m4O9Oh","properties":{"formattedCitation":"[4]","plainCitation":"[4]","noteIndex":0},"citationItems":[{"id":3014,"uris":["http://zotero.org/users/5483459/items/GEX9J9W2"],"itemData":{"id":3014,"type":"document","title":"U.S. Food and Drug Administration. Drug Approval Package. Tradjenta (Linagliptin)  tablets. Company:  Boehringer Ingelheim Pharmaceuticals, Inc. Medical Review. Application No.:  201280 Approval Date: 04.03.2011"}}],"schema":"https://github.com/citation-style-language/schema/raw/master/csl-citation.json"} </w:instrText>
      </w:r>
      <w:r>
        <w:fldChar w:fldCharType="separate"/>
      </w:r>
      <w:r w:rsidRPr="00EA59C6">
        <w:t>[</w:t>
      </w:r>
      <w:r w:rsidR="00F05924">
        <w:t xml:space="preserve">1, </w:t>
      </w:r>
      <w:r w:rsidRPr="00EA59C6">
        <w:t>4]</w:t>
      </w:r>
      <w:r>
        <w:fldChar w:fldCharType="end"/>
      </w:r>
      <w:r>
        <w:t>.</w:t>
      </w:r>
    </w:p>
    <w:p w14:paraId="5E085C4F" w14:textId="77777777" w:rsidR="004B1452" w:rsidRPr="00E75618" w:rsidRDefault="004B1452" w:rsidP="004B1452">
      <w:pPr>
        <w:pStyle w:val="3"/>
        <w:spacing w:after="240"/>
        <w:rPr>
          <w:rFonts w:ascii="Times New Roman" w:hAnsi="Times New Roman"/>
          <w:bCs w:val="0"/>
          <w:szCs w:val="24"/>
        </w:rPr>
      </w:pPr>
      <w:bookmarkStart w:id="183" w:name="_Toc139361990"/>
      <w:r w:rsidRPr="00E75618">
        <w:rPr>
          <w:rFonts w:ascii="Times New Roman" w:hAnsi="Times New Roman"/>
          <w:bCs w:val="0"/>
          <w:szCs w:val="24"/>
        </w:rPr>
        <w:lastRenderedPageBreak/>
        <w:t>4.</w:t>
      </w:r>
      <w:r>
        <w:rPr>
          <w:rFonts w:ascii="Times New Roman" w:hAnsi="Times New Roman"/>
          <w:bCs w:val="0"/>
          <w:szCs w:val="24"/>
        </w:rPr>
        <w:t>1.6</w:t>
      </w:r>
      <w:r w:rsidRPr="00E75618">
        <w:rPr>
          <w:rFonts w:ascii="Times New Roman" w:hAnsi="Times New Roman"/>
          <w:bCs w:val="0"/>
          <w:szCs w:val="24"/>
        </w:rPr>
        <w:t>. Фармакокинетика у особых групп пациентов</w:t>
      </w:r>
      <w:bookmarkEnd w:id="182"/>
      <w:bookmarkEnd w:id="183"/>
    </w:p>
    <w:p w14:paraId="01CA3857" w14:textId="77777777" w:rsidR="004B1452" w:rsidRPr="00E75618" w:rsidRDefault="004B1452" w:rsidP="0049695C">
      <w:pPr>
        <w:pStyle w:val="4"/>
        <w:spacing w:after="240"/>
        <w:rPr>
          <w:rFonts w:ascii="Times New Roman" w:hAnsi="Times New Roman"/>
          <w:color w:val="000000" w:themeColor="text1"/>
          <w:sz w:val="24"/>
          <w:szCs w:val="24"/>
        </w:rPr>
      </w:pPr>
      <w:bookmarkStart w:id="184" w:name="_Toc52190582"/>
      <w:bookmarkStart w:id="185" w:name="_Toc139361991"/>
      <w:r w:rsidRPr="00E75618">
        <w:rPr>
          <w:rFonts w:ascii="Times New Roman" w:hAnsi="Times New Roman"/>
          <w:color w:val="000000" w:themeColor="text1"/>
          <w:sz w:val="24"/>
          <w:szCs w:val="24"/>
        </w:rPr>
        <w:t>4.</w:t>
      </w:r>
      <w:r>
        <w:rPr>
          <w:rFonts w:ascii="Times New Roman" w:hAnsi="Times New Roman"/>
          <w:color w:val="000000" w:themeColor="text1"/>
          <w:sz w:val="24"/>
          <w:szCs w:val="24"/>
        </w:rPr>
        <w:t>1.6</w:t>
      </w:r>
      <w:r w:rsidRPr="00E75618">
        <w:rPr>
          <w:rFonts w:ascii="Times New Roman" w:hAnsi="Times New Roman"/>
          <w:color w:val="000000" w:themeColor="text1"/>
          <w:sz w:val="24"/>
          <w:szCs w:val="24"/>
        </w:rPr>
        <w:t>.1. В</w:t>
      </w:r>
      <w:r>
        <w:rPr>
          <w:rFonts w:ascii="Times New Roman" w:hAnsi="Times New Roman"/>
          <w:color w:val="000000" w:themeColor="text1"/>
          <w:sz w:val="24"/>
          <w:szCs w:val="24"/>
        </w:rPr>
        <w:t>лияние в</w:t>
      </w:r>
      <w:r w:rsidRPr="00E75618">
        <w:rPr>
          <w:rFonts w:ascii="Times New Roman" w:hAnsi="Times New Roman"/>
          <w:color w:val="000000" w:themeColor="text1"/>
          <w:sz w:val="24"/>
          <w:szCs w:val="24"/>
        </w:rPr>
        <w:t>озраст</w:t>
      </w:r>
      <w:r>
        <w:rPr>
          <w:rFonts w:ascii="Times New Roman" w:hAnsi="Times New Roman"/>
          <w:color w:val="000000" w:themeColor="text1"/>
          <w:sz w:val="24"/>
          <w:szCs w:val="24"/>
        </w:rPr>
        <w:t>а</w:t>
      </w:r>
      <w:r w:rsidRPr="00E75618">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массы тела, </w:t>
      </w:r>
      <w:r w:rsidRPr="00E75618">
        <w:rPr>
          <w:rFonts w:ascii="Times New Roman" w:hAnsi="Times New Roman"/>
          <w:color w:val="000000" w:themeColor="text1"/>
          <w:sz w:val="24"/>
          <w:szCs w:val="24"/>
        </w:rPr>
        <w:t>пол</w:t>
      </w:r>
      <w:r>
        <w:rPr>
          <w:rFonts w:ascii="Times New Roman" w:hAnsi="Times New Roman"/>
          <w:color w:val="000000" w:themeColor="text1"/>
          <w:sz w:val="24"/>
          <w:szCs w:val="24"/>
        </w:rPr>
        <w:t>а</w:t>
      </w:r>
      <w:r w:rsidRPr="00E75618">
        <w:rPr>
          <w:rFonts w:ascii="Times New Roman" w:hAnsi="Times New Roman"/>
          <w:color w:val="000000" w:themeColor="text1"/>
          <w:sz w:val="24"/>
          <w:szCs w:val="24"/>
        </w:rPr>
        <w:t xml:space="preserve"> и рас</w:t>
      </w:r>
      <w:bookmarkEnd w:id="184"/>
      <w:r>
        <w:rPr>
          <w:rFonts w:ascii="Times New Roman" w:hAnsi="Times New Roman"/>
          <w:color w:val="000000" w:themeColor="text1"/>
          <w:sz w:val="24"/>
          <w:szCs w:val="24"/>
        </w:rPr>
        <w:t>ы</w:t>
      </w:r>
      <w:bookmarkEnd w:id="185"/>
    </w:p>
    <w:p w14:paraId="45E01BD3" w14:textId="77777777" w:rsidR="004B1452" w:rsidRDefault="004B1452" w:rsidP="00F05924">
      <w:pPr>
        <w:pStyle w:val="affb"/>
        <w:spacing w:before="0" w:after="0" w:line="240" w:lineRule="auto"/>
        <w:rPr>
          <w:rStyle w:val="ac"/>
        </w:rPr>
      </w:pPr>
      <w:bookmarkStart w:id="186" w:name="_Toc52190583"/>
      <w:r w:rsidRPr="00282493">
        <w:rPr>
          <w:rStyle w:val="ac"/>
        </w:rPr>
        <w:t xml:space="preserve">Влияние пола </w:t>
      </w:r>
    </w:p>
    <w:p w14:paraId="45AFE14E" w14:textId="77777777" w:rsidR="00F05924" w:rsidRDefault="00F05924" w:rsidP="00F05924">
      <w:pPr>
        <w:ind w:firstLine="709"/>
        <w:rPr>
          <w:rStyle w:val="ac"/>
          <w:b w:val="0"/>
          <w:bCs w:val="0"/>
        </w:rPr>
      </w:pPr>
    </w:p>
    <w:p w14:paraId="41984CAA" w14:textId="7F865281" w:rsidR="004B1452" w:rsidRDefault="004B1452" w:rsidP="00F05924">
      <w:pPr>
        <w:ind w:firstLine="709"/>
        <w:rPr>
          <w:rStyle w:val="ac"/>
          <w:b w:val="0"/>
          <w:bCs w:val="0"/>
        </w:rPr>
      </w:pPr>
      <w:r w:rsidRPr="00C215BA">
        <w:rPr>
          <w:rStyle w:val="ac"/>
          <w:b w:val="0"/>
          <w:bCs w:val="0"/>
        </w:rPr>
        <w:t xml:space="preserve">В популяционном фармакокинетическом </w:t>
      </w:r>
      <w:r w:rsidR="004D6A0F">
        <w:rPr>
          <w:rStyle w:val="ac"/>
          <w:b w:val="0"/>
          <w:bCs w:val="0"/>
        </w:rPr>
        <w:t>исследовании</w:t>
      </w:r>
      <w:r w:rsidR="00F05924">
        <w:rPr>
          <w:rStyle w:val="ac"/>
          <w:b w:val="0"/>
          <w:bCs w:val="0"/>
        </w:rPr>
        <w:t xml:space="preserve"> с</w:t>
      </w:r>
      <w:r w:rsidRPr="00C215BA">
        <w:rPr>
          <w:rStyle w:val="ac"/>
          <w:b w:val="0"/>
          <w:bCs w:val="0"/>
        </w:rPr>
        <w:t xml:space="preserve"> участие</w:t>
      </w:r>
      <w:r w:rsidR="00F05924">
        <w:rPr>
          <w:rStyle w:val="ac"/>
          <w:b w:val="0"/>
          <w:bCs w:val="0"/>
        </w:rPr>
        <w:t>м 459 пациентов</w:t>
      </w:r>
      <w:r w:rsidRPr="00C215BA">
        <w:rPr>
          <w:rStyle w:val="ac"/>
          <w:b w:val="0"/>
          <w:bCs w:val="0"/>
        </w:rPr>
        <w:t xml:space="preserve"> </w:t>
      </w:r>
      <w:r w:rsidR="00A0598A">
        <w:rPr>
          <w:rStyle w:val="ac"/>
          <w:b w:val="0"/>
          <w:bCs w:val="0"/>
        </w:rPr>
        <w:t>оценивалось влияние по</w:t>
      </w:r>
      <w:r w:rsidR="00A35E17">
        <w:rPr>
          <w:rStyle w:val="ac"/>
          <w:b w:val="0"/>
          <w:bCs w:val="0"/>
        </w:rPr>
        <w:t>л</w:t>
      </w:r>
      <w:r w:rsidR="00A0598A">
        <w:rPr>
          <w:rStyle w:val="ac"/>
          <w:b w:val="0"/>
          <w:bCs w:val="0"/>
        </w:rPr>
        <w:t xml:space="preserve">а и веса на фармакокинетические параметры линаглиптина. </w:t>
      </w:r>
      <w:r w:rsidR="00F05924">
        <w:rPr>
          <w:rStyle w:val="ac"/>
          <w:b w:val="0"/>
          <w:bCs w:val="0"/>
        </w:rPr>
        <w:t>Разница</w:t>
      </w:r>
      <w:r w:rsidRPr="00C215BA">
        <w:rPr>
          <w:rStyle w:val="ac"/>
          <w:b w:val="0"/>
          <w:bCs w:val="0"/>
        </w:rPr>
        <w:t xml:space="preserve"> в экспозиции </w:t>
      </w:r>
      <w:r w:rsidR="00A0598A">
        <w:rPr>
          <w:rStyle w:val="ac"/>
          <w:b w:val="0"/>
          <w:bCs w:val="0"/>
        </w:rPr>
        <w:t xml:space="preserve">линаглиптина у женщин была на </w:t>
      </w:r>
      <w:r w:rsidRPr="00C215BA">
        <w:rPr>
          <w:rStyle w:val="ac"/>
          <w:b w:val="0"/>
          <w:bCs w:val="0"/>
        </w:rPr>
        <w:t>9% выше, чем у мужчин</w:t>
      </w:r>
      <w:r w:rsidR="00A35E17">
        <w:rPr>
          <w:rStyle w:val="ac"/>
          <w:b w:val="0"/>
          <w:bCs w:val="0"/>
        </w:rPr>
        <w:t xml:space="preserve"> и не расценен</w:t>
      </w:r>
      <w:r w:rsidR="004D6A0F">
        <w:rPr>
          <w:rStyle w:val="ac"/>
          <w:b w:val="0"/>
          <w:bCs w:val="0"/>
        </w:rPr>
        <w:t>а</w:t>
      </w:r>
      <w:r w:rsidR="00A35E17">
        <w:rPr>
          <w:rStyle w:val="ac"/>
          <w:b w:val="0"/>
          <w:bCs w:val="0"/>
        </w:rPr>
        <w:t>, как клинически значим</w:t>
      </w:r>
      <w:r w:rsidR="004D6A0F">
        <w:rPr>
          <w:rStyle w:val="ac"/>
          <w:b w:val="0"/>
          <w:bCs w:val="0"/>
        </w:rPr>
        <w:t>ая</w:t>
      </w:r>
      <w:r w:rsidRPr="00C215BA">
        <w:rPr>
          <w:rStyle w:val="ac"/>
          <w:b w:val="0"/>
          <w:bCs w:val="0"/>
        </w:rPr>
        <w:t xml:space="preserve">. Влияние веса было менее 20% </w:t>
      </w:r>
      <w:r w:rsidR="00A35E17">
        <w:rPr>
          <w:rStyle w:val="ac"/>
          <w:b w:val="0"/>
          <w:bCs w:val="0"/>
        </w:rPr>
        <w:t>и</w:t>
      </w:r>
      <w:r w:rsidRPr="00C215BA">
        <w:rPr>
          <w:rStyle w:val="ac"/>
          <w:b w:val="0"/>
          <w:bCs w:val="0"/>
        </w:rPr>
        <w:t xml:space="preserve"> не имеет клинического значения</w:t>
      </w:r>
      <w:r w:rsidR="00F05924">
        <w:rPr>
          <w:rStyle w:val="ac"/>
          <w:b w:val="0"/>
          <w:bCs w:val="0"/>
        </w:rPr>
        <w:t>.</w:t>
      </w:r>
    </w:p>
    <w:p w14:paraId="5F182A61" w14:textId="77777777" w:rsidR="00F05924" w:rsidRPr="00E17A0A" w:rsidRDefault="00F05924" w:rsidP="00F05924">
      <w:pPr>
        <w:ind w:firstLine="709"/>
        <w:rPr>
          <w:rStyle w:val="ac"/>
          <w:b w:val="0"/>
          <w:bCs w:val="0"/>
        </w:rPr>
      </w:pPr>
    </w:p>
    <w:p w14:paraId="0AC1EC87" w14:textId="77777777" w:rsidR="004B1452" w:rsidRDefault="004B1452" w:rsidP="00F05924">
      <w:pPr>
        <w:pStyle w:val="affb"/>
        <w:spacing w:before="0" w:after="0" w:line="240" w:lineRule="auto"/>
        <w:rPr>
          <w:rStyle w:val="ac"/>
        </w:rPr>
      </w:pPr>
      <w:r w:rsidRPr="00470A4F">
        <w:rPr>
          <w:rStyle w:val="ac"/>
        </w:rPr>
        <w:t xml:space="preserve">Влияние расы </w:t>
      </w:r>
    </w:p>
    <w:p w14:paraId="263FEC06" w14:textId="77777777" w:rsidR="00F05924" w:rsidRDefault="00F05924" w:rsidP="00F05924">
      <w:pPr>
        <w:ind w:firstLine="851"/>
        <w:rPr>
          <w:rStyle w:val="ac"/>
          <w:b w:val="0"/>
          <w:bCs w:val="0"/>
        </w:rPr>
      </w:pPr>
    </w:p>
    <w:p w14:paraId="4C9BB78E" w14:textId="2A9F7983" w:rsidR="004B1452" w:rsidRPr="00F47D12" w:rsidRDefault="004B1452" w:rsidP="00F05924">
      <w:pPr>
        <w:ind w:firstLine="709"/>
        <w:rPr>
          <w:rStyle w:val="ac"/>
          <w:b w:val="0"/>
          <w:bCs w:val="0"/>
        </w:rPr>
      </w:pPr>
      <w:r w:rsidRPr="00F47D12">
        <w:rPr>
          <w:rStyle w:val="ac"/>
          <w:b w:val="0"/>
          <w:bCs w:val="0"/>
        </w:rPr>
        <w:t>На основании комплексного анализа имеющихся фармакокинетических данных расовая принадлежность не оказ</w:t>
      </w:r>
      <w:r w:rsidR="00BA6AAD">
        <w:rPr>
          <w:rStyle w:val="ac"/>
          <w:b w:val="0"/>
          <w:bCs w:val="0"/>
        </w:rPr>
        <w:t>ывает</w:t>
      </w:r>
      <w:r w:rsidRPr="00F47D12">
        <w:rPr>
          <w:rStyle w:val="ac"/>
          <w:b w:val="0"/>
          <w:bCs w:val="0"/>
        </w:rPr>
        <w:t xml:space="preserve"> влияния на концентрацию линаглиптина в плазме крови</w:t>
      </w:r>
      <w:r w:rsidR="004D6A0F">
        <w:rPr>
          <w:rStyle w:val="ac"/>
          <w:b w:val="0"/>
          <w:bCs w:val="0"/>
        </w:rPr>
        <w:t xml:space="preserve"> у</w:t>
      </w:r>
      <w:r w:rsidRPr="00F47D12">
        <w:rPr>
          <w:rStyle w:val="ac"/>
          <w:b w:val="0"/>
          <w:bCs w:val="0"/>
        </w:rPr>
        <w:t xml:space="preserve"> пациентов кавказского, латиноамериканского, африканского и азиатского происхождения. Кроме того, фармакокинетические характеристики линаглиптина были признаны сходными в специальных исследованиях I фазы у японских, китайских и кавказских здоровых добровольцев.</w:t>
      </w:r>
      <w:r>
        <w:rPr>
          <w:rStyle w:val="ac"/>
          <w:b w:val="0"/>
          <w:bCs w:val="0"/>
        </w:rPr>
        <w:t xml:space="preserve"> </w:t>
      </w:r>
      <w:r w:rsidRPr="00F47D12">
        <w:rPr>
          <w:rStyle w:val="ac"/>
          <w:b w:val="0"/>
          <w:bCs w:val="0"/>
        </w:rPr>
        <w:t>Корректировка доз</w:t>
      </w:r>
      <w:r w:rsidR="00BA6AAD">
        <w:rPr>
          <w:rStyle w:val="ac"/>
          <w:b w:val="0"/>
          <w:bCs w:val="0"/>
        </w:rPr>
        <w:t>ы</w:t>
      </w:r>
      <w:r w:rsidRPr="00F47D12">
        <w:rPr>
          <w:rStyle w:val="ac"/>
          <w:b w:val="0"/>
          <w:bCs w:val="0"/>
        </w:rPr>
        <w:t xml:space="preserve"> в зависимости от расовой принадлежности не требуется</w:t>
      </w:r>
      <w:r>
        <w:rPr>
          <w:rStyle w:val="ac"/>
          <w:b w:val="0"/>
          <w:bCs w:val="0"/>
        </w:rPr>
        <w:t xml:space="preserve"> </w:t>
      </w:r>
      <w:r>
        <w:rPr>
          <w:rStyle w:val="ac"/>
          <w:b w:val="0"/>
          <w:bCs w:val="0"/>
        </w:rPr>
        <w:fldChar w:fldCharType="begin"/>
      </w:r>
      <w:r>
        <w:rPr>
          <w:rStyle w:val="ac"/>
          <w:b w:val="0"/>
          <w:bCs w:val="0"/>
        </w:rPr>
        <w:instrText xml:space="preserve"> ADDIN ZOTERO_ITEM CSL_CITATION {"citationID":"DwRSyYVH","properties":{"formattedCitation":"[1]","plainCitation":"[1]","noteIndex":0},"citationItems":[{"id":3008,"uris":["http://zotero.org/users/5483459/items/A4YJC5H7"],"itemData":{"id":3008,"type":"document","title":"European  Medicines agency.Summary of product characteristics.Trajenta 5 mg film-coated tablets.First published: 06/10/2011. Last updated: 15/04/2013"}}],"schema":"https://github.com/citation-style-language/schema/raw/master/csl-citation.json"} </w:instrText>
      </w:r>
      <w:r>
        <w:rPr>
          <w:rStyle w:val="ac"/>
          <w:b w:val="0"/>
          <w:bCs w:val="0"/>
        </w:rPr>
        <w:fldChar w:fldCharType="separate"/>
      </w:r>
      <w:r w:rsidRPr="009868F9">
        <w:t>[1]</w:t>
      </w:r>
      <w:r>
        <w:rPr>
          <w:rStyle w:val="ac"/>
          <w:b w:val="0"/>
          <w:bCs w:val="0"/>
        </w:rPr>
        <w:fldChar w:fldCharType="end"/>
      </w:r>
      <w:r>
        <w:rPr>
          <w:rStyle w:val="ac"/>
          <w:b w:val="0"/>
          <w:bCs w:val="0"/>
        </w:rPr>
        <w:t>.</w:t>
      </w:r>
    </w:p>
    <w:p w14:paraId="0CDDAB7D" w14:textId="77777777" w:rsidR="004B1452" w:rsidRDefault="004B1452" w:rsidP="0049695C">
      <w:pPr>
        <w:pStyle w:val="4"/>
        <w:spacing w:after="240"/>
        <w:rPr>
          <w:rFonts w:ascii="Times New Roman" w:hAnsi="Times New Roman"/>
          <w:color w:val="000000" w:themeColor="text1"/>
          <w:sz w:val="24"/>
          <w:szCs w:val="24"/>
        </w:rPr>
      </w:pPr>
      <w:bookmarkStart w:id="187" w:name="_Toc139361992"/>
      <w:r w:rsidRPr="00F42555">
        <w:rPr>
          <w:rFonts w:ascii="Times New Roman" w:hAnsi="Times New Roman"/>
          <w:color w:val="000000" w:themeColor="text1"/>
          <w:sz w:val="24"/>
          <w:szCs w:val="24"/>
        </w:rPr>
        <w:t>4.</w:t>
      </w:r>
      <w:r>
        <w:rPr>
          <w:rFonts w:ascii="Times New Roman" w:hAnsi="Times New Roman"/>
          <w:color w:val="000000" w:themeColor="text1"/>
          <w:sz w:val="24"/>
          <w:szCs w:val="24"/>
        </w:rPr>
        <w:t>1.6</w:t>
      </w:r>
      <w:r w:rsidRPr="00F42555">
        <w:rPr>
          <w:rFonts w:ascii="Times New Roman" w:hAnsi="Times New Roman"/>
          <w:color w:val="000000" w:themeColor="text1"/>
          <w:sz w:val="24"/>
          <w:szCs w:val="24"/>
        </w:rPr>
        <w:t>.2. Почечная недостаточность</w:t>
      </w:r>
      <w:bookmarkEnd w:id="186"/>
      <w:bookmarkEnd w:id="187"/>
    </w:p>
    <w:p w14:paraId="77ECFB7A" w14:textId="4E5EC4EC" w:rsidR="004B1452" w:rsidRDefault="0007476F" w:rsidP="00BA6AAD">
      <w:pPr>
        <w:ind w:firstLine="709"/>
      </w:pPr>
      <w:r>
        <w:t>П</w:t>
      </w:r>
      <w:r w:rsidR="004B1452" w:rsidRPr="00436733">
        <w:t xml:space="preserve">роведено открытое исследование </w:t>
      </w:r>
      <w:r w:rsidR="00E06DE4">
        <w:t>по оценке ф</w:t>
      </w:r>
      <w:r w:rsidR="006D57FF">
        <w:t xml:space="preserve">армакокинетических параметров при </w:t>
      </w:r>
      <w:r w:rsidR="00E06DE4">
        <w:t>применени</w:t>
      </w:r>
      <w:r w:rsidR="006D57FF">
        <w:t>и</w:t>
      </w:r>
      <w:r w:rsidR="00E06DE4">
        <w:t xml:space="preserve"> </w:t>
      </w:r>
      <w:r w:rsidR="004B1452" w:rsidRPr="00436733">
        <w:t>многократных доз линаглиптина (5 мг) у больных с различной степенью хронической почечной недостаточности по сравнению с со здоровыми добровольцами (ClinicalTrials.gov Identifier: NCT02191228)</w:t>
      </w:r>
      <w:r w:rsidR="004B1452">
        <w:t xml:space="preserve"> </w:t>
      </w:r>
      <w:r w:rsidR="004B1452">
        <w:fldChar w:fldCharType="begin"/>
      </w:r>
      <w:r w:rsidR="004B1452">
        <w:instrText xml:space="preserve"> ADDIN ZOTERO_ITEM CSL_CITATION {"citationID":"Uga8FQw8","properties":{"formattedCitation":"[5]","plainCitation":"[5]","noteIndex":0},"citationItems":[{"id":3036,"uris":["http://zotero.org/users/5483459/items/B3HG7ALY"],"itemData":{"id":3036,"type":"report","abstract":"The main objective of this study was to assess the effect of normal and impaired renal function on the safety, pharmacokinetics, and pharmacodynamics of linagliptin following oral administration of 5 mg daily for 7 days (Groups 1 to 3), 5 mg daily for 10 days (Groups 6 and 7), or as a single dose (Groups 4 and 5)","genre":"Clinical trial registration","note":"submitted: July 15, 2014","number":"NCT02191228","publisher":"clinicaltrials.gov","source":"clinicaltrials.gov","title":"Pharmacokinetics, Pharmacodynamics, Safety and Tolerability of Single and Multiple 5 mg Doses of Linagliptin Tablets in Patients With Different Degrees of Renal Impairment in Comparison to Subjects With Normal Renal Function in a Monocentric, Open, Parallel-group, Phase I Trial","title-short":"Pharmacokinetics, Pharmacodynamics, Safety and Tolerability of Single and Multiple Doses of Linagliptin Tablets in Patients With Different Degrees of Renal Impairment in Comparison to Subjects With Normal Renal Function","URL":"https://clinicaltrials.gov/ct2/show/NCT02191228","author":[{"literal":"Boehringer Ingelheim"}],"accessed":{"date-parts":[["2022",12,2]]},"issued":{"date-parts":[["2014",7,15]]}}}],"schema":"https://github.com/citation-style-language/schema/raw/master/csl-citation.json"} </w:instrText>
      </w:r>
      <w:r w:rsidR="004B1452">
        <w:fldChar w:fldCharType="separate"/>
      </w:r>
      <w:r w:rsidR="004B1452" w:rsidRPr="00EA59C6">
        <w:t>[5]</w:t>
      </w:r>
      <w:r w:rsidR="004B1452">
        <w:fldChar w:fldCharType="end"/>
      </w:r>
      <w:r w:rsidR="004B1452">
        <w:t>.</w:t>
      </w:r>
    </w:p>
    <w:p w14:paraId="7B99F7ED" w14:textId="55D37489" w:rsidR="004B1452" w:rsidRDefault="004B1452" w:rsidP="004A277F">
      <w:pPr>
        <w:ind w:firstLine="709"/>
      </w:pPr>
      <w:r w:rsidRPr="00436733">
        <w:t>В исследование были включены пациенты с почечной недостаточностью, классифицированн</w:t>
      </w:r>
      <w:r w:rsidR="0007476F">
        <w:t>ой</w:t>
      </w:r>
      <w:r w:rsidRPr="00436733">
        <w:t xml:space="preserve"> по </w:t>
      </w:r>
      <w:r w:rsidR="006D57FF">
        <w:t>клирен</w:t>
      </w:r>
      <w:r w:rsidR="0079411A">
        <w:rPr>
          <w:lang w:val="en-US"/>
        </w:rPr>
        <w:t>c</w:t>
      </w:r>
      <w:r w:rsidR="00F6778D">
        <w:t>у креатинина (</w:t>
      </w:r>
      <w:r>
        <w:t>КК</w:t>
      </w:r>
      <w:r w:rsidR="00F6778D">
        <w:t>)</w:t>
      </w:r>
      <w:r>
        <w:t xml:space="preserve"> </w:t>
      </w:r>
      <w:r w:rsidR="0007476F">
        <w:t>как легкой степени</w:t>
      </w:r>
      <w:r>
        <w:t xml:space="preserve"> (от 50 до &lt;80 мл/мин), умеренно </w:t>
      </w:r>
      <w:r w:rsidR="0007476F">
        <w:t>тяжелой</w:t>
      </w:r>
      <w:r>
        <w:t xml:space="preserve"> (от 30 до &lt;50 мл/мин) и тяжел</w:t>
      </w:r>
      <w:r w:rsidR="0007476F">
        <w:t>ой</w:t>
      </w:r>
      <w:r>
        <w:t xml:space="preserve"> (&lt;30 мл/мин), а также </w:t>
      </w:r>
      <w:r w:rsidR="0007476F">
        <w:t>пациенты</w:t>
      </w:r>
      <w:r>
        <w:t xml:space="preserve"> с </w:t>
      </w:r>
      <w:r w:rsidR="00F6778D">
        <w:t>хронической почечной недостаточностью (</w:t>
      </w:r>
      <w:r>
        <w:t>ХПН</w:t>
      </w:r>
      <w:r w:rsidR="00F6778D">
        <w:t>)</w:t>
      </w:r>
      <w:r>
        <w:t>, находящи</w:t>
      </w:r>
      <w:r w:rsidR="0007476F">
        <w:t>е</w:t>
      </w:r>
      <w:r>
        <w:t>ся на гемодиализе. Кроме того, пациентов с СД2 и тяжелой почечн</w:t>
      </w:r>
      <w:r w:rsidR="0029133F">
        <w:t>ой</w:t>
      </w:r>
      <w:r>
        <w:t xml:space="preserve"> недостаточность</w:t>
      </w:r>
      <w:r w:rsidR="0029133F">
        <w:t>ю</w:t>
      </w:r>
      <w:r>
        <w:t xml:space="preserve"> (&lt;30 мл/мин) сравнивали с больными СД2 с нормальной функцией почек. </w:t>
      </w:r>
      <w:r w:rsidR="004A277F">
        <w:t>В</w:t>
      </w:r>
      <w:r>
        <w:t xml:space="preserve"> равновесном состоянии концентрация линаглиптина у пациентов с легкой почечной недостаточностью была сопоставим</w:t>
      </w:r>
      <w:r w:rsidR="00F6778D">
        <w:t>а</w:t>
      </w:r>
      <w:r>
        <w:t xml:space="preserve"> со здоровыми субъектами. При умеренной почечной недостаточности концентрация примерно в 1,7 раза уве</w:t>
      </w:r>
      <w:r w:rsidR="00F6778D">
        <w:t>л</w:t>
      </w:r>
      <w:r>
        <w:t xml:space="preserve">ичилась по сравнению с контролем. Концентрация у больных СД2 и тяжелой почечная недостаточностью увеличивается примерно в 1,4 раза по сравнению с больными СД2 с нормальной функцией почек. AUC линаглиптина у пациентов с терминальной почечной недостаточностью </w:t>
      </w:r>
      <w:r w:rsidR="00F6778D">
        <w:t xml:space="preserve">была </w:t>
      </w:r>
      <w:r w:rsidR="004A277F">
        <w:t>сопоставимой с</w:t>
      </w:r>
      <w:r w:rsidR="00F6778D">
        <w:t xml:space="preserve"> AUC </w:t>
      </w:r>
      <w:r w:rsidR="000F6082">
        <w:t>у пациентов</w:t>
      </w:r>
      <w:r>
        <w:t xml:space="preserve"> с умеренной или тяжелой почечной недостаточностью. Таким образом, не требуется корректировка дозы линаглиптина у пациентов с любой степенью почечной недостаточности </w:t>
      </w:r>
      <w:r>
        <w:fldChar w:fldCharType="begin"/>
      </w:r>
      <w:r>
        <w:instrText xml:space="preserve"> ADDIN ZOTERO_ITEM CSL_CITATION {"citationID":"GMI8BwrZ","properties":{"formattedCitation":"[1]","plainCitation":"[1]","noteIndex":0},"citationItems":[{"id":3008,"uris":["http://zotero.org/users/5483459/items/A4YJC5H7"],"itemData":{"id":3008,"type":"document","title":"European  Medicines agency.Summary of product characteristics.Trajenta 5 mg film-coated tablets.First published: 06/10/2011. Last updated: 15/04/2013"}}],"schema":"https://github.com/citation-style-language/schema/raw/master/csl-citation.json"} </w:instrText>
      </w:r>
      <w:r>
        <w:fldChar w:fldCharType="separate"/>
      </w:r>
      <w:r w:rsidRPr="004A3A34">
        <w:t>[1]</w:t>
      </w:r>
      <w:r>
        <w:fldChar w:fldCharType="end"/>
      </w:r>
      <w:r>
        <w:t>.</w:t>
      </w:r>
    </w:p>
    <w:p w14:paraId="2EC227D4" w14:textId="77777777" w:rsidR="004B1452" w:rsidRDefault="004B1452" w:rsidP="0049695C">
      <w:pPr>
        <w:pStyle w:val="4"/>
        <w:spacing w:after="240"/>
        <w:rPr>
          <w:rFonts w:ascii="Times New Roman" w:hAnsi="Times New Roman"/>
          <w:color w:val="000000" w:themeColor="text1"/>
          <w:sz w:val="24"/>
          <w:szCs w:val="24"/>
        </w:rPr>
      </w:pPr>
      <w:bookmarkStart w:id="188" w:name="_Toc52190584"/>
      <w:bookmarkStart w:id="189" w:name="_Toc139361993"/>
      <w:r>
        <w:rPr>
          <w:rFonts w:ascii="Times New Roman" w:hAnsi="Times New Roman"/>
          <w:color w:val="000000" w:themeColor="text1"/>
          <w:sz w:val="24"/>
          <w:szCs w:val="24"/>
        </w:rPr>
        <w:t>4</w:t>
      </w:r>
      <w:r w:rsidRPr="00F42555">
        <w:rPr>
          <w:rFonts w:ascii="Times New Roman" w:hAnsi="Times New Roman"/>
          <w:color w:val="000000" w:themeColor="text1"/>
          <w:sz w:val="24"/>
          <w:szCs w:val="24"/>
        </w:rPr>
        <w:t>.</w:t>
      </w:r>
      <w:r>
        <w:rPr>
          <w:rFonts w:ascii="Times New Roman" w:hAnsi="Times New Roman"/>
          <w:color w:val="000000" w:themeColor="text1"/>
          <w:sz w:val="24"/>
          <w:szCs w:val="24"/>
        </w:rPr>
        <w:t>1.6</w:t>
      </w:r>
      <w:r w:rsidRPr="00F42555">
        <w:rPr>
          <w:rFonts w:ascii="Times New Roman" w:hAnsi="Times New Roman"/>
          <w:color w:val="000000" w:themeColor="text1"/>
          <w:sz w:val="24"/>
          <w:szCs w:val="24"/>
        </w:rPr>
        <w:t>.3. Печеночная недостаточность</w:t>
      </w:r>
      <w:bookmarkEnd w:id="188"/>
      <w:bookmarkEnd w:id="189"/>
    </w:p>
    <w:p w14:paraId="697EBB17" w14:textId="0C3CB9AF" w:rsidR="004B1452" w:rsidRDefault="004A277F" w:rsidP="00EA777B">
      <w:pPr>
        <w:ind w:firstLine="709"/>
      </w:pPr>
      <w:r>
        <w:t>П</w:t>
      </w:r>
      <w:r w:rsidR="004B1452" w:rsidRPr="00436733">
        <w:t xml:space="preserve">роведено исследование оценки фармакокинетики линаглиптина (5 мг) у </w:t>
      </w:r>
      <w:r w:rsidR="00422CE6" w:rsidRPr="007E283E">
        <w:t>пациентов с печеночной недостаточностью легкой, средней и тяжелой степени (по классификации Чайлд-Пью)</w:t>
      </w:r>
      <w:r w:rsidR="00422CE6">
        <w:t xml:space="preserve"> </w:t>
      </w:r>
      <w:r w:rsidR="004B1452">
        <w:t xml:space="preserve">(ClinicalTrials.gov Identifier: NCT02183376) </w:t>
      </w:r>
      <w:r w:rsidR="004B1452">
        <w:fldChar w:fldCharType="begin"/>
      </w:r>
      <w:r w:rsidR="004B1452">
        <w:instrText xml:space="preserve"> ADDIN ZOTERO_ITEM CSL_CITATION {"citationID":"ojgwvldw","properties":{"formattedCitation":"[6]","plainCitation":"[6]","noteIndex":0},"citationItems":[{"id":3037,"uris":["http://zotero.org/users/5483459/items/3ZTQGXSZ"],"itemData":{"id":3037,"type":"report","abstract":"To investigate the influence of mild, moderate, and severe liver impairment on the pharmacokinetics and pharmacodynamics of linagliptin in comparison with a control group with normal hepatic function after single or multiple oral administration of 5 mg linagliptin tablets","genre":"Clinical trial registration","note":"submitted: July 4, 2014","number":"NCT02183376","publisher":"clinicaltrials.gov","source":"clinicaltrials.gov","title":"Pharmacokinetics and Pharmacodynamics of BI 1356 5 mg Once Daily in Male and Female Subjects With Different Degrees of Liver Impairment (Child Pugh Classification A-C) as Compared to Male and Female Healthy Subjects (a Non-blinded, Parallel Group Study of Phase I)","title-short":"Pharmacokinetics and Pharmacodynamics of BI 1356 in Subjects With Different Degrees of Liver Impairment as Compared to Healthy Subjects","URL":"https://clinicaltrials.gov/ct2/show/NCT02183376","author":[{"literal":"Boehringer Ingelheim"}],"accessed":{"date-parts":[["2022",12,2]]},"issued":{"date-parts":[["2014",7,4]]}}}],"schema":"https://github.com/citation-style-language/schema/raw/master/csl-citation.json"} </w:instrText>
      </w:r>
      <w:r w:rsidR="004B1452">
        <w:fldChar w:fldCharType="separate"/>
      </w:r>
      <w:r w:rsidR="004B1452" w:rsidRPr="00EA59C6">
        <w:t>[6]</w:t>
      </w:r>
      <w:r w:rsidR="004B1452">
        <w:fldChar w:fldCharType="end"/>
      </w:r>
      <w:r w:rsidR="004B1452">
        <w:t xml:space="preserve">. </w:t>
      </w:r>
      <w:r w:rsidR="00422CE6">
        <w:t>С</w:t>
      </w:r>
      <w:r w:rsidR="004B1452" w:rsidRPr="007E283E">
        <w:t>редние значения AUC и С</w:t>
      </w:r>
      <w:r w:rsidR="004B1452" w:rsidRPr="007E283E">
        <w:rPr>
          <w:vertAlign w:val="subscript"/>
          <w:lang w:val="en-US"/>
        </w:rPr>
        <w:t>max</w:t>
      </w:r>
      <w:r w:rsidR="004B1452" w:rsidRPr="007E283E">
        <w:t xml:space="preserve"> </w:t>
      </w:r>
      <w:r w:rsidR="004B1452" w:rsidRPr="007E283E">
        <w:lastRenderedPageBreak/>
        <w:t xml:space="preserve">линаглиптина после его многократного применения в дозе 5 мг были сходны с соответствующими значениями у здоровых </w:t>
      </w:r>
      <w:r w:rsidR="004B1452">
        <w:t>добровольцев</w:t>
      </w:r>
      <w:r w:rsidR="004B1452" w:rsidRPr="007E283E">
        <w:t>.</w:t>
      </w:r>
      <w:r w:rsidR="004B1452">
        <w:t xml:space="preserve"> Фармакокинетика линаглиптина лишь незначительно изменялась при болезнях печени. Отмечалось снижен</w:t>
      </w:r>
      <w:r w:rsidR="00422CE6">
        <w:t>ие</w:t>
      </w:r>
      <w:r w:rsidR="004B1452">
        <w:t xml:space="preserve"> концентраци</w:t>
      </w:r>
      <w:r w:rsidR="00422CE6">
        <w:t>и</w:t>
      </w:r>
      <w:r w:rsidR="004B1452">
        <w:t xml:space="preserve">  основного метаболита, однако это снижение не имеет клинического значения </w:t>
      </w:r>
      <w:r w:rsidR="004B1452">
        <w:fldChar w:fldCharType="begin"/>
      </w:r>
      <w:r w:rsidR="004B1452">
        <w:instrText xml:space="preserve"> ADDIN ZOTERO_ITEM CSL_CITATION {"citationID":"HPok3shA","properties":{"formattedCitation":"[2]","plainCitation":"[2]","noteIndex":0},"citationItems":[{"id":2939,"uris":["http://zotero.org/users/5483459/items/SJBZ4HU2"],"itemData":{"id":2939,"type":"document","title":"European  Medicines Agency.Assessment report Trajenta (linagliptin). Procedure No.: EMEA/H/C/002110/0000"}}],"schema":"https://github.com/citation-style-language/schema/raw/master/csl-citation.json"} </w:instrText>
      </w:r>
      <w:r w:rsidR="004B1452">
        <w:fldChar w:fldCharType="separate"/>
      </w:r>
      <w:r w:rsidR="004B1452" w:rsidRPr="002F1CA9">
        <w:t>[2]</w:t>
      </w:r>
      <w:r w:rsidR="004B1452">
        <w:fldChar w:fldCharType="end"/>
      </w:r>
      <w:r w:rsidR="004B1452">
        <w:t>.</w:t>
      </w:r>
    </w:p>
    <w:p w14:paraId="3DDC61B5" w14:textId="77777777" w:rsidR="004B1452" w:rsidRDefault="004B1452" w:rsidP="0049695C">
      <w:pPr>
        <w:pStyle w:val="4"/>
        <w:spacing w:after="240"/>
        <w:rPr>
          <w:rFonts w:ascii="Times New Roman" w:hAnsi="Times New Roman"/>
          <w:color w:val="000000" w:themeColor="text1"/>
          <w:sz w:val="24"/>
          <w:szCs w:val="24"/>
        </w:rPr>
      </w:pPr>
      <w:bookmarkStart w:id="190" w:name="_Toc139361994"/>
      <w:r>
        <w:rPr>
          <w:rFonts w:ascii="Times New Roman" w:hAnsi="Times New Roman"/>
          <w:color w:val="000000" w:themeColor="text1"/>
          <w:sz w:val="24"/>
          <w:szCs w:val="24"/>
        </w:rPr>
        <w:t>4</w:t>
      </w:r>
      <w:r w:rsidRPr="00F42555">
        <w:rPr>
          <w:rFonts w:ascii="Times New Roman" w:hAnsi="Times New Roman"/>
          <w:color w:val="000000" w:themeColor="text1"/>
          <w:sz w:val="24"/>
          <w:szCs w:val="24"/>
        </w:rPr>
        <w:t>.</w:t>
      </w:r>
      <w:r>
        <w:rPr>
          <w:rFonts w:ascii="Times New Roman" w:hAnsi="Times New Roman"/>
          <w:color w:val="000000" w:themeColor="text1"/>
          <w:sz w:val="24"/>
          <w:szCs w:val="24"/>
        </w:rPr>
        <w:t>1.6</w:t>
      </w:r>
      <w:r w:rsidRPr="00F42555">
        <w:rPr>
          <w:rFonts w:ascii="Times New Roman" w:hAnsi="Times New Roman"/>
          <w:color w:val="000000" w:themeColor="text1"/>
          <w:sz w:val="24"/>
          <w:szCs w:val="24"/>
        </w:rPr>
        <w:t>.</w:t>
      </w:r>
      <w:r>
        <w:rPr>
          <w:rFonts w:ascii="Times New Roman" w:hAnsi="Times New Roman"/>
          <w:color w:val="000000" w:themeColor="text1"/>
          <w:sz w:val="24"/>
          <w:szCs w:val="24"/>
        </w:rPr>
        <w:t>4</w:t>
      </w:r>
      <w:r w:rsidRPr="00F42555">
        <w:rPr>
          <w:rFonts w:ascii="Times New Roman" w:hAnsi="Times New Roman"/>
          <w:color w:val="000000" w:themeColor="text1"/>
          <w:sz w:val="24"/>
          <w:szCs w:val="24"/>
        </w:rPr>
        <w:t xml:space="preserve">. </w:t>
      </w:r>
      <w:r>
        <w:rPr>
          <w:rFonts w:ascii="Times New Roman" w:hAnsi="Times New Roman"/>
          <w:color w:val="000000" w:themeColor="text1"/>
          <w:sz w:val="24"/>
          <w:szCs w:val="24"/>
        </w:rPr>
        <w:t>Сахарный диабет 2 типа</w:t>
      </w:r>
      <w:bookmarkEnd w:id="190"/>
    </w:p>
    <w:p w14:paraId="4A9D3C5D" w14:textId="77777777" w:rsidR="004B1452" w:rsidRDefault="004B1452" w:rsidP="00422CE6">
      <w:pPr>
        <w:ind w:firstLine="709"/>
      </w:pPr>
      <w:r w:rsidRPr="008457A6">
        <w:t xml:space="preserve">Линаглиптин продемонстрировал нелинейный фармакокинетический профиль у пациентов с СД2, что согласуется с результатами предыдущих исследований у здоровых </w:t>
      </w:r>
      <w:r>
        <w:t xml:space="preserve">добровольцев </w:t>
      </w:r>
      <w:r>
        <w:fldChar w:fldCharType="begin"/>
      </w:r>
      <w:r>
        <w:instrText xml:space="preserve"> ADDIN ZOTERO_ITEM CSL_CITATION {"citationID":"2WcmrCHH","properties":{"formattedCitation":"[7]","plainCitation":"[7]","noteIndex":0},"citationItems":[{"id":3047,"uris":["http://zotero.org/users/5483459/items/GWUY2K6T"],"itemData":{"id":3047,"type":"article-journal","abstract":"Linagliptin is a dipeptidyl peptidase (DPP)-4 inhibitor, used to treat type 2 diabetes mellitus (T2DM). Population pharmacokinetic and pharmacodynamic analyses were performed to characterize the impact of clinically relevant intrinsic/extrinsic factors (covariates) on linagliptin exposure and DPP-4 inhibition in patients with T2DM.","container-title":"Clinical Pharmacokinetics","DOI":"10.1007/s40262-014-0232-4","ISSN":"1179-1926","issue":"7","journalAbbreviation":"Clin Pharmacokinet","language":"en","page":"737-750","source":"Springer Link","title":"Population Pharmacokinetics and Pharmacodynamics of Linagliptin in Patients with Type 2 Diabetes Mellitus","volume":"54","author":[{"family":"Retlich","given":"Silke"},{"family":"Duval","given":"Vincent"},{"family":"Graefe-Mody","given":"Ulrike"},{"family":"Friedrich","given":"Christian"},{"family":"Patel","given":"Sanjay"},{"family":"Jaehde","given":"Ulrich"},{"family":"Staab","given":"Alexander"}],"issued":{"date-parts":[["2015",7,1]]}}}],"schema":"https://github.com/citation-style-language/schema/raw/master/csl-citation.json"} </w:instrText>
      </w:r>
      <w:r>
        <w:fldChar w:fldCharType="separate"/>
      </w:r>
      <w:r w:rsidRPr="00857E99">
        <w:t>[7]</w:t>
      </w:r>
      <w:r>
        <w:fldChar w:fldCharType="end"/>
      </w:r>
      <w:r>
        <w:t>.</w:t>
      </w:r>
    </w:p>
    <w:p w14:paraId="0D218CF0" w14:textId="104A35D1" w:rsidR="004B1452" w:rsidRDefault="004B1452" w:rsidP="00422CE6">
      <w:pPr>
        <w:ind w:firstLine="709"/>
      </w:pPr>
      <w:r w:rsidRPr="003D60F1">
        <w:t xml:space="preserve">Фармакокинетические характеристики линаглиптина позволяют назначать его один раз в сутки широкому кругу пациентов с сахарным диабетом 2 типа. В отличие от большинства других ингибиторов дипептидилпептидазы-4, линаглиптин в основном выводится непочечным путем и у пациентов с почечной недостаточностью коррекции дозы не требуется. Кроме того, </w:t>
      </w:r>
      <w:r w:rsidR="00134FD6">
        <w:t>концентрация</w:t>
      </w:r>
      <w:r w:rsidRPr="003D60F1">
        <w:t xml:space="preserve"> линаглиптина существенно не изменяется у пациентов с печеночной недостаточностью, и для таких пациентов коррекция дозы не требуется. Линаглиптин обладает уникальными фармакологическими свойствами в классе ингибиторов дипептидилпептидазы-4. Доза линаглиптина 5 мг </w:t>
      </w:r>
      <w:r w:rsidR="00134FD6">
        <w:t>возможна к применению</w:t>
      </w:r>
      <w:r w:rsidRPr="003D60F1">
        <w:t xml:space="preserve"> </w:t>
      </w:r>
      <w:r w:rsidR="00134FD6">
        <w:t xml:space="preserve">у </w:t>
      </w:r>
      <w:r w:rsidRPr="003D60F1">
        <w:t>пациентов с сахарным диабетом 2 типа независимо от их этнической принадлежности</w:t>
      </w:r>
      <w:r w:rsidR="00134FD6">
        <w:t>,</w:t>
      </w:r>
      <w:r w:rsidRPr="003D60F1">
        <w:t xml:space="preserve"> наличия почечной или печеночной недостаточности</w:t>
      </w:r>
      <w:r>
        <w:t xml:space="preserve"> </w:t>
      </w:r>
      <w:r>
        <w:fldChar w:fldCharType="begin"/>
      </w:r>
      <w:r>
        <w:instrText xml:space="preserve"> ADDIN ZOTERO_ITEM CSL_CITATION {"citationID":"FeOw8fCz","properties":{"formattedCitation":"[8]","plainCitation":"[8]","noteIndex":0},"citationItems":[{"id":3044,"uris":["http://zotero.org/users/5483459/items/4F5ZTDHG"],"itemData":{"id":3044,"type":"artic</w:instrText>
      </w:r>
      <w:r>
        <w:rPr>
          <w:rFonts w:hint="eastAsia"/>
        </w:rPr>
        <w:instrText>le-journal","abstract":"Our aims were to summarize the clinical pharmacokinetics and pharmacodynamics of the dipeptidyl</w:instrText>
      </w:r>
      <w:r>
        <w:rPr>
          <w:rFonts w:hint="eastAsia"/>
        </w:rPr>
        <w:instrText>‐</w:instrText>
      </w:r>
      <w:r>
        <w:rPr>
          <w:rFonts w:hint="eastAsia"/>
        </w:rPr>
        <w:instrText>peptidase</w:instrText>
      </w:r>
      <w:r>
        <w:rPr>
          <w:rFonts w:hint="eastAsia"/>
        </w:rPr>
        <w:instrText>‐</w:instrText>
      </w:r>
      <w:r>
        <w:rPr>
          <w:rFonts w:hint="eastAsia"/>
        </w:rPr>
        <w:instrText>4 inhibitor, linagliptin, and to consider how these characteristics influence its clinical utility. Differences between linagliptin and other dipeptidyl</w:instrText>
      </w:r>
      <w:r>
        <w:rPr>
          <w:rFonts w:hint="eastAsia"/>
        </w:rPr>
        <w:instrText>‐</w:instrText>
      </w:r>
      <w:r>
        <w:rPr>
          <w:rFonts w:hint="eastAsia"/>
        </w:rPr>
        <w:instrText>peptidase</w:instrText>
      </w:r>
      <w:r>
        <w:rPr>
          <w:rFonts w:hint="eastAsia"/>
        </w:rPr>
        <w:instrText>‐</w:instrText>
      </w:r>
      <w:r>
        <w:rPr>
          <w:rFonts w:hint="eastAsia"/>
        </w:rPr>
        <w:instrText>4 inhibitors were also considered, in addition to the influence of Asian race on the pharmacology of linagliptin. Linagliptin has a xanthine</w:instrText>
      </w:r>
      <w:r>
        <w:rPr>
          <w:rFonts w:hint="eastAsia"/>
        </w:rPr>
        <w:instrText>‐</w:instrText>
      </w:r>
      <w:r>
        <w:rPr>
          <w:rFonts w:hint="eastAsia"/>
        </w:rPr>
        <w:instrText>based structure, a difference that might account for some of the pharmacological differences observed with linagliptin versus other dipeptidyl</w:instrText>
      </w:r>
      <w:r>
        <w:rPr>
          <w:rFonts w:hint="eastAsia"/>
        </w:rPr>
        <w:instrText>‐</w:instrText>
      </w:r>
      <w:r>
        <w:rPr>
          <w:rFonts w:hint="eastAsia"/>
        </w:rPr>
        <w:instrText>peptidase</w:instrText>
      </w:r>
      <w:r>
        <w:rPr>
          <w:rFonts w:hint="eastAsia"/>
        </w:rPr>
        <w:instrText>‐</w:instrText>
      </w:r>
      <w:r>
        <w:rPr>
          <w:rFonts w:hint="eastAsia"/>
        </w:rPr>
        <w:instrText>4 inhibitors. The long terminal half</w:instrText>
      </w:r>
      <w:r>
        <w:rPr>
          <w:rFonts w:hint="eastAsia"/>
        </w:rPr>
        <w:instrText>‐</w:instrText>
      </w:r>
      <w:r>
        <w:rPr>
          <w:rFonts w:hint="eastAsia"/>
        </w:rPr>
        <w:instrText>life of linagliptin results from its strong binding to dipeptidyl</w:instrText>
      </w:r>
      <w:r>
        <w:rPr>
          <w:rFonts w:hint="eastAsia"/>
        </w:rPr>
        <w:instrText>‐</w:instrText>
      </w:r>
      <w:r>
        <w:rPr>
          <w:rFonts w:hint="eastAsia"/>
        </w:rPr>
        <w:instrText>peptidase</w:instrText>
      </w:r>
      <w:r>
        <w:rPr>
          <w:rFonts w:hint="eastAsia"/>
        </w:rPr>
        <w:instrText>‐</w:instrText>
      </w:r>
      <w:r>
        <w:rPr>
          <w:rFonts w:hint="eastAsia"/>
        </w:rPr>
        <w:instrText>4. Despite this, linagliptin shows a short accumulation half</w:instrText>
      </w:r>
      <w:r>
        <w:rPr>
          <w:rFonts w:hint="eastAsia"/>
        </w:rPr>
        <w:instrText>‐</w:instrText>
      </w:r>
      <w:r>
        <w:rPr>
          <w:rFonts w:hint="eastAsia"/>
        </w:rPr>
        <w:instrText>life, as a result of saturable, high</w:instrText>
      </w:r>
      <w:r>
        <w:rPr>
          <w:rFonts w:hint="eastAsia"/>
        </w:rPr>
        <w:instrText>‐</w:instrText>
      </w:r>
      <w:r>
        <w:rPr>
          <w:rFonts w:hint="eastAsia"/>
        </w:rPr>
        <w:instrText>affinity binding to dipeptidyl</w:instrText>
      </w:r>
      <w:r>
        <w:rPr>
          <w:rFonts w:hint="eastAsia"/>
        </w:rPr>
        <w:instrText>‐</w:instrText>
      </w:r>
      <w:r>
        <w:rPr>
          <w:rFonts w:hint="eastAsia"/>
        </w:rPr>
        <w:instrText>peptidase</w:instrText>
      </w:r>
      <w:r>
        <w:rPr>
          <w:rFonts w:hint="eastAsia"/>
        </w:rPr>
        <w:instrText>‐</w:instrText>
      </w:r>
      <w:r>
        <w:rPr>
          <w:rFonts w:hint="eastAsia"/>
        </w:rPr>
        <w:instrText>4. The pharmacokinetic characteristics of linagliptin make it suitable for once</w:instrText>
      </w:r>
      <w:r>
        <w:rPr>
          <w:rFonts w:hint="eastAsia"/>
        </w:rPr>
        <w:instrText>‐</w:instrText>
      </w:r>
      <w:r>
        <w:rPr>
          <w:rFonts w:hint="eastAsia"/>
        </w:rPr>
        <w:instrText>daily dosing in a broad range of patients with type 2 diabetes mellitus. Unlike most other dipeptidyl</w:instrText>
      </w:r>
      <w:r>
        <w:rPr>
          <w:rFonts w:hint="eastAsia"/>
        </w:rPr>
        <w:instrText>‐</w:instrText>
      </w:r>
      <w:r>
        <w:rPr>
          <w:rFonts w:hint="eastAsia"/>
        </w:rPr>
        <w:instrText>peptidase</w:instrText>
      </w:r>
      <w:r>
        <w:rPr>
          <w:rFonts w:hint="eastAsia"/>
        </w:rPr>
        <w:instrText>‐</w:instrText>
      </w:r>
      <w:r>
        <w:rPr>
          <w:rFonts w:hint="eastAsia"/>
        </w:rPr>
        <w:instrText>4 inhibitors, linagliptin has a largely non</w:instrText>
      </w:r>
      <w:r>
        <w:rPr>
          <w:rFonts w:hint="eastAsia"/>
        </w:rPr>
        <w:instrText>‐</w:instrText>
      </w:r>
      <w:r>
        <w:rPr>
          <w:rFonts w:hint="eastAsia"/>
        </w:rPr>
        <w:instrText>renal excretion route, and dose adjustment is not required in patients with renal impairment. Furthermore, linagliptin exposure is not substantially altered in patients with hepatic impairment, and dose adjustment is not necessary for these patients. The 5</w:instrText>
      </w:r>
      <w:r>
        <w:rPr>
          <w:rFonts w:hint="eastAsia"/>
        </w:rPr>
        <w:instrText>‐</w:instrText>
      </w:r>
      <w:r>
        <w:rPr>
          <w:rFonts w:hint="eastAsia"/>
        </w:rPr>
        <w:instrText>mg dose is also suitable for patients of Asian ethnicity. Linagliptin shows unique pharmacological features within the dipeptidyl</w:instrText>
      </w:r>
      <w:r>
        <w:rPr>
          <w:rFonts w:hint="eastAsia"/>
        </w:rPr>
        <w:instrText>‐</w:instrText>
      </w:r>
      <w:r>
        <w:rPr>
          <w:rFonts w:hint="eastAsia"/>
        </w:rPr>
        <w:instrText>peptidase</w:instrText>
      </w:r>
      <w:r>
        <w:rPr>
          <w:rFonts w:hint="eastAsia"/>
        </w:rPr>
        <w:instrText>‐</w:instrText>
      </w:r>
      <w:r>
        <w:rPr>
          <w:rFonts w:hint="eastAsia"/>
        </w:rPr>
        <w:instrText>4 inhibitor class. Although most clinical trials of linagliptin have involved largely Caucasian populations, data on the pharmacokinetic/pharmacodynamic properties of linagliptin show that these features are not substantially altered in Asian populations. The 5</w:instrText>
      </w:r>
      <w:r>
        <w:rPr>
          <w:rFonts w:hint="eastAsia"/>
        </w:rPr>
        <w:instrText>‐</w:instrText>
      </w:r>
      <w:r>
        <w:rPr>
          <w:rFonts w:hint="eastAsia"/>
        </w:rPr>
        <w:instrText>mg dose of linagliptin is suitable for patients wit</w:instrText>
      </w:r>
      <w:r>
        <w:instrText xml:space="preserve">h type 2 diabetes mellitus irrespective of their ethnicity or the presence of renal or hepatic impairment.","container-title":"Journal of Diabetes Investigation","DOI":"10.1111/jdi.12528","ISSN":"2040-1116","issue":"1","journalAbbreviation":"J Diabetes Investig","note":"PMID: 27180612\nPMCID: PMC5217889","page":"19-28","source":"PubMed Central","title":"Pharmacokinetic and pharmacodynamic evaluation of linagliptin for the treatment of type 2 diabetes mellitus, with consideration of Asian patient populations","volume":"8","author":[{"family":"Ceriello","given":"Antonio"},{"family":"Inagaki","given":"Nobuya"}],"issued":{"date-parts":[["2017",1]]}}}],"schema":"https://github.com/citation-style-language/schema/raw/master/csl-citation.json"} </w:instrText>
      </w:r>
      <w:r>
        <w:fldChar w:fldCharType="separate"/>
      </w:r>
      <w:r w:rsidRPr="00857E99">
        <w:t>[8]</w:t>
      </w:r>
      <w:r>
        <w:fldChar w:fldCharType="end"/>
      </w:r>
      <w:r>
        <w:t>.</w:t>
      </w:r>
    </w:p>
    <w:p w14:paraId="48CD7D68" w14:textId="63989F8E" w:rsidR="008E6896" w:rsidRDefault="008E6896" w:rsidP="0049695C">
      <w:pPr>
        <w:pStyle w:val="4"/>
        <w:spacing w:after="240"/>
        <w:rPr>
          <w:rFonts w:ascii="Times New Roman" w:hAnsi="Times New Roman"/>
          <w:color w:val="000000" w:themeColor="text1"/>
          <w:sz w:val="24"/>
          <w:szCs w:val="24"/>
        </w:rPr>
      </w:pPr>
      <w:bookmarkStart w:id="191" w:name="_Toc139361995"/>
      <w:r>
        <w:rPr>
          <w:rFonts w:ascii="Times New Roman" w:hAnsi="Times New Roman"/>
          <w:color w:val="000000" w:themeColor="text1"/>
          <w:sz w:val="24"/>
          <w:szCs w:val="24"/>
        </w:rPr>
        <w:t>4</w:t>
      </w:r>
      <w:r w:rsidRPr="00F42555">
        <w:rPr>
          <w:rFonts w:ascii="Times New Roman" w:hAnsi="Times New Roman"/>
          <w:color w:val="000000" w:themeColor="text1"/>
          <w:sz w:val="24"/>
          <w:szCs w:val="24"/>
        </w:rPr>
        <w:t>.</w:t>
      </w:r>
      <w:r>
        <w:rPr>
          <w:rFonts w:ascii="Times New Roman" w:hAnsi="Times New Roman"/>
          <w:color w:val="000000" w:themeColor="text1"/>
          <w:sz w:val="24"/>
          <w:szCs w:val="24"/>
        </w:rPr>
        <w:t>1.6</w:t>
      </w:r>
      <w:r w:rsidRPr="00F42555">
        <w:rPr>
          <w:rFonts w:ascii="Times New Roman" w:hAnsi="Times New Roman"/>
          <w:color w:val="000000" w:themeColor="text1"/>
          <w:sz w:val="24"/>
          <w:szCs w:val="24"/>
        </w:rPr>
        <w:t>.</w:t>
      </w:r>
      <w:r>
        <w:rPr>
          <w:rFonts w:ascii="Times New Roman" w:hAnsi="Times New Roman"/>
          <w:color w:val="000000" w:themeColor="text1"/>
          <w:sz w:val="24"/>
          <w:szCs w:val="24"/>
        </w:rPr>
        <w:t>5</w:t>
      </w:r>
      <w:r w:rsidRPr="00F42555">
        <w:rPr>
          <w:rFonts w:ascii="Times New Roman" w:hAnsi="Times New Roman"/>
          <w:color w:val="000000" w:themeColor="text1"/>
          <w:sz w:val="24"/>
          <w:szCs w:val="24"/>
        </w:rPr>
        <w:t xml:space="preserve">. </w:t>
      </w:r>
      <w:r>
        <w:rPr>
          <w:rFonts w:ascii="Times New Roman" w:hAnsi="Times New Roman"/>
          <w:color w:val="000000" w:themeColor="text1"/>
          <w:sz w:val="24"/>
          <w:szCs w:val="24"/>
        </w:rPr>
        <w:t>Влияние возраста</w:t>
      </w:r>
      <w:bookmarkEnd w:id="191"/>
    </w:p>
    <w:p w14:paraId="09FF3C84" w14:textId="04EDD48C" w:rsidR="008E6896" w:rsidRDefault="008E6896" w:rsidP="00751562">
      <w:r>
        <w:tab/>
        <w:t>Коррекции дозы в зависимости от возраста не требуется. Опыт применения у пациентов старше 75 лет ограничен.</w:t>
      </w:r>
    </w:p>
    <w:p w14:paraId="5B287BCC" w14:textId="77777777" w:rsidR="004B1452" w:rsidRDefault="004B1452" w:rsidP="0049695C">
      <w:pPr>
        <w:spacing w:before="240" w:after="240"/>
        <w:rPr>
          <w:b/>
          <w:bCs/>
        </w:rPr>
      </w:pPr>
      <w:r w:rsidRPr="00AB20DF">
        <w:rPr>
          <w:b/>
          <w:bCs/>
        </w:rPr>
        <w:t>4</w:t>
      </w:r>
      <w:r w:rsidRPr="00620389">
        <w:rPr>
          <w:b/>
          <w:bCs/>
        </w:rPr>
        <w:t>.</w:t>
      </w:r>
      <w:r>
        <w:rPr>
          <w:b/>
          <w:bCs/>
        </w:rPr>
        <w:t>1.7</w:t>
      </w:r>
      <w:r w:rsidRPr="00620389">
        <w:rPr>
          <w:b/>
          <w:bCs/>
        </w:rPr>
        <w:t xml:space="preserve">. </w:t>
      </w:r>
      <w:r w:rsidRPr="00A06148">
        <w:rPr>
          <w:b/>
        </w:rPr>
        <w:t>Фармакокине</w:t>
      </w:r>
      <w:r>
        <w:rPr>
          <w:b/>
          <w:bCs/>
        </w:rPr>
        <w:t>тические лекарственные взаимодействия</w:t>
      </w:r>
    </w:p>
    <w:p w14:paraId="3B222C2F" w14:textId="3F416FF1" w:rsidR="004B1452" w:rsidRDefault="004B1452" w:rsidP="004B1452">
      <w:pPr>
        <w:ind w:firstLine="709"/>
      </w:pPr>
      <w:r w:rsidRPr="00F70B71">
        <w:t>Совместное назначение линаглиптина с ритонавиром, ингибитором P-gp/CYP3A4, прив</w:t>
      </w:r>
      <w:r w:rsidR="00FF0CC4">
        <w:t>оди</w:t>
      </w:r>
      <w:r w:rsidRPr="00F70B71">
        <w:t xml:space="preserve">ло к 2-кратному увеличению </w:t>
      </w:r>
      <w:r>
        <w:t>концентрации</w:t>
      </w:r>
      <w:r w:rsidRPr="00F70B71">
        <w:t xml:space="preserve"> и 3-кратному увеличению C</w:t>
      </w:r>
      <w:r w:rsidRPr="00F70B71">
        <w:rPr>
          <w:vertAlign w:val="subscript"/>
        </w:rPr>
        <w:t>max</w:t>
      </w:r>
      <w:r w:rsidRPr="00F70B71">
        <w:t>. Это объясняется увеличением биодоступности вследствие ингибирования P-gp, в то время как на выведение линаглиптина ритонавир оказывал незначительное влияние. В связи с</w:t>
      </w:r>
      <w:r w:rsidR="00FF0CC4">
        <w:t>о</w:t>
      </w:r>
      <w:r w:rsidRPr="00F70B71">
        <w:t xml:space="preserve"> </w:t>
      </w:r>
      <w:r w:rsidR="00FF0CC4">
        <w:t>значительным запасом</w:t>
      </w:r>
      <w:r>
        <w:t xml:space="preserve"> </w:t>
      </w:r>
      <w:r w:rsidRPr="00F70B71">
        <w:t>безопасности линаглиптина</w:t>
      </w:r>
      <w:r w:rsidR="00FF0CC4">
        <w:t xml:space="preserve"> по данным </w:t>
      </w:r>
      <w:r w:rsidR="006B5F1A">
        <w:t>доклинических исследований</w:t>
      </w:r>
      <w:r w:rsidRPr="00F70B71">
        <w:t>, увеличени</w:t>
      </w:r>
      <w:r w:rsidR="006B5F1A">
        <w:t>е</w:t>
      </w:r>
      <w:r w:rsidRPr="00F70B71">
        <w:t xml:space="preserve"> воздействия линаглиптина при одновременном применении ингибиторов P-gp/CYP3A4 считается приемлемым, особенно если это </w:t>
      </w:r>
      <w:r w:rsidR="006B5F1A">
        <w:t>увеличение является преходящим. Описанные</w:t>
      </w:r>
      <w:r w:rsidRPr="00F70B71">
        <w:t xml:space="preserve"> изменения фармакокинетики линаглиптина не были признаны клинически значимыми. </w:t>
      </w:r>
    </w:p>
    <w:p w14:paraId="2905D035" w14:textId="77777777" w:rsidR="004B1452" w:rsidRPr="00F70B71" w:rsidRDefault="004B1452" w:rsidP="004B1452">
      <w:pPr>
        <w:ind w:firstLine="709"/>
      </w:pPr>
      <w:r>
        <w:t>К</w:t>
      </w:r>
      <w:r w:rsidRPr="00F70B71">
        <w:t xml:space="preserve">линически значимых взаимодействий с другими ингибиторами P-гликопротеина/CYP3A4 не ожидается. </w:t>
      </w:r>
    </w:p>
    <w:p w14:paraId="5F113F85" w14:textId="415C4956" w:rsidR="004B1452" w:rsidRDefault="004B1452" w:rsidP="004B1452">
      <w:pPr>
        <w:ind w:firstLine="709"/>
      </w:pPr>
      <w:r w:rsidRPr="00F70B71">
        <w:t xml:space="preserve">Совместное </w:t>
      </w:r>
      <w:r>
        <w:t>применение с</w:t>
      </w:r>
      <w:r w:rsidRPr="00F70B71">
        <w:t xml:space="preserve"> рифампицином, индуктором P-gp/CYP3A4, прив</w:t>
      </w:r>
      <w:r w:rsidR="00254285">
        <w:t>оди</w:t>
      </w:r>
      <w:r w:rsidRPr="00F70B71">
        <w:t xml:space="preserve">ло к снижению на 40% </w:t>
      </w:r>
      <w:r>
        <w:t>концентрации</w:t>
      </w:r>
      <w:r w:rsidRPr="00F70B71">
        <w:t xml:space="preserve"> линаглиптина</w:t>
      </w:r>
      <w:r>
        <w:t xml:space="preserve"> и </w:t>
      </w:r>
      <w:r w:rsidRPr="00F70B71">
        <w:t xml:space="preserve">снижению относительной </w:t>
      </w:r>
      <w:r>
        <w:t>концентрации</w:t>
      </w:r>
      <w:r w:rsidRPr="00F70B71">
        <w:t xml:space="preserve"> метаболита CD 1790, образованного CYP3A4, что объясняется индукцией P-gp</w:t>
      </w:r>
      <w:r>
        <w:t>.</w:t>
      </w:r>
    </w:p>
    <w:p w14:paraId="33BEA8FC" w14:textId="47645FA1" w:rsidR="004B1452" w:rsidRPr="00F70B71" w:rsidRDefault="004B1452" w:rsidP="004B1452">
      <w:pPr>
        <w:ind w:firstLine="709"/>
      </w:pPr>
      <w:r w:rsidRPr="00F70B71">
        <w:t xml:space="preserve">Снижение </w:t>
      </w:r>
      <w:r>
        <w:t>концентрации</w:t>
      </w:r>
      <w:r w:rsidRPr="00F70B71">
        <w:t xml:space="preserve"> линаглиптина зависит от времени</w:t>
      </w:r>
      <w:r w:rsidR="00134FD6">
        <w:t>,</w:t>
      </w:r>
      <w:r w:rsidRPr="00F70B71">
        <w:t xml:space="preserve"> что позволяет предположить, что эффективность линаглиптина в комбинации с индукторами P-gp может быть не достигнута</w:t>
      </w:r>
      <w:r>
        <w:t xml:space="preserve">, </w:t>
      </w:r>
      <w:r w:rsidRPr="00F70B71">
        <w:t xml:space="preserve">особенно при длительном применении. Совместное назначение с другими индукторами P-гликопротеина и CYP3A4, такими как карбамазепин, фенобарбитал и фенитоин, не изучалось. </w:t>
      </w:r>
    </w:p>
    <w:p w14:paraId="346592F4" w14:textId="6E5C185F" w:rsidR="004B1452" w:rsidRPr="00F70B71" w:rsidRDefault="004B1452" w:rsidP="004B1452">
      <w:pPr>
        <w:ind w:firstLine="709"/>
      </w:pPr>
      <w:r w:rsidRPr="00F70B71">
        <w:t xml:space="preserve">Данные </w:t>
      </w:r>
      <w:r w:rsidRPr="00BA3927">
        <w:rPr>
          <w:i/>
          <w:iCs/>
        </w:rPr>
        <w:t>in vitro</w:t>
      </w:r>
      <w:r w:rsidRPr="00F70B71">
        <w:t xml:space="preserve"> свидетельствуют об отсутствии риска взаимодействия, связанного с ингибированием CYP450 или белков-транспортеров линаглиптином. Это было </w:t>
      </w:r>
      <w:r w:rsidRPr="00F70B71">
        <w:lastRenderedPageBreak/>
        <w:t>подтверждено клиническими исследованиями, в которых линаглиптин не оказывал клинически значимого влияния на фармакокинетику метформина, глибурида, пиоглитазона, варфарина, симвастатина, дигоксина или пероральных контрацептивов</w:t>
      </w:r>
      <w:r>
        <w:t xml:space="preserve"> </w:t>
      </w:r>
      <w:r>
        <w:fldChar w:fldCharType="begin"/>
      </w:r>
      <w:r>
        <w:instrText xml:space="preserve"> ADDIN ZOTERO_ITEM CSL_CITATION {"citationID":"V5hey1q7","properties":{"formattedCitation":"[9,10]","plainCitation":"[9,10]","noteIndex":0},"citationItems":[{"id":3038,"uris":["http://zotero.org/users/5483459/items/TIWCRPFJ"],"itemData":{"id":3038,"type":"article-journal","abstract":"The aim of this study was to investigate whether multiple doses of the oral and highly selective dipeptidyl peptidase-4 inhibitor linagliptin affect the steady-state pharmacokinetics of the P-glycoprotein substrate digoxin. This single-center, open-label, two-period cross-over study involved healthy subjects (n = 20), randomized to treatment sequence AB or BA, where A comprised 0.25 mg digoxin qd for 5 days, then 0.25 mg digoxin qd plus 5 mg linagliptin qd for 6 days, and B comprised 0.25 mg digoxin qd for 11 days. A treatment-free period (≥35 days for AB and 14 days for BA) separated each treatment in both sequences. There were no clinically significant changes in steady-state pharmacokinetic parameters of digoxin when it was co-administered with linagliptin. The ratio of the adjusted-by-treatment geometric mean ratios and associated 90% confidence intervals for the AUC(τ,ss), C (max,ss) and renal clearance (CL( R,0-24,ss)) of digoxin were all within the bioequivalence range 80-125%, which is important as digoxin has a narrow therapeutic range. There was a low incidence of adverse events, which were randomly distributed between treatment groups. In conclusion, linagliptin did not alter the pharmacokinetics of digoxin in this study, indicating that linagliptin does not inhibit P-glycoprotein or other transporters relevant for digoxin pharmacokinetics. These results suggest that linagliptin and digoxin can be co-administered without dose adjustment. Administration of digoxin alone and with linagliptin was well tolerated.","container-title":"European Journal of Drug Metabolism and Pharmacokinetics","DOI":"10.1007/s13318-011-0028-y","ISSN":"0378-7966","issue":"1","journalAbbreviation":"Eur J Drug Metab Pharmacokinet","language":"eng","note":"PMID: 21340661","page":"17-24","source":"PubMed","title":"Evaluation of the pharmacokinetic interaction after multiple oral doses of linagliptin and digoxin in healthy volunteers","volume":"36","author":[{"family":"Friedrich","given":"C."},{"family":"Ring","given":"A."},{"family":"Brand","given":"T."},{"family":"Sennewald","given":"R."},{"family":"Graefe-Mody","given":"E. U."},{"family":"Woerle","given":"H.-J."}],"issued":{"date-parts":[["2011",3]]}},"label":"page"},{"id":3040,"uris":["http://zotero.org/users/5483459/items/6HWA9C4U"],"itemData":{"id":3040,"type":"article-journal","abstract":"OBJECTIVE: Linagliptin (BI 1356) is a novel, orally available inhibitor of dipeptidyl peptidase-4 (DPP-4). Linagliptin improves glycaemic control in type 2 diabetic patients by increasing the half-life of the incretin hormone glucagon-like peptide-1 (GLP-1). Linagliptin is expected to be used as monotherapy or in combination with other antihyperglycaemic agents. This study was conducted to investigate potential pharmacokinetic or pharmacodynamic interactions between linagliptin and metformin.\nMETHODS: This randomised, monocentric, open-label, two-way crossover design study was conducted in 16 healthy male subjects. Linagliptin (10 mg/day) and metformin (850 mg three times daily) were each administered alone and concomitantly. The steady-state pharmacokinetics of linagliptin and metformin and the inhibition of DPP-4 activity were determined at the end of each dosing period.\nRESULTS: Co-administration of linagliptin had no apparent effect on metformin exposure (metformin AUC(tau,ss); geometric mean ratio [GMR] co-administration:individual administration was 1.01; 90% confidence interval [CI] was 0.89-1.14). Effects on maximum concentration (C(max,ss)) were small (GMR: 0.89; 90% CI: 0.78-1.00). Co-administration of metformin did not significantly affect C(max,ss) of linagliptin (GMR: 1.03; 90% CI: 0.86-1.24), but increased AUC(tau)(,ss) by 20% (GMR: 1.20; 90% CI: 1.07-1.34). Metformin alone had no effect on DPP-4 activity, and the inhibition of DPP-4 caused by linagliptin was not affected by concomitant administration of metformin. Tolerability was good whether linagliptin and metformin were administered alone or concomitantly. No serious adverse events occurred and the frequency of adverse events was low; 7 events in 6 subjects. The most frequent events were related to the gastrointestinal tract, as expected with metformin. Importantly, no subjects experienced signs or symptoms relating to episodes of hypoglycaemia.\nCONCLUSION: In this small, multiple dose study carried out in healthy subjects, co-administration of linagliptin with metformin did not have a clinically relevant effect on the pharmacokinetics or pharmacodynamics of either agent. This study suggests linagliptin and metformin can safely be administered concomitantly in type 2 diabetes patients without dose adjustment; larger, longer-term clinical trials in diabetic patients are underway.","container-title":"Current Medical Research and Opinion","DOI":"10.1185/03007990903094361","ISSN":"1473-4877","issue":"8","journalAbbreviation":"Curr Med Res Opin","language":"eng","note":"PMID: 19552619","page":"1963-1972","source":"PubMed","title":"Evaluation of the potential for steady-state pharmacokinetic and pharmacodynamic interactions between the DPP-4 inhibitor linagliptin and metformin in healthy subjects","volume":"25","author":[{"family":"Graefe-Mody","given":"E. U."},{"family":"Padula","given":"S."},{"family":"Ring","given":"A."},{"family":"Withopf","given":"B."},{"family":"Dugi","given":"K. A."}],"issued":{"date-parts":[["2009",8]]}},"label":"page"}],"schema":"https://github.com/citation-style-language/schema/raw/master/csl-citation.json"} </w:instrText>
      </w:r>
      <w:r>
        <w:fldChar w:fldCharType="separate"/>
      </w:r>
      <w:r w:rsidRPr="00857E99">
        <w:t>[9,10]</w:t>
      </w:r>
      <w:r>
        <w:fldChar w:fldCharType="end"/>
      </w:r>
      <w:r>
        <w:t>.</w:t>
      </w:r>
    </w:p>
    <w:p w14:paraId="37C37874" w14:textId="77777777" w:rsidR="004B1452" w:rsidRDefault="004B1452" w:rsidP="0049695C">
      <w:pPr>
        <w:pStyle w:val="2"/>
        <w:spacing w:line="240" w:lineRule="auto"/>
      </w:pPr>
      <w:bookmarkStart w:id="192" w:name="_Toc139361996"/>
      <w:r w:rsidRPr="00143CD4">
        <w:t>4.2. Фармакодинамика у человека</w:t>
      </w:r>
      <w:bookmarkEnd w:id="192"/>
    </w:p>
    <w:p w14:paraId="60F0BD80" w14:textId="77777777" w:rsidR="004B1452" w:rsidRDefault="004B1452" w:rsidP="0049695C">
      <w:pPr>
        <w:pStyle w:val="111"/>
      </w:pPr>
      <w:bookmarkStart w:id="193" w:name="_Toc76119875"/>
      <w:bookmarkStart w:id="194" w:name="_Toc90285299"/>
      <w:bookmarkStart w:id="195" w:name="_Toc139361997"/>
      <w:r>
        <w:t>4.2.1. Ф</w:t>
      </w:r>
      <w:r w:rsidRPr="00BC1CB6">
        <w:t>армакодинамика и механизм действия</w:t>
      </w:r>
      <w:bookmarkEnd w:id="193"/>
      <w:bookmarkEnd w:id="194"/>
      <w:bookmarkEnd w:id="195"/>
      <w:r>
        <w:t xml:space="preserve"> </w:t>
      </w:r>
    </w:p>
    <w:p w14:paraId="0EA2BCA8" w14:textId="1027FF4C" w:rsidR="004B1452" w:rsidRDefault="008E6896" w:rsidP="00166A0E">
      <w:pPr>
        <w:ind w:firstLine="709"/>
      </w:pPr>
      <w:r>
        <w:t>Прием пищи стимулирует</w:t>
      </w:r>
      <w:r w:rsidR="004B1452">
        <w:t xml:space="preserve"> секрецию желудочно-кишечного тракта, инкретиновые гормоны, ГПП-1 и ГИП, оба из которых оказывают глюкозозависимое инсулинотропное действие и способствуют выработке инсулина поджелудочной железой и глюкагона для поддержания гомеостаза глюкозы. ГПП-1 снижает уровень глюкозы в крови, увеличивая высвобождение инсулина, стимулированное глюкозой. Период полувыведения ГПП-1 из плазмы ограничен несколькими мину</w:t>
      </w:r>
      <w:r w:rsidR="00166A0E">
        <w:t xml:space="preserve">тами из-за быстрого протеолиза </w:t>
      </w:r>
      <w:r w:rsidR="004B1452">
        <w:t xml:space="preserve">ферментом ДПП-4. Ингибирование ДПП-4 продлевает период полувыведения активных ГПП-1 и тем самым повышает уровень инсулина в плазме и снижает уровень глюкозы в плазме </w:t>
      </w:r>
      <w:r w:rsidR="004B1452">
        <w:fldChar w:fldCharType="begin"/>
      </w:r>
      <w:r w:rsidR="004B1452">
        <w:instrText xml:space="preserve"> ADDIN ZOTERO_ITEM CSL_CITATION {"citationID":"bsdTH9W0","properties":{"formattedCitation":"[1,2,4]","plainCitation":"[1,2,4]","noteIndex":0},"citationItems":[{"id":3008,"uris":["http://zotero.org/users/5483459/items/A4YJC5H7"],"itemData":{"id":3008,"type":"document","title":"European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EMEA/H/C/002110/0000"},"label":"page"},{"id":3014,"uris":["http://zotero.org/users/5483459/items/GEX9J9W2"],"itemData":{"id":3014,"type":"document","title":"U.S. Food and Drug Administration. Drug Approval Package. Tradjenta (Linagliptin)  tablets. Company:  Boehringer Ingelheim Pharmaceuticals, Inc. Medical Review. Application No.:  201280 Approval Date: 04.03.2011"},"label":"page"}],"schema":"https://github.com/citation-style-language/schema/raw/master/csl-citation.json"} </w:instrText>
      </w:r>
      <w:r w:rsidR="004B1452">
        <w:fldChar w:fldCharType="separate"/>
      </w:r>
      <w:r w:rsidR="004B1452" w:rsidRPr="0039158F">
        <w:t>[1,2,4]</w:t>
      </w:r>
      <w:r w:rsidR="004B1452">
        <w:fldChar w:fldCharType="end"/>
      </w:r>
      <w:r w:rsidR="004B1452">
        <w:t>.</w:t>
      </w:r>
    </w:p>
    <w:p w14:paraId="142C34C1" w14:textId="550FC7A8" w:rsidR="004B1452" w:rsidRDefault="004B1452" w:rsidP="00166A0E">
      <w:pPr>
        <w:ind w:firstLine="709"/>
      </w:pPr>
      <w:r>
        <w:t xml:space="preserve">Ингибирование ДПП-4 является наиболее значимым биомаркером эффективности линаглиптина. Медиана ингибирования ДПП-4 на уровне 80% принята в качестве порогового значения на основании опубликованных данных по результатам клинических исследований. Глюкоза в плазме и </w:t>
      </w:r>
      <w:r w:rsidR="00812434">
        <w:t xml:space="preserve">уровень </w:t>
      </w:r>
      <w:r>
        <w:t>активн</w:t>
      </w:r>
      <w:r w:rsidR="00812434">
        <w:t>ого</w:t>
      </w:r>
      <w:r>
        <w:t xml:space="preserve"> </w:t>
      </w:r>
      <w:r w:rsidRPr="006A52CC">
        <w:t xml:space="preserve">ГПП-1 </w:t>
      </w:r>
      <w:r w:rsidR="007B74F8">
        <w:t xml:space="preserve">являются </w:t>
      </w:r>
      <w:r>
        <w:t>другими маркерами э</w:t>
      </w:r>
      <w:r w:rsidR="00166A0E">
        <w:t>ффективности.  В исследованиях</w:t>
      </w:r>
      <w:r>
        <w:t xml:space="preserve"> изучени</w:t>
      </w:r>
      <w:r w:rsidR="00166A0E">
        <w:t>я</w:t>
      </w:r>
      <w:r>
        <w:t xml:space="preserve"> фармакодинамика лингалиптина </w:t>
      </w:r>
      <w:r w:rsidR="00166A0E">
        <w:t>исследовали</w:t>
      </w:r>
      <w:r>
        <w:t xml:space="preserve"> биомаркеры</w:t>
      </w:r>
      <w:r w:rsidR="00166A0E">
        <w:t>:</w:t>
      </w:r>
      <w:r>
        <w:t xml:space="preserve"> глюкагон, С-пептид, инсулин, фруктозамин, 1,5-ангидроглюцитол и HbA1c. </w:t>
      </w:r>
    </w:p>
    <w:p w14:paraId="7EF07AAB" w14:textId="1E6C715F" w:rsidR="004B1452" w:rsidRDefault="004B1452" w:rsidP="00166A0E">
      <w:pPr>
        <w:ind w:firstLine="709"/>
      </w:pPr>
      <w:r>
        <w:t>Ингибирование ДПП-4 измерено в 10 исследованиях после многократного приема линаглиптина (1 мг, 2,5 мг, 5 мг и 10 мг) у пациентов с СД2 и у здоровых добровольцев.</w:t>
      </w:r>
    </w:p>
    <w:p w14:paraId="6A9EF8EA" w14:textId="11E4F6B2" w:rsidR="004B1452" w:rsidRDefault="004B1452" w:rsidP="00166A0E">
      <w:pPr>
        <w:ind w:firstLine="709"/>
      </w:pPr>
      <w:r>
        <w:t xml:space="preserve">Средний уровень ингибирования ДПП-4 составил &gt;80% у пациентов, получавших 5 мг линаглиптина один раз в день. Дозы 1 мг и 2,5 мг были менее эффективны, в то время как более высокие дозы не приводили к значительному увеличению медианы ингибирования ДПП-4. Последовательное ингибирование ДПП-4 на уровне &gt;80% при приеме 5 мг линаглиптина наблюдалось у японцев, а также у кавказских и японских здоровых добровольцев. На основании этих результатов 5 мг было выбрано в качестве терапевтической дозы </w:t>
      </w:r>
      <w:r>
        <w:fldChar w:fldCharType="begin"/>
      </w:r>
      <w:r>
        <w:instrText xml:space="preserve"> ADDIN ZOTERO_ITEM CSL_CITATION {"citationID":"WwylYfz2","properties":{"formattedCitation":"[2]","plainCitation":"[2]","noteIndex":0},"citationItems":[{"id":2939,"uris":["http://zotero.org/users/5483459/items/SJBZ4HU2"],"itemData":{"id":2939,"type":"document","title":"European  Medicines Agency.Assessment report Trajenta (linagliptin). Procedure No.: EMEA/H/C/002110/0000"}}],"schema":"https://github.com/citation-style-language/schema/raw/master/csl-citation.json"} </w:instrText>
      </w:r>
      <w:r>
        <w:fldChar w:fldCharType="separate"/>
      </w:r>
      <w:r w:rsidRPr="00174653">
        <w:t>[2]</w:t>
      </w:r>
      <w:r>
        <w:fldChar w:fldCharType="end"/>
      </w:r>
      <w:r>
        <w:t>.</w:t>
      </w:r>
    </w:p>
    <w:p w14:paraId="6FC02084" w14:textId="3E451238" w:rsidR="004B1452" w:rsidRDefault="004B1452" w:rsidP="00166A0E">
      <w:pPr>
        <w:ind w:firstLine="709"/>
      </w:pPr>
      <w:r>
        <w:t xml:space="preserve">Результаты по вторичным параметрам, таким как </w:t>
      </w:r>
      <w:r w:rsidR="006950E7">
        <w:t xml:space="preserve">уровень </w:t>
      </w:r>
      <w:r>
        <w:t>активн</w:t>
      </w:r>
      <w:r w:rsidR="006950E7">
        <w:t>ого</w:t>
      </w:r>
      <w:r>
        <w:t xml:space="preserve"> </w:t>
      </w:r>
      <w:r w:rsidRPr="006A52CC">
        <w:t>ГПП-1</w:t>
      </w:r>
      <w:r>
        <w:t>, глюкоз</w:t>
      </w:r>
      <w:r w:rsidR="006950E7">
        <w:t>ы</w:t>
      </w:r>
      <w:r>
        <w:t>, инсулин</w:t>
      </w:r>
      <w:r w:rsidR="006950E7">
        <w:t>а</w:t>
      </w:r>
      <w:r>
        <w:t xml:space="preserve"> и глюкагон</w:t>
      </w:r>
      <w:r w:rsidR="006950E7">
        <w:t>а</w:t>
      </w:r>
      <w:r>
        <w:t xml:space="preserve">, соответствовали первичным параметрам, не было выявлено четкой разницы в эффекте между дозами 2,5 мг и 5 мг </w:t>
      </w:r>
      <w:r>
        <w:fldChar w:fldCharType="begin"/>
      </w:r>
      <w:r>
        <w:instrText xml:space="preserve"> ADDIN ZOTERO_ITEM CSL_CITATION {"citationID":"IwP3frWt","properties":{"formattedCitation":"[1,2,4]","plainCitation":"[1,2,4]","noteIndex":0},"citationItems":[{"id":3008,"uris":["http://zotero.org/users/5483459/items/A4YJC5H7"],"itemData":{"id":3008,"type":"document","title":"European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EMEA/H/C/002110/0000"},"label":"page"},{"id":3014,"uris":["http://zotero.org/users/5483459/items/GEX9J9W2"],"itemData":{"id":3014,"type":"document","title":"U.S. Food and Drug Administration. Drug Approval Package. Tradjenta (Linagliptin)  tablets. Company:  Boehringer Ingelheim Pharmaceuticals, Inc. Medical Review. Application No.:  201280 Approval Date: 04.03.2011"},"label":"page"}],"schema":"https://github.com/citation-style-language/schema/raw/master/csl-citation.json"} </w:instrText>
      </w:r>
      <w:r>
        <w:fldChar w:fldCharType="separate"/>
      </w:r>
      <w:r w:rsidRPr="0039158F">
        <w:t>[1,2,4]</w:t>
      </w:r>
      <w:r>
        <w:fldChar w:fldCharType="end"/>
      </w:r>
      <w:r>
        <w:t>.</w:t>
      </w:r>
    </w:p>
    <w:p w14:paraId="4783CB1B" w14:textId="1ECB2092" w:rsidR="004B1452" w:rsidRDefault="004B1452" w:rsidP="00166A0E">
      <w:pPr>
        <w:ind w:firstLine="709"/>
      </w:pPr>
      <w:bookmarkStart w:id="196" w:name="_Hlk121690988"/>
      <w:r>
        <w:t xml:space="preserve">Были проведены фармакодинамические исследования, в которых изучалась связь концентрации линаглиптина в плазме с ингибированием ДПП-4. В результате исследований было выяснено, что </w:t>
      </w:r>
      <w:r w:rsidR="00B63015">
        <w:t xml:space="preserve">значение </w:t>
      </w:r>
      <w:r>
        <w:t>IC</w:t>
      </w:r>
      <w:r w:rsidRPr="005127F2">
        <w:rPr>
          <w:vertAlign w:val="subscript"/>
        </w:rPr>
        <w:t>50</w:t>
      </w:r>
      <w:r>
        <w:t xml:space="preserve"> линаглиптина составля</w:t>
      </w:r>
      <w:r w:rsidR="00B63015">
        <w:t>ет</w:t>
      </w:r>
      <w:r>
        <w:t xml:space="preserve"> приблизительно 2-4 нмоль/л, IC</w:t>
      </w:r>
      <w:r w:rsidRPr="005127F2">
        <w:rPr>
          <w:vertAlign w:val="subscript"/>
        </w:rPr>
        <w:t>80</w:t>
      </w:r>
      <w:r>
        <w:t xml:space="preserve"> составля</w:t>
      </w:r>
      <w:r w:rsidR="00B63015">
        <w:t>ет</w:t>
      </w:r>
      <w:r>
        <w:t xml:space="preserve"> приблизительно 4-6 нмоль/л, а I</w:t>
      </w:r>
      <w:r w:rsidRPr="00C77621">
        <w:rPr>
          <w:vertAlign w:val="subscript"/>
        </w:rPr>
        <w:t>max</w:t>
      </w:r>
      <w:r>
        <w:t xml:space="preserve"> может быть принято за 100% ингибирование ДПП-4. Влияние на ДПП-4</w:t>
      </w:r>
      <w:r w:rsidRPr="00C77621">
        <w:t xml:space="preserve"> </w:t>
      </w:r>
      <w:r>
        <w:t>сохранял</w:t>
      </w:r>
      <w:r w:rsidR="00B63015">
        <w:t>ось</w:t>
      </w:r>
      <w:r>
        <w:t xml:space="preserve"> в течение 24 часов. </w:t>
      </w:r>
    </w:p>
    <w:p w14:paraId="2613A1E1" w14:textId="68CB3FDF" w:rsidR="004B1452" w:rsidRPr="002F7E55" w:rsidRDefault="004B1452" w:rsidP="00166A0E">
      <w:pPr>
        <w:ind w:firstLine="709"/>
      </w:pPr>
      <w:r>
        <w:t xml:space="preserve">Активность ДПП-4 </w:t>
      </w:r>
      <w:r w:rsidR="00B63015">
        <w:t>возвращалась</w:t>
      </w:r>
      <w:r>
        <w:t xml:space="preserve"> к исходному уровню через 96 часов после введения линаглиптина. Не было существенной разницы между двумя дозами линаглиптина 5 мг и 10 мг в отношении ингибирования ДПП-4. Ингибирование ДПП-4 было максимальным при дозе 10 мг. Режим утренней дозы 5 мг и 2,5 мг два раза в день приводил к аналогичному и достаточному ингибированию ДПП-4 в течение всего периода лечения. Увеличение концентрации ГПП-1 стабилизировалось при дозе 5 мг как после однократного, так и многократного приема. Линаглиптин не оказывал пролонгир</w:t>
      </w:r>
      <w:r w:rsidR="007B74F8">
        <w:t xml:space="preserve">ующего действия на интервал QT </w:t>
      </w:r>
      <w:r>
        <w:fldChar w:fldCharType="begin"/>
      </w:r>
      <w:r>
        <w:instrText xml:space="preserve"> ADDIN ZOTERO_ITEM CSL_CITATION {"citationID":"d7mAkMxp","properties":{"formattedCitation":"[3,11,12]","plainCitation":"[3,11,12]","noteIndex":0},"citationItems":[{"id":3042,"uris":["http://zotero.org/users/5483459/items/8P37IGM4"],"itemData":{"id":3042,"type":"article-journal","abstract":"OBJECTIVE: The objective of this study was to determine the relative bioavailability of the dipeptidyl-peptidase-4 (DPP-4) inhibitor linagliptin when administered with and without food, in accordance with regulatory requirements to support dosing recommendations for patients.\nMETHODS: This was a randomized, open-label, crossover study involving 32 healthy white male and female subjects. All subjects received a single dose of 5 mg linagliptin after an overnight fast of at least 10 hours, or immediately after ingestion of a high-fat, high-calorie breakfast. These treatments were separated by a period of 5 weeks. Plasma samples for pharmacokinetic analysis were collected before dosing and at prespecified time points after dosing. The concentration of linagliptin in these samples was analyzed by high-performance liquid chromatography coupled to tandem mass spectrometry. Relative bioavailability was assessed by the total area under the curve between 0 and 72 hours (AUC(0-72)) and maximum measured plasma concentration (C(max)) of linagliptin. Tolerability was also assessed.\nRESULTS: In 32 subjects (mean age, 34.8 years; weight, 74.3 kg; male, 53%; white race, 100%), intake of a high-fat meal resulted in comparable bioavailability with regard to AUC(0-72) (geometric mean ratio [GMR] between the fed and fasted group means was 103.5%; 90% CI, 98.1%-109.2%). Individuals' responses to food ranged from a maximum increase in exposure of 38% to a decrease of 32% relative to the fasted state. The concurrent intake of food increased the time to reach maximum plasma concentration (T(max)) by approximately 2 hours and reduced C(max) by about 15% (GMR 84.7%; 90% CI, 75.9%-94.6%). Since adequate drug exposure for inhibition of DPP-4 was still given for the entire 24-hour dosing interval, this result was considered to be of no clinical relevance. Linagliptin was well tolerated during the study.\nCONCLUSIONS: Intake of a high-fat meal reduced the rate of linagliptin absorption but had no influence on the extent of absorption; this finding suggests that food has no relevant influence on the efficacy of linagliptin.","container-title":"Clinical Therapeutics","DOI":"10.1016/j.clinthera.2011.07.005","ISSN":"1879-114X","issue":"8","journalAbbreviation":"Clin Ther","language":"eng","note":"PMID: 21803422","page":"1096-1103","source":"PubMed","title":"A randomized, open-label, crossover study evaluating the effect of food on the relative bioavailability of linagliptin in healthy subjects","volume":"33","author":[{"family":"Graefe-Mody","given":"Ulrike"},{"family":"Giessmann","given":"Thomas"},{"family":"Ring","given":"Arne"},{"family":"Iovino","given":"Mario"},{"family":"Woerle","given":"Hans-Juergen"}],"issued":{"date-parts":[["2011",8]]}},"label":"page"},{"id":3049,"uris":["http://zotero.org/users/5483459/items/FMFWWQV9"],"itemData":{"id":3049,"type":"report","abstract":"The objective of the current study was to investigate safety, tolerability, pharmacokinetics and pharmacodynamics of BI 1356 BS.","genre":"Clinical trial registration","note":"submitted: June 24, 2014","number":"NCT02173665","publisher":"clinicaltrials.gov","source":"clinicaltrials.gov","title":"Safety, Tolerability, Pharmacokinetics and Pharmacodynamics of Single Rising Oral Doses of BI 1356 BS as a Solution at Dose Levels 2.5 -5 mg and Tablets at Dose Levels 25 - 600 mg Administered to Healthy Male Subjects. A Randomised, Double-blind, Placebo-controlled Trial, Including an Intra-subject Bioavailability Comparison of 100 mg BI 1356 BS as Tablet and as Solution. BI 1356 BS as Tablet and as Solution","title-short":"Safety, Tolerability, Pharmacokinetics and Pharmacodynamics of Single Rising Oral Doses of BI 1356 BS Administered to Healthy Male Subjects","URL":"https://clinicaltrials.gov/ct2/show/NCT02173665","author":[{"literal":"Boehringer Ingelheim"}],"accessed":{"date-parts":[["2022",12,2]]},"issued":{"date-parts":[["2014",7,4]]}},"label":"page"},{"id":3051,"uris":["http://zotero.org/users/5483459/items/DP4V6894"],"itemData":{"id":3051,"type":"report","abstract":"Assessment of the effect of BI 1356 or Placebo on prolongation of the QT interval","genre":"Clinical trial registration","note":"submitted: July 4, 2014","number":"NCT02183467","publisher":"clinicaltrials.gov","source":"clinicaltrials.gov","title":"Assessment of the Effect of 5 mg and 100 mg of BI 1356 as Single Dose on the QT Interval in Healthy Female and Male Subjects. A Randomised, Placebo Controlled, Double-blind, Four-way Crossover Study With Moxifloxacin as Positive Control","title-short":"Effect of BI 1356 as Single Dose on the QT Interval in Healthy Female and Male Subjects","URL":"https://clinicaltrials.gov/ct2/show/NCT02183467","author":[{"literal":"Boehringer Ingelheim"}],"accessed":{"date-parts":[["2022",12,2]]},"issued":{"date-parts":[["2014",7,4]]}},"label":"page"}],"schema":"https://github.com/citation-style-language/schema/raw/master/csl-citation.json"} </w:instrText>
      </w:r>
      <w:r>
        <w:fldChar w:fldCharType="separate"/>
      </w:r>
      <w:r w:rsidRPr="00845E32">
        <w:t>[3,11,12]</w:t>
      </w:r>
      <w:r>
        <w:fldChar w:fldCharType="end"/>
      </w:r>
      <w:r w:rsidRPr="002F7E55">
        <w:t xml:space="preserve">. </w:t>
      </w:r>
    </w:p>
    <w:bookmarkEnd w:id="196"/>
    <w:p w14:paraId="0CA3BAC0" w14:textId="77777777" w:rsidR="0049695C" w:rsidRDefault="0049695C" w:rsidP="004B1452">
      <w:pPr>
        <w:spacing w:before="240" w:after="240"/>
        <w:outlineLvl w:val="2"/>
        <w:rPr>
          <w:b/>
          <w:bCs/>
        </w:rPr>
        <w:sectPr w:rsidR="0049695C" w:rsidSect="00AB01E2">
          <w:footnotePr>
            <w:pos w:val="beneathText"/>
          </w:footnotePr>
          <w:pgSz w:w="11906" w:h="16838"/>
          <w:pgMar w:top="1134" w:right="849" w:bottom="1134" w:left="1701" w:header="708" w:footer="709" w:gutter="0"/>
          <w:cols w:space="708"/>
          <w:docGrid w:linePitch="360"/>
        </w:sectPr>
      </w:pPr>
    </w:p>
    <w:p w14:paraId="5A35EAC3" w14:textId="22680C11" w:rsidR="004B1452" w:rsidRDefault="004B1452" w:rsidP="004B1452">
      <w:pPr>
        <w:spacing w:before="240" w:after="240"/>
        <w:outlineLvl w:val="2"/>
        <w:rPr>
          <w:b/>
          <w:bCs/>
        </w:rPr>
      </w:pPr>
      <w:bookmarkStart w:id="197" w:name="_Toc139361998"/>
      <w:r>
        <w:rPr>
          <w:b/>
          <w:bCs/>
        </w:rPr>
        <w:lastRenderedPageBreak/>
        <w:t xml:space="preserve">4.2.3. </w:t>
      </w:r>
      <w:r>
        <w:rPr>
          <w:b/>
        </w:rPr>
        <w:t xml:space="preserve">Фармакодинамические </w:t>
      </w:r>
      <w:r>
        <w:rPr>
          <w:b/>
          <w:bCs/>
        </w:rPr>
        <w:t>лекарственные взаимодействия</w:t>
      </w:r>
      <w:bookmarkEnd w:id="197"/>
    </w:p>
    <w:p w14:paraId="617C1341" w14:textId="55885032" w:rsidR="004B1452" w:rsidRDefault="004B1452" w:rsidP="004B1452">
      <w:pPr>
        <w:ind w:firstLine="709"/>
      </w:pPr>
      <w:r w:rsidRPr="009E601D">
        <w:t xml:space="preserve">В клинических исследованиях, где </w:t>
      </w:r>
      <w:r w:rsidR="00291BDF" w:rsidRPr="009E601D">
        <w:t xml:space="preserve">линаглиптин </w:t>
      </w:r>
      <w:r w:rsidRPr="009E601D">
        <w:t>применялся в виде монотерапии, комбинированной терапии с метформином, комбинированной терапии с препаратами сульфонилмочевины, комбинированной терапии с инсулином, комбинированной терапии с метформином и препаратами сульфонилмочевины, комбинированной терапии с пиоглитазоном, комбинированной терапии с метформином и пиоглитазоном, комбинированной терапии с метформином</w:t>
      </w:r>
      <w:r w:rsidR="00291BDF">
        <w:t xml:space="preserve"> в сравнении с глимепиридом был</w:t>
      </w:r>
      <w:r w:rsidRPr="009E601D">
        <w:t xml:space="preserve"> </w:t>
      </w:r>
      <w:r>
        <w:t xml:space="preserve">показан аддитивный эффект комбинации препаратов, </w:t>
      </w:r>
      <w:r w:rsidRPr="009E601D">
        <w:t>доказано статистически значимое снижение гликированного НЬА1с и уменьшение концентрации глюкозы плазмы натощак (ГПН)</w:t>
      </w:r>
      <w:r>
        <w:t xml:space="preserve"> </w:t>
      </w:r>
      <w:r>
        <w:fldChar w:fldCharType="begin"/>
      </w:r>
      <w:r>
        <w:instrText xml:space="preserve"> ADDIN ZOTERO_ITEM CSL_CITATION {"citationID":"xijrlV1y","properties":{"formattedCitation":"[13\\uc0\\u8211{}15]","plainCitation":"[13–15]","noteIndex":0},"citationItems":[{"id":3060,"uris":["http://zotero.org/users/5483459/items/D6EGL64J"],"itemData":{"id":3060,"type":"article-journal","abstract":"We validated the effect of linagliptin, an oral dipeptidyl peptidase-4 inhibitor, on nonalcoholic fatty liver disease (NAFLD) in patients with type 2 diabetes mellitus (T2DM). A total of 50 patients with NAFLD and T2DM treated with metformin were randomized (1:1) to metformin plus add-on linagliptin (linagliptin group) or to an increased dose of metformin (metformin group) for 52 weeks. The primary endpoint was change in hepatic steatosis from baseline to week 52 as quantified by unenhanced computed tomography imaging. Secondary endpoints included changes in the levels of anthropometric, biochemical and adipokinetic markers. The linagliptin group showed no statistically significant reduction in hepatic steatosis as compared to the metformin group (P = 0.97), although changes in hepatic steatosis were significantly correlated with decreased liver enzymes in both groups. Body weight was significantly reduced in the metformin group but not in the linagliptin group (P = 0.002). Serum leptin levels were significantly increased in the linagliptin group compared to the metformin group (P = 0.003), and were correlated with the changes body weight in whole samples. Adverse events were not different between the two groups (P = 0.78). Add-on linagliptin demonstrated a safe profile but was not superior to increased metformin in reducing hepatic steatosis.","container-title":"Diabetes, Obesity &amp; Metabolism","DOI":"10.1111/dom.14263","ISSN":"1463-1326","issue":"3","journalAbbreviation":"Diabetes Obes Metab","language":"eng","note":"PMID: 33236464","page":"832-837","source":"PubMed","title":"Metformin dose increase versus added linagliptin in non-alcoholic fatty liver disease and type 2 diabetes: An analysis of the J-LINK study","title-short":"Metformin dose increase versus added linagliptin in non-alcoholic fatty liver disease and type 2 diabetes","volume":"23","author":[{"family":"Komorizono","given":"Yasuji"},{"family":"Hosoyamada","given":"Kaori"},{"family":"Imamura","given":"Naoko"},{"family":"Kajiya","given":"Shoko"},{"family":"Hashiguchi","given":"Yasuhiro"},{"family":"Ueyama","given":"Norio"},{"family":"Shinmaki","given":"Hirohiko"},{"family":"Koriyama","given":"Nobuyuki"},{"family":"Tsukasa","given":"Masako"},{"family":"Kamada","given":"Tetsuro"}],"issued":{"date-parts":[["2021",3]]}},"label":"page"},{"id":3058,"uris":["http://zotero.org/users/5483459/items/M8CUHEWX"],"itemData":{"id":3058,"type":"article-journal","abstract":"This 24-week, double-blind, placebo-controlled, phase III trial evaluated the efficacy and safety of linagliptin in 206 Chinese patients with inadequately controlled (glycated haemoglobin [HbA1c] 7.5%-10.0%) type 2 diabetes mellitus (T2DM) receiving insulin (basal or premixed) ± metformin. Patients were randomized (1:1) to receive linagliptin 5 mg/d or placebo. The decrease from baseline in HbA1c (primary endpoint) was greater with linagliptin than with placebo (-0.61% vs. -0.20%, adjusted mean difference -0.40%; P = 0.0016). Linagliptin demonstrated significantly greater improvement in 2-hour postprandial glucose (-1.77 mmol/L [-31.95 mg/dL]; P &lt; 0.001), and a numerical reduction in fasting plasma glucose (-0.34 mmol/L [-6.2 mg/dL]; P = 0.2241) versus placebo. Proportionally more patients on linagliptin achieved a HbA1c reduction of ≥0.5% versus those on placebo (odds ratio 2.293, P &lt; 0.01). Adverse events in both groups were similar, with no new safety findings or clinically relevant changes in body weight. Among investigator-defined hypoglycaemic events (linagliptin: 17.3%; placebo: 12.7%; odds ratio 1.48, P = 0.337), none were severe. In Chinese patients with T2DM, linagliptin add-on to insulin improved glycaemic control and was well tolerated, without increased risk of hypoglycaemia or weight gain.","container-title":"Diabetes, Obesity &amp; Metabolism","DOI":"10.1111/dom.14231","ISSN":"1463-1326","issue":"2","journalAbbreviation":"Diabetes Obes Metab","language":"eng","note":"PMID: 33074590","page":"642-647","source":"PubMed","title":"Efficacy and safety of linagliptin as add-on therapy to insulin in Chinese patients with type 2 diabetes mellitus: A randomized, double-blind, placebo-controlled trial","title-short":"Efficacy and safety of linagliptin as add-on therapy to insulin in Chinese patients with type 2 diabetes mellitus","volume":"23","author":[{"family":"Yang","given":"Wenying"},{"family":"Xu","given":"Xiangjin"},{"family":"Lei","given":"Tao"},{"family":"Ma","given":"Jianhua"},{"family":"Li","given":"Ling"},{"family":"Shen","given":"Jie"},{"family":"Ye","given":"Binqi"},{"family":"Zhu","given":"Sandy"},{"family":"Meinicke","given":"Thomas"}],"issued":{"date-parts":[["2021",2]]}},"label":"page"},{"id":3055,"uris":["http://zotero.org/users/5483459/items/IS4372AD"],"itemData":{"id":3055,"type":"article-journal","abstract":"OBJECTIVES: Fixed-dose combination (FDC) therapy can improve outcomes in type 2 diabetes (T2D). We evaluated the bioequivalence of 2 doses of an FDC of extended-release metformin (metformin XR), empagliflozin, a sodium-glucose co-transporter 2 inhibitor, and linagliptin, a dipeptidyl peptidase-4 inhibitor, versus corresponding free tablet combinations.\nMETHODS: Two randomized, open-label, two-way crossover studies in healthy adults compared: 2 FDC tablets of empagliflozin 5 mg/linagliptin 2.5 mg/metformin XR 1000 mg (Study 1; N = 30), 1 FDC tablet of empagliflozin 25 mg/linagliptin 5 mg/metformin XR 1000 mg (Study 2; N = 30) versus corresponding dose of free combinations. Subjects received study medication under fed conditions; washout was ≥35 days between treatments. Primary endpoints: area under the plasma concentration-time curve (AUC) from time 0 to last quantifiable data point for empagliflozin and metformin; AUC from time 0 to 72 hours for linagliptin, and peak plasma concentration (Cmax) for empagliflozin, linagliptin, and metformin. Bioequivalence was defined as adjusted geometric mean ratios (FDC: free combination) and two-sided 90% confidence intervals (CIs) of AUC and Cmax for each component within 80.00-125.00%.\nRESULTS: Study 1: 27/29 and 28/30 treated participants were included in the pharmacokinetic analysis for the FDC and free combination periods, respectively. Study 2: 29/29 treated participants were included in the pharmacokinetic analysis for both periods. The adjusted geometric mean ratios of FDCs to their respective free tablet combinations and two-sided 90% CIs were all within the predefined range. The shapes of the mean plasma concentration-time profile of empagliflozin, linagliptin, and metformin XR were similar for subjects in the FDC and free combination groups in both studies. No serious adverse events were reported.\nCONCLUSION: The evaluated doses of empagliflozin/linagliptin/metformin XR FDC tablets were bioequivalent to the corresponding free combinations. Based on these two bioequivalence studies and existing phase 3 data, the FDA has recently approved this triple FDC to improve glycemic control in adults with T2D.","container-title":"Postgraduate Medicine","DOI":"10.1080/00325481.2020.1750228","ISSN":"1941-9260","issue":"4","journalAbbreviation":"Postgrad Med","language":"eng","note":"PMID: 32366156","page":"337-345","source":"PubMed","title":"Triple fixed-dose combination empagliflozin, linagliptin, and metformin for patients with type 2 diabetes","volume":"132","author":[{"family":"Lingvay","given":"Ildiko"},{"family":"Beetz","given":"Nadine"},{"family":"Sennewald","given":"Regina"},{"family":"Schuler-Metz","given":"Annette"},{"family":"Bertulis","given":"Julia"},{"family":"Loley","given":"Christina"},{"family":"Lang","given":"Benjamin"},{"family":"Lippert","given":"Caroline"},{"family":"Lee","given":"Jisoo"},{"family":"Manning","given":"Linda Shapiro"},{"family":"Terada","given":"Derek"}],"issued":{"date-parts":[["2020",5]]}},"label":"page"}],"schema":"https://github.com/citation-style-language/schema/raw/master/csl-citation.json"} </w:instrText>
      </w:r>
      <w:r>
        <w:fldChar w:fldCharType="separate"/>
      </w:r>
      <w:r w:rsidRPr="00441D58">
        <w:t>[13–15]</w:t>
      </w:r>
      <w:r>
        <w:fldChar w:fldCharType="end"/>
      </w:r>
      <w:r>
        <w:t>.</w:t>
      </w:r>
    </w:p>
    <w:p w14:paraId="6FFB8B56" w14:textId="77777777" w:rsidR="004B1452" w:rsidRDefault="004B1452" w:rsidP="0049695C">
      <w:pPr>
        <w:pStyle w:val="2"/>
        <w:spacing w:line="240" w:lineRule="auto"/>
        <w:rPr>
          <w:color w:val="000000" w:themeColor="text1"/>
          <w:szCs w:val="24"/>
        </w:rPr>
      </w:pPr>
      <w:bookmarkStart w:id="198" w:name="_Toc139361999"/>
      <w:r w:rsidRPr="003C3091">
        <w:rPr>
          <w:color w:val="000000" w:themeColor="text1"/>
          <w:szCs w:val="24"/>
        </w:rPr>
        <w:t>4.3. Безопасность и эффективность</w:t>
      </w:r>
      <w:bookmarkEnd w:id="198"/>
    </w:p>
    <w:p w14:paraId="201D6392" w14:textId="77777777" w:rsidR="004B1452" w:rsidRDefault="004B1452" w:rsidP="0049695C">
      <w:pPr>
        <w:pStyle w:val="3"/>
        <w:spacing w:after="240"/>
        <w:rPr>
          <w:rFonts w:ascii="Times New Roman" w:hAnsi="Times New Roman"/>
          <w:szCs w:val="24"/>
        </w:rPr>
      </w:pPr>
      <w:bookmarkStart w:id="199" w:name="_Toc52190587"/>
      <w:bookmarkStart w:id="200" w:name="_Toc139362000"/>
      <w:r w:rsidRPr="003C3091">
        <w:rPr>
          <w:rFonts w:ascii="Times New Roman" w:hAnsi="Times New Roman"/>
          <w:szCs w:val="24"/>
        </w:rPr>
        <w:t>4.3.1</w:t>
      </w:r>
      <w:bookmarkEnd w:id="199"/>
      <w:r w:rsidRPr="003C3091">
        <w:rPr>
          <w:rFonts w:ascii="Times New Roman" w:hAnsi="Times New Roman"/>
          <w:szCs w:val="24"/>
        </w:rPr>
        <w:t>. Клиническая эффективность</w:t>
      </w:r>
      <w:bookmarkEnd w:id="200"/>
    </w:p>
    <w:p w14:paraId="22819F4C" w14:textId="63C7EBCB" w:rsidR="004B1452" w:rsidRDefault="00831299" w:rsidP="00DB7BBA">
      <w:pPr>
        <w:ind w:firstLine="709"/>
      </w:pPr>
      <w:r>
        <w:t>Проведено</w:t>
      </w:r>
      <w:r w:rsidR="004B1452">
        <w:t xml:space="preserve"> одиннадцать исследований </w:t>
      </w:r>
      <w:r w:rsidR="007B74F8">
        <w:t>II</w:t>
      </w:r>
      <w:r w:rsidR="004B1452">
        <w:t>/</w:t>
      </w:r>
      <w:r w:rsidR="007B74F8">
        <w:t>III</w:t>
      </w:r>
      <w:r w:rsidR="004B1452">
        <w:t xml:space="preserve"> фазы с различным дизайном, продолжительностью лечения и различными конечными точками эффективности и безопасности линаглиптина. В этих 11 исследованиях 4278 пациентов получали линаглиптин (в любой дозе), а 3872 </w:t>
      </w:r>
      <w:r w:rsidR="00D45BBB">
        <w:t>–</w:t>
      </w:r>
      <w:r w:rsidR="004B1452">
        <w:t xml:space="preserve"> линаглиптин в дозе 5 мг. В общей сложности 1117 пациентов получали плацебо и 1073 пациента </w:t>
      </w:r>
      <w:r w:rsidR="00D45BBB">
        <w:t>–</w:t>
      </w:r>
      <w:r w:rsidR="004B1452">
        <w:t xml:space="preserve"> линаглиптин. </w:t>
      </w:r>
    </w:p>
    <w:p w14:paraId="61C8F67B" w14:textId="15FABF5C" w:rsidR="004B1452" w:rsidRDefault="004B1452" w:rsidP="00DB7BBA">
      <w:pPr>
        <w:ind w:firstLine="709"/>
      </w:pPr>
      <w:bookmarkStart w:id="201" w:name="_Hlk121101759"/>
      <w:bookmarkStart w:id="202" w:name="_Hlk121691023"/>
      <w:r>
        <w:t xml:space="preserve">Программа </w:t>
      </w:r>
      <w:r w:rsidR="00DB7BBA">
        <w:t xml:space="preserve">исследований </w:t>
      </w:r>
      <w:r>
        <w:t xml:space="preserve">III фазы линаглиптина </w:t>
      </w:r>
      <w:r w:rsidR="00DB7BBA">
        <w:t>включала изучение</w:t>
      </w:r>
      <w:r>
        <w:t xml:space="preserve"> эффективност</w:t>
      </w:r>
      <w:r w:rsidR="00DB7BBA">
        <w:t>и</w:t>
      </w:r>
      <w:r>
        <w:t xml:space="preserve"> линаглиптина в монотерапии и в комбинации с 3 важными </w:t>
      </w:r>
      <w:r w:rsidR="007B74F8">
        <w:t>гипогли</w:t>
      </w:r>
      <w:r w:rsidR="00134FD6">
        <w:t>кемическими препаратами</w:t>
      </w:r>
      <w:r>
        <w:t xml:space="preserve">: метформином, сульфонилмочевиной и агонистом пиоглитазоном. Предполагалось, что эти комбинации будут </w:t>
      </w:r>
      <w:r w:rsidR="00134FD6">
        <w:t>клинически эффективны</w:t>
      </w:r>
      <w:r>
        <w:t xml:space="preserve">, учитывая потенциально взаимодополняющие механизмы действия </w:t>
      </w:r>
      <w:r w:rsidR="00134FD6">
        <w:t>–</w:t>
      </w:r>
      <w:r>
        <w:t xml:space="preserve"> добавление </w:t>
      </w:r>
      <w:r w:rsidR="00134FD6">
        <w:t>препаратов</w:t>
      </w:r>
      <w:r>
        <w:t xml:space="preserve">, направленных на инсулинорезистентность и/или чрезмерное печеночное производство глюкозы (агонист PPARγ или метформин) с линаглиптином, препаратом, действие которого направлено на повышение секреции инсулина и снижение концентрации глюкагона </w:t>
      </w:r>
      <w:r>
        <w:fldChar w:fldCharType="begin"/>
      </w:r>
      <w:r>
        <w:instrText xml:space="preserve"> ADDIN ZOTERO_ITEM CSL_CITATION {"citationID":"DHU5zDjm","properties":{"formattedCitation":"[2]","plainCitation":"[2]","noteIndex":0},"citationItems":[{"id":2939,"uris":["http://zotero.org/users/5483459/items/SJBZ4HU2"],"itemData":{"id":2939,"type":"document","title":"European  Medicines Agency.Assessment report Trajenta (linagliptin). Procedure No.: EMEA/H/C/002110/0000"}}],"schema":"https://github.com/citation-style-language/schema/raw/master/csl-citation.json"} </w:instrText>
      </w:r>
      <w:r>
        <w:fldChar w:fldCharType="separate"/>
      </w:r>
      <w:r w:rsidRPr="007A4188">
        <w:t>[2]</w:t>
      </w:r>
      <w:r>
        <w:fldChar w:fldCharType="end"/>
      </w:r>
      <w:bookmarkEnd w:id="201"/>
      <w:r>
        <w:t>.</w:t>
      </w:r>
    </w:p>
    <w:bookmarkEnd w:id="202"/>
    <w:p w14:paraId="12297EAF" w14:textId="77777777" w:rsidR="00353C82" w:rsidRPr="00353C82" w:rsidRDefault="00353C82" w:rsidP="00353C82">
      <w:pPr>
        <w:ind w:firstLine="709"/>
        <w:rPr>
          <w:color w:val="000000" w:themeColor="text1"/>
        </w:rPr>
      </w:pPr>
      <w:r w:rsidRPr="00353C82">
        <w:rPr>
          <w:color w:val="000000" w:themeColor="text1"/>
        </w:rPr>
        <w:t>В Таблице 4–1 представлены данные базовых исследований эффективности, эти исследования были рандомизированными, международными, двойными слепыми, плацебо-контролируемыми, продолжительностью до 52 недель. Рандомизация была стратифицирована по уровню HbA1c и объему предшествующего противодиабетического лечения.</w:t>
      </w:r>
    </w:p>
    <w:p w14:paraId="5CEDA7BC" w14:textId="77777777" w:rsidR="00353C82" w:rsidRPr="00353C82" w:rsidRDefault="00353C82" w:rsidP="00353C82">
      <w:pPr>
        <w:ind w:firstLine="709"/>
      </w:pPr>
    </w:p>
    <w:p w14:paraId="15D14598" w14:textId="3CB78274" w:rsidR="00353C82" w:rsidRPr="00353C82" w:rsidRDefault="00353C82" w:rsidP="00353C82">
      <w:r w:rsidRPr="00353C82">
        <w:rPr>
          <w:b/>
          <w:bCs/>
        </w:rPr>
        <w:t xml:space="preserve">Таблица 4-1. </w:t>
      </w:r>
      <w:r w:rsidRPr="00353C82">
        <w:t>Регистрационные исследования III фазы при применении линаглиптина в монотерапии и в комбинированной терапии с другими гипогликемичес</w:t>
      </w:r>
      <w:r w:rsidR="00C878FE">
        <w:t>кими лекарственными препаратами</w:t>
      </w:r>
    </w:p>
    <w:tbl>
      <w:tblPr>
        <w:tblStyle w:val="a8"/>
        <w:tblW w:w="9351" w:type="dxa"/>
        <w:tblLayout w:type="fixed"/>
        <w:tblLook w:val="04A0" w:firstRow="1" w:lastRow="0" w:firstColumn="1" w:lastColumn="0" w:noHBand="0" w:noVBand="1"/>
      </w:tblPr>
      <w:tblGrid>
        <w:gridCol w:w="2547"/>
        <w:gridCol w:w="2835"/>
        <w:gridCol w:w="1417"/>
        <w:gridCol w:w="1701"/>
        <w:gridCol w:w="851"/>
      </w:tblGrid>
      <w:tr w:rsidR="00353C82" w:rsidRPr="00353C82" w14:paraId="6A27DE3C" w14:textId="77777777" w:rsidTr="000D5A5B">
        <w:trPr>
          <w:tblHeader/>
        </w:trPr>
        <w:tc>
          <w:tcPr>
            <w:tcW w:w="2547" w:type="dxa"/>
            <w:shd w:val="clear" w:color="auto" w:fill="D9D9D9" w:themeFill="background1" w:themeFillShade="D9"/>
            <w:vAlign w:val="center"/>
          </w:tcPr>
          <w:p w14:paraId="1867943D" w14:textId="77777777" w:rsidR="00353C82" w:rsidRPr="00353C82" w:rsidRDefault="00353C82" w:rsidP="00353C82">
            <w:pPr>
              <w:jc w:val="center"/>
              <w:rPr>
                <w:b/>
                <w:bCs/>
                <w:sz w:val="22"/>
                <w:szCs w:val="22"/>
              </w:rPr>
            </w:pPr>
            <w:bookmarkStart w:id="203" w:name="_Hlk118109450"/>
            <w:r w:rsidRPr="00353C82">
              <w:rPr>
                <w:b/>
                <w:bCs/>
                <w:sz w:val="22"/>
                <w:szCs w:val="22"/>
              </w:rPr>
              <w:t>Нозология, схема терапии</w:t>
            </w:r>
          </w:p>
        </w:tc>
        <w:tc>
          <w:tcPr>
            <w:tcW w:w="2835" w:type="dxa"/>
            <w:shd w:val="clear" w:color="auto" w:fill="D9D9D9" w:themeFill="background1" w:themeFillShade="D9"/>
            <w:vAlign w:val="center"/>
          </w:tcPr>
          <w:p w14:paraId="58AEAE97" w14:textId="77777777" w:rsidR="00353C82" w:rsidRPr="00353C82" w:rsidRDefault="00353C82" w:rsidP="00353C82">
            <w:pPr>
              <w:ind w:left="-105" w:right="-108"/>
              <w:jc w:val="center"/>
              <w:rPr>
                <w:b/>
                <w:bCs/>
                <w:sz w:val="22"/>
                <w:szCs w:val="22"/>
              </w:rPr>
            </w:pPr>
            <w:r w:rsidRPr="00353C82">
              <w:rPr>
                <w:b/>
                <w:bCs/>
                <w:sz w:val="22"/>
                <w:szCs w:val="22"/>
              </w:rPr>
              <w:t>Идентификационный</w:t>
            </w:r>
          </w:p>
          <w:p w14:paraId="406CCD2B" w14:textId="77777777" w:rsidR="00353C82" w:rsidRPr="00353C82" w:rsidRDefault="00353C82" w:rsidP="00353C82">
            <w:pPr>
              <w:ind w:left="-105" w:right="-108"/>
              <w:jc w:val="center"/>
              <w:rPr>
                <w:b/>
                <w:bCs/>
                <w:sz w:val="22"/>
                <w:szCs w:val="22"/>
              </w:rPr>
            </w:pPr>
            <w:r w:rsidRPr="00353C82">
              <w:rPr>
                <w:b/>
                <w:bCs/>
                <w:sz w:val="22"/>
                <w:szCs w:val="22"/>
              </w:rPr>
              <w:t>номер</w:t>
            </w:r>
          </w:p>
        </w:tc>
        <w:tc>
          <w:tcPr>
            <w:tcW w:w="1417" w:type="dxa"/>
            <w:shd w:val="clear" w:color="auto" w:fill="D9D9D9" w:themeFill="background1" w:themeFillShade="D9"/>
            <w:vAlign w:val="center"/>
          </w:tcPr>
          <w:p w14:paraId="2907BD32" w14:textId="77777777" w:rsidR="00353C82" w:rsidRPr="00353C82" w:rsidRDefault="00353C82" w:rsidP="00353C82">
            <w:pPr>
              <w:jc w:val="center"/>
              <w:rPr>
                <w:b/>
                <w:bCs/>
                <w:sz w:val="22"/>
                <w:szCs w:val="22"/>
              </w:rPr>
            </w:pPr>
            <w:r w:rsidRPr="00353C82">
              <w:rPr>
                <w:b/>
                <w:bCs/>
                <w:sz w:val="22"/>
                <w:szCs w:val="22"/>
              </w:rPr>
              <w:t>Количество пациентов</w:t>
            </w:r>
          </w:p>
        </w:tc>
        <w:tc>
          <w:tcPr>
            <w:tcW w:w="1701" w:type="dxa"/>
            <w:shd w:val="clear" w:color="auto" w:fill="D9D9D9" w:themeFill="background1" w:themeFillShade="D9"/>
            <w:vAlign w:val="center"/>
          </w:tcPr>
          <w:p w14:paraId="28F1E116" w14:textId="77777777" w:rsidR="00353C82" w:rsidRPr="00353C82" w:rsidRDefault="00353C82" w:rsidP="00353C82">
            <w:pPr>
              <w:jc w:val="center"/>
              <w:rPr>
                <w:b/>
                <w:bCs/>
                <w:sz w:val="22"/>
                <w:szCs w:val="22"/>
              </w:rPr>
            </w:pPr>
            <w:r w:rsidRPr="00353C82">
              <w:rPr>
                <w:b/>
                <w:bCs/>
                <w:sz w:val="22"/>
                <w:szCs w:val="22"/>
              </w:rPr>
              <w:t>Первичная конечна точка</w:t>
            </w:r>
          </w:p>
        </w:tc>
        <w:tc>
          <w:tcPr>
            <w:tcW w:w="851" w:type="dxa"/>
            <w:shd w:val="clear" w:color="auto" w:fill="D9D9D9" w:themeFill="background1" w:themeFillShade="D9"/>
            <w:vAlign w:val="center"/>
          </w:tcPr>
          <w:p w14:paraId="6254CC20" w14:textId="77777777" w:rsidR="00353C82" w:rsidRPr="00353C82" w:rsidRDefault="00353C82" w:rsidP="00353C82">
            <w:pPr>
              <w:ind w:left="-88"/>
              <w:jc w:val="center"/>
              <w:rPr>
                <w:b/>
                <w:bCs/>
                <w:sz w:val="22"/>
                <w:szCs w:val="22"/>
              </w:rPr>
            </w:pPr>
            <w:r w:rsidRPr="00353C82">
              <w:rPr>
                <w:b/>
                <w:bCs/>
                <w:sz w:val="22"/>
                <w:szCs w:val="22"/>
              </w:rPr>
              <w:t>Публикации</w:t>
            </w:r>
          </w:p>
        </w:tc>
      </w:tr>
      <w:tr w:rsidR="00353C82" w:rsidRPr="00353C82" w14:paraId="04ADC869" w14:textId="77777777" w:rsidTr="0049695C">
        <w:tc>
          <w:tcPr>
            <w:tcW w:w="2547" w:type="dxa"/>
          </w:tcPr>
          <w:p w14:paraId="1685923E" w14:textId="77777777" w:rsidR="00353C82" w:rsidRPr="00353C82" w:rsidRDefault="00353C82" w:rsidP="0049695C">
            <w:pPr>
              <w:spacing w:before="120" w:after="120"/>
              <w:jc w:val="left"/>
              <w:rPr>
                <w:sz w:val="22"/>
                <w:szCs w:val="22"/>
              </w:rPr>
            </w:pPr>
            <w:r w:rsidRPr="00353C82">
              <w:rPr>
                <w:sz w:val="22"/>
                <w:szCs w:val="22"/>
              </w:rPr>
              <w:t>СД2, монотерапия</w:t>
            </w:r>
          </w:p>
        </w:tc>
        <w:tc>
          <w:tcPr>
            <w:tcW w:w="2835" w:type="dxa"/>
          </w:tcPr>
          <w:p w14:paraId="1D482453" w14:textId="77777777" w:rsidR="00353C82" w:rsidRPr="00353C82" w:rsidRDefault="00353C82" w:rsidP="0049695C">
            <w:pPr>
              <w:jc w:val="left"/>
              <w:rPr>
                <w:sz w:val="22"/>
                <w:szCs w:val="22"/>
              </w:rPr>
            </w:pPr>
            <w:r w:rsidRPr="00353C82">
              <w:rPr>
                <w:sz w:val="22"/>
                <w:szCs w:val="22"/>
              </w:rPr>
              <w:t>1218.16</w:t>
            </w:r>
          </w:p>
          <w:p w14:paraId="2583D053" w14:textId="730B94A4" w:rsidR="00353C82" w:rsidRPr="00353C82" w:rsidRDefault="00353C82" w:rsidP="0049695C">
            <w:pPr>
              <w:jc w:val="left"/>
              <w:rPr>
                <w:sz w:val="22"/>
                <w:szCs w:val="22"/>
                <w:lang w:val="en-US"/>
              </w:rPr>
            </w:pPr>
          </w:p>
          <w:p w14:paraId="4CDBB80C" w14:textId="77777777" w:rsidR="00353C82" w:rsidRPr="00353C82" w:rsidRDefault="00353C82" w:rsidP="0049695C">
            <w:pPr>
              <w:jc w:val="left"/>
              <w:rPr>
                <w:sz w:val="22"/>
                <w:szCs w:val="22"/>
                <w:lang w:val="en-US"/>
              </w:rPr>
            </w:pPr>
            <w:r w:rsidRPr="00353C82">
              <w:rPr>
                <w:sz w:val="22"/>
                <w:szCs w:val="22"/>
                <w:lang w:val="en-US"/>
              </w:rPr>
              <w:t>ClinicalTrials.gov Identifier*</w:t>
            </w:r>
          </w:p>
          <w:p w14:paraId="24309188" w14:textId="77777777" w:rsidR="00353C82" w:rsidRPr="00353C82" w:rsidRDefault="00353C82" w:rsidP="0049695C">
            <w:pPr>
              <w:jc w:val="left"/>
              <w:rPr>
                <w:sz w:val="22"/>
                <w:szCs w:val="22"/>
              </w:rPr>
            </w:pPr>
            <w:r w:rsidRPr="00353C82">
              <w:rPr>
                <w:sz w:val="22"/>
                <w:szCs w:val="22"/>
                <w:lang w:val="en-US"/>
              </w:rPr>
              <w:t>NCT00621140</w:t>
            </w:r>
          </w:p>
        </w:tc>
        <w:tc>
          <w:tcPr>
            <w:tcW w:w="1417" w:type="dxa"/>
          </w:tcPr>
          <w:p w14:paraId="764BDAD5" w14:textId="77777777" w:rsidR="00353C82" w:rsidRPr="00353C82" w:rsidRDefault="00353C82" w:rsidP="0049695C">
            <w:pPr>
              <w:jc w:val="left"/>
              <w:rPr>
                <w:sz w:val="22"/>
                <w:szCs w:val="22"/>
              </w:rPr>
            </w:pPr>
            <w:r w:rsidRPr="00353C82">
              <w:rPr>
                <w:sz w:val="22"/>
                <w:szCs w:val="22"/>
              </w:rPr>
              <w:t>503</w:t>
            </w:r>
          </w:p>
        </w:tc>
        <w:tc>
          <w:tcPr>
            <w:tcW w:w="1701" w:type="dxa"/>
          </w:tcPr>
          <w:p w14:paraId="571701B5" w14:textId="77777777" w:rsidR="00353C82" w:rsidRPr="00353C82" w:rsidRDefault="00353C82" w:rsidP="0049695C">
            <w:pPr>
              <w:jc w:val="left"/>
              <w:rPr>
                <w:sz w:val="22"/>
                <w:szCs w:val="22"/>
              </w:rPr>
            </w:pPr>
            <w:r w:rsidRPr="00353C82">
              <w:rPr>
                <w:sz w:val="22"/>
                <w:szCs w:val="22"/>
              </w:rPr>
              <w:t>Динамика HbA1c</w:t>
            </w:r>
          </w:p>
        </w:tc>
        <w:tc>
          <w:tcPr>
            <w:tcW w:w="851" w:type="dxa"/>
          </w:tcPr>
          <w:p w14:paraId="28A95EFD" w14:textId="77777777" w:rsidR="00353C82" w:rsidRPr="00353C82" w:rsidRDefault="00353C82" w:rsidP="0049695C">
            <w:pPr>
              <w:ind w:right="182" w:firstLine="32"/>
              <w:jc w:val="left"/>
              <w:rPr>
                <w:sz w:val="22"/>
                <w:szCs w:val="22"/>
              </w:rPr>
            </w:pPr>
            <w:r w:rsidRPr="00353C82">
              <w:rPr>
                <w:sz w:val="22"/>
                <w:szCs w:val="22"/>
              </w:rPr>
              <w:fldChar w:fldCharType="begin"/>
            </w:r>
            <w:r w:rsidRPr="00353C82">
              <w:rPr>
                <w:sz w:val="22"/>
                <w:szCs w:val="22"/>
              </w:rPr>
              <w:instrText xml:space="preserve"> ADDIN ZOTERO_ITEM CSL_CITATION {"citationID":"Q8QrsPjd","properties":{"formattedCitation":"[16]","plainCitation":"[16]","noteIndex":0},"citationItems":[{"id":3067,"uris":["http://zotero.org/users/5483459/items/YW5AZQKD"],"itemData":{"id":3067,"type":"article-journal","abstract":"AIM: To assess the safety and efficacy of the potent and selective dipeptidyl peptidase-4 inhibitor linagliptin 5 mg when given for 24 weeks to patients with type 2 diabetes who were either treatment-naive or who had received one oral antidiabetes drug (OAD).\nMETHODS: This multicentre, randomized, parallel group, phase III study compared linagliptin treatment (5 mg once daily, n = 336) with placebo (n = 167) for 24 weeks in type 2 diabetes patients. Before randomization, patients pretreated with one OAD underwent a washout period of 6 weeks, which included a placebo run-in period during the last 2 weeks. Patients previously untreated with an OAD underwent a 2-week placebo run-in period. The primary endpoint was the change in HbA1c from baseline after 24 weeks of treatment.\nRESULTS: Linagliptin treatment resulted in a placebo-corrected change in HbA1c from baseline of -0.69% (p &lt; 0.0001) at 24 weeks. In patients with baseline HbA1c ≥ 9.0%, the adjusted reduction in HbA1c was 1.01% (p &lt; 0.0001). Patients treated with linagliptin were more likely to achieve a reduction in HbA1c of ≥0.5% at 24 weeks than those in the placebo arm (47.1 and 19.0%, respectively; odds ratio, OR = 4.2, p &lt; 0.0001). Fasting plasma glucose improved by -1.3 mmol/l (p &lt; 0.0001) with linagliptin vs. placebo, and linagliptin produced an adjusted mean reduction from baseline after 24 weeks in 2-h postprandial glucose of -3.2 mmol/l (p &lt; 0.0001). Statistically significant and relevant treatment differences were observed for proinsulin/insulin ratio (p = 0.025), Homeostasis Model Assessment-%B (p = 0.049) and disposition index (p = 0.0005). There was no excess of hypoglycaemic episodes with linagliptin vs. placebo and no patient required third-party intervention. Mild or moderate renal impairment did not influence the trough plasma levels of linagliptin.\nCONCLUSIONS: Monotherapy with linagliptin produced a significant, clinically meaningful and sustained improvement in glycaemic control, accompanied by enhanced parameters of β-cell function. The safety profile of linagliptin was comparable with that of placebo.","container-title":"Diabetes, Obesity &amp; Metabolism","DOI":"10.1111/j.1463-1326.2010.01350.x","ISSN":"1463-1326","issue":"3","journalAbbreviation":"Diabetes Obes Metab","language":"eng","note":"PMID: 21205122","page":"258-267","source":"PubMed","title":"Effect of linagliptin monotherapy on glycaemic control and markers of β-cell function in patients with inadequately controlled type 2 diabetes: a randomized controlled trial","title-short":"Effect of linagliptin monotherapy on glycaemic control and markers of β-cell function in patients with inadequately controlled type 2 diabetes","volume":"13","author":[{"family":"Del Prato","given":"S."},{"family":"Barnett","given":"A. H."},{"family":"Huisman","given":"H."},{"family":"Neubacher","given":"D."},{"family":"Woerle","given":"H.-J."},{"family":"Dugi","given":"K. A."}],"issued":{"date-parts":[["2011",3]]}}}],"schema":"https://github.com/citation-style-language/schema/raw/master/csl-citation.json"} </w:instrText>
            </w:r>
            <w:r w:rsidRPr="00353C82">
              <w:rPr>
                <w:sz w:val="22"/>
                <w:szCs w:val="22"/>
              </w:rPr>
              <w:fldChar w:fldCharType="separate"/>
            </w:r>
            <w:r w:rsidRPr="00353C82">
              <w:rPr>
                <w:sz w:val="22"/>
                <w:szCs w:val="22"/>
              </w:rPr>
              <w:t>[16]</w:t>
            </w:r>
            <w:r w:rsidRPr="00353C82">
              <w:rPr>
                <w:sz w:val="22"/>
                <w:szCs w:val="22"/>
              </w:rPr>
              <w:fldChar w:fldCharType="end"/>
            </w:r>
          </w:p>
        </w:tc>
      </w:tr>
      <w:tr w:rsidR="00353C82" w:rsidRPr="00353C82" w14:paraId="352FBC08" w14:textId="77777777" w:rsidTr="0049695C">
        <w:tc>
          <w:tcPr>
            <w:tcW w:w="2547" w:type="dxa"/>
          </w:tcPr>
          <w:p w14:paraId="19EE15F9" w14:textId="77777777" w:rsidR="00353C82" w:rsidRPr="00353C82" w:rsidRDefault="00353C82" w:rsidP="0049695C">
            <w:pPr>
              <w:jc w:val="left"/>
              <w:rPr>
                <w:sz w:val="22"/>
                <w:szCs w:val="22"/>
              </w:rPr>
            </w:pPr>
            <w:r w:rsidRPr="00353C82">
              <w:rPr>
                <w:sz w:val="22"/>
                <w:szCs w:val="22"/>
              </w:rPr>
              <w:t>СД2, комбинированнаяс пиоглитазоном</w:t>
            </w:r>
          </w:p>
        </w:tc>
        <w:tc>
          <w:tcPr>
            <w:tcW w:w="2835" w:type="dxa"/>
          </w:tcPr>
          <w:p w14:paraId="5DCDC347" w14:textId="77777777" w:rsidR="00353C82" w:rsidRPr="00353C82" w:rsidRDefault="00353C82" w:rsidP="0049695C">
            <w:pPr>
              <w:jc w:val="left"/>
              <w:rPr>
                <w:sz w:val="22"/>
                <w:szCs w:val="22"/>
              </w:rPr>
            </w:pPr>
            <w:r w:rsidRPr="00353C82">
              <w:rPr>
                <w:sz w:val="22"/>
                <w:szCs w:val="22"/>
              </w:rPr>
              <w:t>1218.15</w:t>
            </w:r>
          </w:p>
          <w:p w14:paraId="39C9621F" w14:textId="77777777" w:rsidR="00353C82" w:rsidRPr="00353C82" w:rsidRDefault="00353C82" w:rsidP="0049695C">
            <w:pPr>
              <w:jc w:val="left"/>
              <w:rPr>
                <w:sz w:val="22"/>
                <w:szCs w:val="22"/>
              </w:rPr>
            </w:pPr>
          </w:p>
          <w:p w14:paraId="7DC6053E" w14:textId="77777777" w:rsidR="00353C82" w:rsidRPr="00353C82" w:rsidRDefault="00353C82" w:rsidP="0049695C">
            <w:pPr>
              <w:jc w:val="left"/>
              <w:rPr>
                <w:sz w:val="22"/>
                <w:szCs w:val="22"/>
              </w:rPr>
            </w:pPr>
            <w:bookmarkStart w:id="204" w:name="_Hlk126331420"/>
            <w:r w:rsidRPr="00353C82">
              <w:rPr>
                <w:sz w:val="22"/>
                <w:szCs w:val="22"/>
                <w:lang w:val="en-US"/>
              </w:rPr>
              <w:t>ClinicalTrials</w:t>
            </w:r>
            <w:r w:rsidRPr="00353C82">
              <w:rPr>
                <w:sz w:val="22"/>
                <w:szCs w:val="22"/>
              </w:rPr>
              <w:t>.</w:t>
            </w:r>
            <w:r w:rsidRPr="00353C82">
              <w:rPr>
                <w:sz w:val="22"/>
                <w:szCs w:val="22"/>
                <w:lang w:val="en-US"/>
              </w:rPr>
              <w:t>gov</w:t>
            </w:r>
            <w:r w:rsidRPr="00353C82">
              <w:rPr>
                <w:sz w:val="22"/>
                <w:szCs w:val="22"/>
              </w:rPr>
              <w:t xml:space="preserve"> </w:t>
            </w:r>
            <w:r w:rsidRPr="00353C82">
              <w:rPr>
                <w:sz w:val="22"/>
                <w:szCs w:val="22"/>
                <w:lang w:val="en-US"/>
              </w:rPr>
              <w:t>Identifier</w:t>
            </w:r>
            <w:r w:rsidRPr="00353C82">
              <w:rPr>
                <w:sz w:val="22"/>
                <w:szCs w:val="22"/>
              </w:rPr>
              <w:t xml:space="preserve">: </w:t>
            </w:r>
            <w:r w:rsidRPr="00353C82">
              <w:rPr>
                <w:sz w:val="22"/>
                <w:szCs w:val="22"/>
                <w:lang w:val="en-US"/>
              </w:rPr>
              <w:t>NCT</w:t>
            </w:r>
            <w:r w:rsidRPr="00353C82">
              <w:rPr>
                <w:sz w:val="22"/>
                <w:szCs w:val="22"/>
              </w:rPr>
              <w:t>00641043</w:t>
            </w:r>
            <w:bookmarkEnd w:id="204"/>
          </w:p>
        </w:tc>
        <w:tc>
          <w:tcPr>
            <w:tcW w:w="1417" w:type="dxa"/>
          </w:tcPr>
          <w:p w14:paraId="30C40E64" w14:textId="77777777" w:rsidR="00353C82" w:rsidRPr="00353C82" w:rsidRDefault="00353C82" w:rsidP="0049695C">
            <w:pPr>
              <w:jc w:val="left"/>
              <w:rPr>
                <w:sz w:val="22"/>
                <w:szCs w:val="22"/>
              </w:rPr>
            </w:pPr>
            <w:r w:rsidRPr="00353C82">
              <w:rPr>
                <w:color w:val="000000"/>
                <w:sz w:val="22"/>
                <w:szCs w:val="22"/>
                <w:shd w:val="clear" w:color="auto" w:fill="FFFFFF"/>
              </w:rPr>
              <w:t>389</w:t>
            </w:r>
          </w:p>
        </w:tc>
        <w:tc>
          <w:tcPr>
            <w:tcW w:w="1701" w:type="dxa"/>
          </w:tcPr>
          <w:p w14:paraId="6C68D756" w14:textId="77777777" w:rsidR="00353C82" w:rsidRPr="00353C82" w:rsidRDefault="00353C82" w:rsidP="0049695C">
            <w:pPr>
              <w:jc w:val="left"/>
              <w:rPr>
                <w:sz w:val="22"/>
                <w:szCs w:val="22"/>
              </w:rPr>
            </w:pPr>
            <w:r w:rsidRPr="00353C82">
              <w:rPr>
                <w:sz w:val="22"/>
                <w:szCs w:val="22"/>
              </w:rPr>
              <w:t>Динамика HbA1c</w:t>
            </w:r>
          </w:p>
        </w:tc>
        <w:tc>
          <w:tcPr>
            <w:tcW w:w="851" w:type="dxa"/>
          </w:tcPr>
          <w:p w14:paraId="0D19E340" w14:textId="77777777" w:rsidR="00353C82" w:rsidRPr="00353C82" w:rsidRDefault="00353C82" w:rsidP="0049695C">
            <w:pPr>
              <w:ind w:right="182" w:firstLine="32"/>
              <w:jc w:val="left"/>
              <w:rPr>
                <w:sz w:val="22"/>
                <w:szCs w:val="22"/>
              </w:rPr>
            </w:pPr>
            <w:r w:rsidRPr="00353C82">
              <w:rPr>
                <w:sz w:val="22"/>
                <w:szCs w:val="22"/>
              </w:rPr>
              <w:fldChar w:fldCharType="begin"/>
            </w:r>
            <w:r w:rsidRPr="00353C82">
              <w:rPr>
                <w:sz w:val="22"/>
                <w:szCs w:val="22"/>
              </w:rPr>
              <w:instrText xml:space="preserve"> ADDIN ZOTERO_ITEM CSL_CITATION {"citationID":"WrDowhLK","properties":{"formattedCitation":"[17]","plainCitation":"[17]","noteIndex":0},"citationItems":[{"id":3065,"uris":["http://zotero.org/users/5483459/items/LDC4CPNG"],"itemData":{"id":3065,"type":"article-journal","abstract":"AIMS: To compare the efficacy, safety and tolerability of linagliptin or placebo administered for 24 weeks in combination with pioglitazone in patients with type 2 diabetes mellitus (T2DM) exhibiting insufficient glycaemic control (HbA1c 7.5-11.0%).\nMETHODS: Patients were randomized to receive the initial combination of 30 mg pioglitazone plus 5 mg linagliptin (n = 259) or pioglitazone plus placebo (n = 130), all once daily. The primary endpoint was change from baseline in HbA1c after 24 weeks of treatment, adjusted for baseline HbA1c and prior antidiabetes medication.\nRESULTS: After 24 weeks of treatment, the adjusted mean change (±s.e.) in HbA1c with the initial combination of linagliptin plus pioglitazone was -1.06% (±0.06), compared with -0.56% (±0.09) for placebo plus pioglitazone. The difference in adjusted mean HbA1c in the linagliptin group compared with placebo was -0.51% (95% confidence interval [CI] -0.71, -0.30; p &lt; 0.0001). Reductions in fasting plasma glucose (FPG) were significantly greater for linagliptin plus pioglitazone than with placebo plus pioglitazone; -1.8 and -1.0 mmol/l, respectively, equating to a treatment difference of -0.8 mmol/l (95% CI -1.2, -0.4; p &lt; 0.0001). Patients taking linagliptin plus pioglitazone, compared with those receiving placebo plus pioglitazone, were more likely to achieve HbA1c of &lt;7.0% (42.9 vs. 30.5%, respectively; p = 0.0051) and reduction in HbA1c of ≥0.5% (75.0 vs. 50.8%, respectively; p &lt; 0.0001). β-cell function, exemplified by the ratio of relative change in adjusted mean HOMA-IR and disposition index, improved. The proportion of patients that experienced at least one adverse event was similar for both groups. Hypoglycaemic episodes (all mild) occurred in 1.2% of the linagliptin plus pioglitazone patients and none in the placebo plus pioglitazone group.\nCONCLUSION: Initial combination therapy with linagliptin plus pioglitazone was well tolerated and produced significant and clinically meaningful improvements in glycaemic control. This combination may offer a valuable additive initial treatment option for T2DM, particularly where metformin either is not well tolerated or is contraindicated, such as in patients with renal impairment.","container-title":"Diabetes, Obesity &amp; Metabolism","DOI":"10.1111/j.1463-1326.2011.01391.x","ISSN":"1463-1326","issue":"7","journalAbbreviation":"Diabetes Obes Metab","language":"eng","note":"PMID: 21410628","page":"653-661","source":"PubMed","title":"Efficacy and safety of initial combination therapy with linagliptin and pioglitazone in patients with inadequately controlled type 2 diabetes: a randomized, double-blind, placebo-controlled study","title-short":"Efficacy and safety of initial combination therapy with linagliptin and pioglitazone in patients with inadequately controlled type 2 diabetes","volume":"13","author":[{"family":"Gomis","given":"R."},{"family":"Espadero","given":"R.-M."},{"family":"Jones","given":"R."},{"family":"Woerle","given":"H. J."},{"family":"Dugi","given":"K. A."}],"issued":{"date-parts":[["2011",7]]}}}],"schema":"https://github.com/citation-style-language/schema/raw/master/csl-citation.json"} </w:instrText>
            </w:r>
            <w:r w:rsidRPr="00353C82">
              <w:rPr>
                <w:sz w:val="22"/>
                <w:szCs w:val="22"/>
              </w:rPr>
              <w:fldChar w:fldCharType="separate"/>
            </w:r>
            <w:r w:rsidRPr="00353C82">
              <w:rPr>
                <w:sz w:val="22"/>
                <w:szCs w:val="22"/>
              </w:rPr>
              <w:t>[17]</w:t>
            </w:r>
            <w:r w:rsidRPr="00353C82">
              <w:rPr>
                <w:sz w:val="22"/>
                <w:szCs w:val="22"/>
              </w:rPr>
              <w:fldChar w:fldCharType="end"/>
            </w:r>
          </w:p>
        </w:tc>
      </w:tr>
      <w:tr w:rsidR="00353C82" w:rsidRPr="00353C82" w14:paraId="75315113" w14:textId="77777777" w:rsidTr="0049695C">
        <w:tc>
          <w:tcPr>
            <w:tcW w:w="2547" w:type="dxa"/>
          </w:tcPr>
          <w:p w14:paraId="034D5813" w14:textId="77777777" w:rsidR="00353C82" w:rsidRPr="00353C82" w:rsidRDefault="00353C82" w:rsidP="0049695C">
            <w:pPr>
              <w:jc w:val="left"/>
              <w:rPr>
                <w:sz w:val="22"/>
                <w:szCs w:val="22"/>
              </w:rPr>
            </w:pPr>
            <w:r w:rsidRPr="00353C82">
              <w:rPr>
                <w:sz w:val="22"/>
                <w:szCs w:val="22"/>
              </w:rPr>
              <w:t>СД2, комбинированнаяс метформином</w:t>
            </w:r>
          </w:p>
        </w:tc>
        <w:tc>
          <w:tcPr>
            <w:tcW w:w="2835" w:type="dxa"/>
          </w:tcPr>
          <w:p w14:paraId="49388A39" w14:textId="77777777" w:rsidR="00353C82" w:rsidRPr="00353C82" w:rsidRDefault="00353C82" w:rsidP="0049695C">
            <w:pPr>
              <w:jc w:val="left"/>
              <w:rPr>
                <w:sz w:val="22"/>
                <w:szCs w:val="22"/>
              </w:rPr>
            </w:pPr>
            <w:r w:rsidRPr="00353C82">
              <w:rPr>
                <w:sz w:val="22"/>
                <w:szCs w:val="22"/>
              </w:rPr>
              <w:t>1218.17</w:t>
            </w:r>
          </w:p>
          <w:p w14:paraId="191B84D4" w14:textId="77777777" w:rsidR="00353C82" w:rsidRPr="00353C82" w:rsidRDefault="00353C82" w:rsidP="0049695C">
            <w:pPr>
              <w:jc w:val="left"/>
              <w:rPr>
                <w:sz w:val="22"/>
                <w:szCs w:val="22"/>
              </w:rPr>
            </w:pPr>
          </w:p>
          <w:p w14:paraId="4FC37482" w14:textId="77777777" w:rsidR="00353C82" w:rsidRPr="00353C82" w:rsidRDefault="00353C82" w:rsidP="0049695C">
            <w:pPr>
              <w:jc w:val="left"/>
              <w:rPr>
                <w:sz w:val="22"/>
                <w:szCs w:val="22"/>
              </w:rPr>
            </w:pPr>
            <w:r w:rsidRPr="00353C82">
              <w:rPr>
                <w:sz w:val="22"/>
                <w:szCs w:val="22"/>
                <w:lang w:val="en-US"/>
              </w:rPr>
              <w:lastRenderedPageBreak/>
              <w:t>ClinicalTrials.gov Identifier: NCT00601250</w:t>
            </w:r>
          </w:p>
        </w:tc>
        <w:tc>
          <w:tcPr>
            <w:tcW w:w="1417" w:type="dxa"/>
          </w:tcPr>
          <w:p w14:paraId="1859819C" w14:textId="77777777" w:rsidR="00353C82" w:rsidRPr="00353C82" w:rsidRDefault="00353C82" w:rsidP="0049695C">
            <w:pPr>
              <w:jc w:val="left"/>
              <w:rPr>
                <w:sz w:val="22"/>
                <w:szCs w:val="22"/>
              </w:rPr>
            </w:pPr>
            <w:r w:rsidRPr="00353C82">
              <w:rPr>
                <w:sz w:val="22"/>
                <w:szCs w:val="22"/>
              </w:rPr>
              <w:lastRenderedPageBreak/>
              <w:t>701</w:t>
            </w:r>
          </w:p>
        </w:tc>
        <w:tc>
          <w:tcPr>
            <w:tcW w:w="1701" w:type="dxa"/>
          </w:tcPr>
          <w:p w14:paraId="3CCE041B" w14:textId="77777777" w:rsidR="00353C82" w:rsidRPr="00353C82" w:rsidRDefault="00353C82" w:rsidP="0049695C">
            <w:pPr>
              <w:jc w:val="left"/>
              <w:rPr>
                <w:sz w:val="22"/>
                <w:szCs w:val="22"/>
              </w:rPr>
            </w:pPr>
            <w:r w:rsidRPr="00353C82">
              <w:rPr>
                <w:sz w:val="22"/>
                <w:szCs w:val="22"/>
              </w:rPr>
              <w:t>Динамика HbA1c</w:t>
            </w:r>
          </w:p>
        </w:tc>
        <w:tc>
          <w:tcPr>
            <w:tcW w:w="851" w:type="dxa"/>
          </w:tcPr>
          <w:p w14:paraId="46804FC2" w14:textId="77777777" w:rsidR="00353C82" w:rsidRPr="00353C82" w:rsidRDefault="00353C82" w:rsidP="0049695C">
            <w:pPr>
              <w:ind w:right="182" w:firstLine="32"/>
              <w:jc w:val="left"/>
              <w:rPr>
                <w:sz w:val="22"/>
                <w:szCs w:val="22"/>
              </w:rPr>
            </w:pPr>
          </w:p>
          <w:p w14:paraId="4380980C" w14:textId="77777777" w:rsidR="00353C82" w:rsidRPr="00353C82" w:rsidRDefault="00353C82" w:rsidP="0049695C">
            <w:pPr>
              <w:ind w:right="182" w:firstLine="32"/>
              <w:jc w:val="left"/>
              <w:rPr>
                <w:sz w:val="22"/>
                <w:szCs w:val="22"/>
              </w:rPr>
            </w:pPr>
            <w:r w:rsidRPr="00353C82">
              <w:rPr>
                <w:sz w:val="22"/>
                <w:szCs w:val="22"/>
              </w:rPr>
              <w:fldChar w:fldCharType="begin"/>
            </w:r>
            <w:r w:rsidRPr="00353C82">
              <w:rPr>
                <w:sz w:val="22"/>
                <w:szCs w:val="22"/>
              </w:rPr>
              <w:instrText xml:space="preserve"> ADDIN ZOTERO_ITEM CSL_CITATION {"citationID":"nDdpjLOR","properties":{"formattedCitation":"[18]","plainCitation":"[18]","noteIndex":0},"citationItems":[{"id":3069,"uris":["http://zotero.org/users/5483459/items/FDFZTR65"],"itemData":{"id":3069,"type":"article-journal","abstract":"AIM: To evaluate the efficacy and safety of the potent and selective dipeptidyl peptidase-4 (DPP-4) inhibitor linagliptin administered as add-on therapy to metformin in patients with type 2 diabetes with inadequate glycaemic control.\nMETHODS: This 24-week, randomized, placebo-controlled, double-blind, parallel-group study was carried out in 82 centres in 10 countries. Patients with HbA1c levels of 7.0-10.0% on metformin and a maximum of one additional antidiabetes medication, which was discontinued at screening, continued on metformin ≥1500 mg/day for 6 weeks, including a placebo run-in period of 2 weeks, before being randomized to linagliptin 5 mg once daily (n = 524) or placebo (n = 177) add-on. The primary outcome was the change from baseline in HbA1c after 24 weeks of treatment, evaluated with an analysis of covariance (ANCOVA).\nRESULTS: Mean baseline HbA1c and fasting plasma glucose (FPG) were 8.1% and 9.4 mmol/l, respectively. Linagliptin showed significant reductions vs. placebo in adjusted mean changes from baseline of HbA1c (-0.49 vs. 0.15%), FPG (-0.59 vs. 0.58 mmol/l) and 2hPPG (-2.7 vs. 1.0 mmol/l); all p &lt; 0.0001. Hypoglycaemia was rare, occurring in three patients (0.6%) treated with linagliptin and five patients (2.8%) in the placebo group. Body weight did not change significantly from baseline in both groups (-0.5 kg placebo, -0.4 kg linagliptin).\nCONCLUSIONS: The addition of linagliptin 5 mg once daily in patients with type 2 diabetes inadequately controlled on metformin resulted in a significant and clinically meaningful improvement in glycaemic control without weight gain or increased risk of hypoglycaemia.","container-title":"Diabetes, Obesity &amp; Metabolism","DOI":"10.1111/j.1463-1326.2010.01326.x","ISSN":"1463-1326","issue":"1","journalAbbreviation":"Diabetes Obes Metab","language":"eng","note":"PMID: 21114605","page":"65-74","source":"PubMed","title":"Safety and efficacy of linagliptin as add-on therapy to metformin in patients with type 2 diabetes: a randomized, double-blind, placebo-controlled study","title-short":"Safety and efficacy of linagliptin as add-on therapy to metformin in patients with type 2 diabetes","volume":"13","author":[{"family":"Taskinen","given":"M.-R."},{"family":"Rosenstock","given":"J."},{"family":"Tamminen","given":"I."},{"family":"Kubiak","given":"R."},{"family":"Patel","given":"S."},{"family":"Dugi","given":"K. A."},{"family":"Woerle","given":"H.-J."}],"issued":{"date-parts":[["2011",1]]}}}],"schema":"https://github.com/citation-style-language/schema/raw/master/csl-citation.json"} </w:instrText>
            </w:r>
            <w:r w:rsidRPr="00353C82">
              <w:rPr>
                <w:sz w:val="22"/>
                <w:szCs w:val="22"/>
              </w:rPr>
              <w:fldChar w:fldCharType="separate"/>
            </w:r>
            <w:r w:rsidRPr="00353C82">
              <w:rPr>
                <w:sz w:val="22"/>
                <w:szCs w:val="22"/>
              </w:rPr>
              <w:t>[18]</w:t>
            </w:r>
            <w:r w:rsidRPr="00353C82">
              <w:rPr>
                <w:sz w:val="22"/>
                <w:szCs w:val="22"/>
              </w:rPr>
              <w:fldChar w:fldCharType="end"/>
            </w:r>
          </w:p>
          <w:p w14:paraId="3755E4A5" w14:textId="77777777" w:rsidR="00353C82" w:rsidRPr="00353C82" w:rsidRDefault="00353C82" w:rsidP="0049695C">
            <w:pPr>
              <w:ind w:right="182" w:firstLine="32"/>
              <w:jc w:val="left"/>
              <w:rPr>
                <w:sz w:val="22"/>
                <w:szCs w:val="22"/>
              </w:rPr>
            </w:pPr>
          </w:p>
        </w:tc>
      </w:tr>
      <w:tr w:rsidR="00353C82" w:rsidRPr="00353C82" w14:paraId="73DD8110" w14:textId="77777777" w:rsidTr="0049695C">
        <w:tc>
          <w:tcPr>
            <w:tcW w:w="2547" w:type="dxa"/>
          </w:tcPr>
          <w:p w14:paraId="00003C85" w14:textId="77777777" w:rsidR="00353C82" w:rsidRPr="00353C82" w:rsidRDefault="00353C82" w:rsidP="0049695C">
            <w:pPr>
              <w:jc w:val="left"/>
              <w:rPr>
                <w:sz w:val="22"/>
                <w:szCs w:val="22"/>
              </w:rPr>
            </w:pPr>
            <w:r w:rsidRPr="00353C82">
              <w:rPr>
                <w:sz w:val="22"/>
                <w:szCs w:val="22"/>
              </w:rPr>
              <w:lastRenderedPageBreak/>
              <w:t>СД2, комбинированная с метформином и сульфонилмочевиной</w:t>
            </w:r>
          </w:p>
        </w:tc>
        <w:tc>
          <w:tcPr>
            <w:tcW w:w="2835" w:type="dxa"/>
          </w:tcPr>
          <w:p w14:paraId="241E5C1C" w14:textId="77777777" w:rsidR="00353C82" w:rsidRPr="00353C82" w:rsidRDefault="00353C82" w:rsidP="0049695C">
            <w:pPr>
              <w:jc w:val="left"/>
              <w:rPr>
                <w:sz w:val="22"/>
                <w:szCs w:val="22"/>
              </w:rPr>
            </w:pPr>
            <w:r w:rsidRPr="00353C82">
              <w:rPr>
                <w:sz w:val="22"/>
                <w:szCs w:val="22"/>
                <w:lang w:val="en-US"/>
              </w:rPr>
              <w:t>1218.18</w:t>
            </w:r>
          </w:p>
          <w:p w14:paraId="3BC074F1" w14:textId="77777777" w:rsidR="00353C82" w:rsidRPr="00353C82" w:rsidRDefault="00353C82" w:rsidP="0049695C">
            <w:pPr>
              <w:jc w:val="left"/>
              <w:rPr>
                <w:sz w:val="22"/>
                <w:szCs w:val="22"/>
              </w:rPr>
            </w:pPr>
          </w:p>
          <w:p w14:paraId="61530FD9" w14:textId="77777777" w:rsidR="00353C82" w:rsidRPr="00353C82" w:rsidRDefault="00353C82" w:rsidP="0049695C">
            <w:pPr>
              <w:jc w:val="left"/>
              <w:rPr>
                <w:sz w:val="22"/>
                <w:szCs w:val="22"/>
              </w:rPr>
            </w:pPr>
            <w:r w:rsidRPr="00353C82">
              <w:rPr>
                <w:sz w:val="22"/>
                <w:szCs w:val="22"/>
                <w:lang w:val="en-US"/>
              </w:rPr>
              <w:t>ClinicalTrials.gov Identifier: NCT00602472</w:t>
            </w:r>
          </w:p>
        </w:tc>
        <w:tc>
          <w:tcPr>
            <w:tcW w:w="1417" w:type="dxa"/>
          </w:tcPr>
          <w:p w14:paraId="4A93F0EA" w14:textId="77777777" w:rsidR="00353C82" w:rsidRPr="00353C82" w:rsidRDefault="00353C82" w:rsidP="0049695C">
            <w:pPr>
              <w:jc w:val="left"/>
              <w:rPr>
                <w:sz w:val="22"/>
                <w:szCs w:val="22"/>
              </w:rPr>
            </w:pPr>
            <w:r w:rsidRPr="00353C82">
              <w:rPr>
                <w:sz w:val="22"/>
                <w:szCs w:val="22"/>
              </w:rPr>
              <w:t>1058</w:t>
            </w:r>
          </w:p>
        </w:tc>
        <w:tc>
          <w:tcPr>
            <w:tcW w:w="1701" w:type="dxa"/>
          </w:tcPr>
          <w:p w14:paraId="288E2F3B" w14:textId="77777777" w:rsidR="00353C82" w:rsidRPr="00353C82" w:rsidRDefault="00353C82" w:rsidP="0049695C">
            <w:pPr>
              <w:jc w:val="left"/>
              <w:rPr>
                <w:sz w:val="22"/>
                <w:szCs w:val="22"/>
              </w:rPr>
            </w:pPr>
            <w:r w:rsidRPr="00353C82">
              <w:rPr>
                <w:sz w:val="22"/>
                <w:szCs w:val="22"/>
              </w:rPr>
              <w:t>Динамика HbA1c</w:t>
            </w:r>
          </w:p>
        </w:tc>
        <w:tc>
          <w:tcPr>
            <w:tcW w:w="851" w:type="dxa"/>
          </w:tcPr>
          <w:p w14:paraId="71B6A553" w14:textId="77777777" w:rsidR="00353C82" w:rsidRPr="00353C82" w:rsidRDefault="00353C82" w:rsidP="0049695C">
            <w:pPr>
              <w:ind w:right="182" w:firstLine="32"/>
              <w:jc w:val="left"/>
              <w:rPr>
                <w:sz w:val="22"/>
                <w:szCs w:val="22"/>
              </w:rPr>
            </w:pPr>
          </w:p>
          <w:p w14:paraId="06F15884" w14:textId="77777777" w:rsidR="00353C82" w:rsidRPr="00353C82" w:rsidRDefault="00353C82" w:rsidP="0049695C">
            <w:pPr>
              <w:ind w:right="182" w:firstLine="32"/>
              <w:jc w:val="left"/>
              <w:rPr>
                <w:sz w:val="22"/>
                <w:szCs w:val="22"/>
              </w:rPr>
            </w:pPr>
            <w:r w:rsidRPr="00353C82">
              <w:rPr>
                <w:sz w:val="22"/>
                <w:szCs w:val="22"/>
              </w:rPr>
              <w:fldChar w:fldCharType="begin"/>
            </w:r>
            <w:r w:rsidRPr="00353C82">
              <w:rPr>
                <w:sz w:val="22"/>
                <w:szCs w:val="22"/>
              </w:rPr>
              <w:instrText xml:space="preserve"> ADDIN ZOTERO_ITEM CSL_CITATION {"citationID":"1WOA5EAt","properties":{"formattedCitation":"[19]","plainCitation":"[19]","noteIndex":0},"citationItems":[{"id":3071,"uris":["http://zotero.org/users/5483459/items/4WM3629W"],"itemData":{"id":3071,"type":"article-journal","abstract":"AIMS: To examine the efficacy and safety of the dipeptidyl peptidase-4 inhibitor linagliptin in persons with Type 2 diabetes mellitus inadequately controlled [HbA(1c) 53-86 mmol/mol (7.0-10.0%)] by metformin and sulphonylurea combination treatment.\nMETHODS: A multi-centre, 24-week, randomized, double-blind, parallel-group study in 1058 patients comparing linagliptin (5 mg once daily) and placebo when added to metformin plus sulphonylurea. The primary endpoint was the change in HbA(1c) after 24 weeks.\nRESULTS: At week 24, the linagliptin placebo-corrected HbA(1c) adjusted mean change from baseline was -7 mmol/mol (-0.62%) [95% CI -8 to -6 mmol/mol (-0.73 to -0.50%); P &lt; 0.0001]. More participants with baseline HbA(1c) ≥ 53 mmol/mol (≥ 7.0%) achieved an HbA(1c) &lt; 53 mmol/mol (&lt;7.0%) with linagliptin compared with placebo (29.2% vs. 8.1%, P&lt; 0.0001). Fasting plasma glucose was reduced with linagliptin relative to placebo (-0.7 mmol/l, 95% CI -1.0 to -0.4; P&lt;0.0001). Improvements in homeostasis model assessment of β-cell function were seen with linagliptin (P&lt;0.001). The proportion of patients who reported a severe adverse event was low in both groups (linagliptin 2.4%; placebo 1.5%). Symptomatic hypoglycaemia occurred in 16.7 and 10.3% of the linagliptin and placebo groups, respectively. Hypoglycaemia was generally mild or moderate; severe hypoglycaemia was reported in 2.7 and 4.8% of the participants experiencing hypoglycaemic episodes in the linagliptin and placebo groups, respectively. No significant weight changes were noted.\nCONCLUSIONS: In patients with Type 2 diabetes, adding linagliptin to metformin given in combination with a sulphonylurea significantly improved glycaemic control and this was well tolerated. Linagliptin could provide a valuable treatment option for individuals with inadequate glycaemic control despite ongoing combination therapy with metformin and a sulphonylurea.","container-title":"Diabetic Medicine: A Journal of the British Diabetic Association","DOI":"10.1111/j.1464-5491.2011.03387.x","ISSN":"1464-5491","issue":"11","journalAbbreviation":"Diabet Med","language":"eng","note":"PMID: 21781152","page":"1352-1361","source":"PubMed","title":"Efficacy and safety of linagliptin in persons with type 2 diabetes inadequately controlled by a combination of metformin and sulphonylurea: a 24-week randomized study","title-short":"Efficacy and safety of linagliptin in persons with type 2 diabetes inadequately controlled by a combination of metformin and sulphonylurea","volume":"28","author":[{"family":"Owens","given":"D. R."},{"family":"Swallow","given":"R."},{"family":"Dugi","given":"K. A."},{"family":"Woerle","given":"H. J."}],"issued":{"date-parts":[["2011",11]]}}}],"schema":"https://github.com/citation-style-language/schema/raw/master/csl-citation.json"} </w:instrText>
            </w:r>
            <w:r w:rsidRPr="00353C82">
              <w:rPr>
                <w:sz w:val="22"/>
                <w:szCs w:val="22"/>
              </w:rPr>
              <w:fldChar w:fldCharType="separate"/>
            </w:r>
            <w:r w:rsidRPr="00353C82">
              <w:rPr>
                <w:sz w:val="22"/>
                <w:szCs w:val="22"/>
              </w:rPr>
              <w:t>[19]</w:t>
            </w:r>
            <w:r w:rsidRPr="00353C82">
              <w:rPr>
                <w:sz w:val="22"/>
                <w:szCs w:val="22"/>
              </w:rPr>
              <w:fldChar w:fldCharType="end"/>
            </w:r>
          </w:p>
        </w:tc>
      </w:tr>
      <w:tr w:rsidR="00353C82" w:rsidRPr="00353C82" w14:paraId="54CD0E54" w14:textId="77777777" w:rsidTr="0049695C">
        <w:tc>
          <w:tcPr>
            <w:tcW w:w="2547" w:type="dxa"/>
          </w:tcPr>
          <w:p w14:paraId="13AD3D19" w14:textId="77777777" w:rsidR="00353C82" w:rsidRPr="00353C82" w:rsidRDefault="00353C82" w:rsidP="0049695C">
            <w:pPr>
              <w:jc w:val="left"/>
              <w:rPr>
                <w:sz w:val="22"/>
                <w:szCs w:val="22"/>
              </w:rPr>
            </w:pPr>
            <w:r w:rsidRPr="00353C82">
              <w:rPr>
                <w:sz w:val="22"/>
                <w:szCs w:val="22"/>
              </w:rPr>
              <w:t>СД2, комбинированная с эмпаглифлозином</w:t>
            </w:r>
          </w:p>
        </w:tc>
        <w:tc>
          <w:tcPr>
            <w:tcW w:w="2835" w:type="dxa"/>
          </w:tcPr>
          <w:p w14:paraId="780DAC57" w14:textId="77777777" w:rsidR="00353C82" w:rsidRPr="00353C82" w:rsidRDefault="00353C82" w:rsidP="0049695C">
            <w:pPr>
              <w:jc w:val="left"/>
              <w:rPr>
                <w:sz w:val="22"/>
                <w:szCs w:val="22"/>
              </w:rPr>
            </w:pPr>
            <w:r w:rsidRPr="00353C82">
              <w:rPr>
                <w:color w:val="000000"/>
                <w:sz w:val="22"/>
                <w:szCs w:val="22"/>
                <w:shd w:val="clear" w:color="auto" w:fill="FFFFFF"/>
              </w:rPr>
              <w:t>1275.10</w:t>
            </w:r>
          </w:p>
          <w:p w14:paraId="3F9971A7" w14:textId="77777777" w:rsidR="00353C82" w:rsidRPr="00353C82" w:rsidRDefault="00353C82" w:rsidP="0049695C">
            <w:pPr>
              <w:jc w:val="left"/>
              <w:rPr>
                <w:sz w:val="22"/>
                <w:szCs w:val="22"/>
              </w:rPr>
            </w:pPr>
          </w:p>
          <w:p w14:paraId="7CA9EACE" w14:textId="77777777" w:rsidR="00353C82" w:rsidRPr="00353C82" w:rsidRDefault="00353C82" w:rsidP="0049695C">
            <w:pPr>
              <w:jc w:val="left"/>
              <w:rPr>
                <w:sz w:val="22"/>
                <w:szCs w:val="22"/>
              </w:rPr>
            </w:pPr>
            <w:r w:rsidRPr="00353C82">
              <w:rPr>
                <w:color w:val="000000"/>
                <w:sz w:val="22"/>
                <w:szCs w:val="22"/>
                <w:shd w:val="clear" w:color="auto" w:fill="FFFFFF"/>
                <w:lang w:val="en-US"/>
              </w:rPr>
              <w:t>ClinicalTrials</w:t>
            </w:r>
            <w:r w:rsidRPr="00353C82">
              <w:rPr>
                <w:color w:val="000000"/>
                <w:sz w:val="22"/>
                <w:szCs w:val="22"/>
                <w:shd w:val="clear" w:color="auto" w:fill="FFFFFF"/>
              </w:rPr>
              <w:t>.</w:t>
            </w:r>
            <w:r w:rsidRPr="00353C82">
              <w:rPr>
                <w:color w:val="000000"/>
                <w:sz w:val="22"/>
                <w:szCs w:val="22"/>
                <w:shd w:val="clear" w:color="auto" w:fill="FFFFFF"/>
                <w:lang w:val="en-US"/>
              </w:rPr>
              <w:t>gov</w:t>
            </w:r>
            <w:r w:rsidRPr="00353C82">
              <w:rPr>
                <w:color w:val="000000"/>
                <w:sz w:val="22"/>
                <w:szCs w:val="22"/>
                <w:shd w:val="clear" w:color="auto" w:fill="FFFFFF"/>
              </w:rPr>
              <w:t xml:space="preserve"> </w:t>
            </w:r>
            <w:r w:rsidRPr="00353C82">
              <w:rPr>
                <w:color w:val="000000"/>
                <w:sz w:val="22"/>
                <w:szCs w:val="22"/>
                <w:shd w:val="clear" w:color="auto" w:fill="FFFFFF"/>
                <w:lang w:val="en-US"/>
              </w:rPr>
              <w:t>Identifier</w:t>
            </w:r>
            <w:r w:rsidRPr="00353C82">
              <w:rPr>
                <w:color w:val="000000"/>
                <w:sz w:val="22"/>
                <w:szCs w:val="22"/>
                <w:shd w:val="clear" w:color="auto" w:fill="FFFFFF"/>
              </w:rPr>
              <w:t xml:space="preserve">: </w:t>
            </w:r>
            <w:r w:rsidRPr="00353C82">
              <w:rPr>
                <w:color w:val="000000"/>
                <w:sz w:val="22"/>
                <w:szCs w:val="22"/>
                <w:shd w:val="clear" w:color="auto" w:fill="FFFFFF"/>
                <w:lang w:val="en-US"/>
              </w:rPr>
              <w:t>NCT</w:t>
            </w:r>
            <w:r w:rsidRPr="00353C82">
              <w:rPr>
                <w:color w:val="000000"/>
                <w:sz w:val="22"/>
                <w:szCs w:val="22"/>
                <w:shd w:val="clear" w:color="auto" w:fill="FFFFFF"/>
              </w:rPr>
              <w:t>01734785</w:t>
            </w:r>
          </w:p>
        </w:tc>
        <w:tc>
          <w:tcPr>
            <w:tcW w:w="1417" w:type="dxa"/>
          </w:tcPr>
          <w:p w14:paraId="1DA1EA8E" w14:textId="77777777" w:rsidR="00353C82" w:rsidRPr="00353C82" w:rsidRDefault="00353C82" w:rsidP="0049695C">
            <w:pPr>
              <w:jc w:val="left"/>
              <w:rPr>
                <w:sz w:val="22"/>
                <w:szCs w:val="22"/>
              </w:rPr>
            </w:pPr>
            <w:r w:rsidRPr="00353C82">
              <w:rPr>
                <w:sz w:val="22"/>
                <w:szCs w:val="22"/>
              </w:rPr>
              <w:t>708</w:t>
            </w:r>
          </w:p>
        </w:tc>
        <w:tc>
          <w:tcPr>
            <w:tcW w:w="1701" w:type="dxa"/>
          </w:tcPr>
          <w:p w14:paraId="67B01E07" w14:textId="77777777" w:rsidR="00353C82" w:rsidRPr="00353C82" w:rsidRDefault="00353C82" w:rsidP="0049695C">
            <w:pPr>
              <w:jc w:val="left"/>
              <w:rPr>
                <w:sz w:val="22"/>
                <w:szCs w:val="22"/>
              </w:rPr>
            </w:pPr>
            <w:r w:rsidRPr="00353C82">
              <w:rPr>
                <w:sz w:val="22"/>
                <w:szCs w:val="22"/>
              </w:rPr>
              <w:t>Динамика HbA1c</w:t>
            </w:r>
          </w:p>
        </w:tc>
        <w:tc>
          <w:tcPr>
            <w:tcW w:w="851" w:type="dxa"/>
          </w:tcPr>
          <w:p w14:paraId="6A7CE794" w14:textId="77777777" w:rsidR="00353C82" w:rsidRPr="00353C82" w:rsidRDefault="00353C82" w:rsidP="0049695C">
            <w:pPr>
              <w:ind w:right="182" w:firstLine="32"/>
              <w:jc w:val="left"/>
              <w:rPr>
                <w:sz w:val="22"/>
                <w:szCs w:val="22"/>
              </w:rPr>
            </w:pPr>
            <w:r w:rsidRPr="00353C82">
              <w:rPr>
                <w:sz w:val="22"/>
                <w:szCs w:val="22"/>
              </w:rPr>
              <w:fldChar w:fldCharType="begin"/>
            </w:r>
            <w:r w:rsidRPr="00353C82">
              <w:rPr>
                <w:sz w:val="22"/>
                <w:szCs w:val="22"/>
              </w:rPr>
              <w:instrText xml:space="preserve"> ADDIN ZOTERO_ITEM CSL_CITATION {"citationID":"qBgHpaTE","properties":{"formattedCitation":"[20]","plainCitation":"[20]","noteIndex":0},"citationItems":[{"id":3312,"uris":["http://zotero.org/users/5483459/items/9QALRG6L"],"itemData":{"id":3312,"type":"article-journal","abstract":"AIM: To evaluate the efficacy and safety of linagliptin vs placebo as add-on to empagliflozin and metformin in patients with type 2 diabetes.\nMATERIALS AND METHODS: Patients with inadequate glycaemic control despite stable-dose metformin received open-label empagliflozin 10 mg (study 1) or 25 mg (study 2) as add-on therapy for 16 weeks. Subsequently, those with HbA1c ≥7.0 and ≤10.5% (&gt;53 and ≤91 mmol/mol) (N = 482) were randomized to 24 weeks' double-blind, double-dummy treatment with linagliptin 5 mg or placebo in study 1, or to linagliptin 5 mg or placebo in study 2; all patients continued treatment with metformin and empagliflozin 10 mg (study 1) or metformin and empagliflozin 25 mg (study 2). The primary endpoint was change from baseline (defined as the last value before first intake of randomized, double-blind treatment) in HbA1c at week 24.\nRESULTS: At week 24, HbA1c (mean baseline 7.82-8.04 [62-64 mmol/mol]) was significantly reduced with linagliptin vs placebo; adjusted mean (SE) differences in change from baseline in HbA1c with linagliptin vs placebo were -.32% (.10) (-3.59 [1.08] mmol/mol) ( P = .001) for patients on empagliflozin 10 mg and metformin, and -0.47% (0.10) (-5.15 [1.04] mmol/mol) ( P &lt; 0.001) for patients on empagliflozin 25 mg and metformin. Adverse events were reported in more patients receiving placebo than in those receiving linagliptin: 55.5% vs 48.4% in study 1 and 58.9% vs 52.7% in study 2.\nCONCLUSIONS: Linagliptin as add-on to empagliflozin and metformin for 24 weeks improved glycaemic control vs placebo, and was well tolerated.","container-title":"Diabetes, Obesity &amp; Metabolism","DOI":"10.1111/dom.12814","ISSN":"1463-1326","issue":"2","journalAbbreviation":"Diabetes Obes Metab","language":"eng","note":"PMID: 27762093","page":"266-274","source":"PubMed","title":"Linagliptin as add-on to empagliflozin and metformin in patients with type 2 diabetes: Two 24-week randomized, double-blind, double-dummy, parallel-group trials","title-short":"Linagliptin as add-on to empagliflozin and metformin in patients with type 2 diabetes","volume":"19","author":[{"family":"Tinahones","given":"Francisco J."},{"family":"Gallwitz","given":"Baptist"},{"family":"Nordaby","given":"Matias"},{"family":"Götz","given":"Sophia"},{"family":"Maldonado-Lutomirsky","given":"Mario"},{"family":"Woerle","given":"Hans J."},{"family":"Broedl","given":"Uli C."}],"issued":{"date-parts":[["2017",2]]}}}],"schema":"https://github.com/citation-style-language/schema/raw/master/csl-citation.json"} </w:instrText>
            </w:r>
            <w:r w:rsidRPr="00353C82">
              <w:rPr>
                <w:sz w:val="22"/>
                <w:szCs w:val="22"/>
              </w:rPr>
              <w:fldChar w:fldCharType="separate"/>
            </w:r>
            <w:r w:rsidRPr="00353C82">
              <w:rPr>
                <w:sz w:val="22"/>
                <w:szCs w:val="22"/>
              </w:rPr>
              <w:t>[20]</w:t>
            </w:r>
            <w:r w:rsidRPr="00353C82">
              <w:rPr>
                <w:sz w:val="22"/>
                <w:szCs w:val="22"/>
              </w:rPr>
              <w:fldChar w:fldCharType="end"/>
            </w:r>
          </w:p>
        </w:tc>
      </w:tr>
      <w:tr w:rsidR="00353C82" w:rsidRPr="00353C82" w14:paraId="588C738D" w14:textId="77777777" w:rsidTr="0049695C">
        <w:trPr>
          <w:trHeight w:val="964"/>
        </w:trPr>
        <w:tc>
          <w:tcPr>
            <w:tcW w:w="2547" w:type="dxa"/>
          </w:tcPr>
          <w:p w14:paraId="59AB8621" w14:textId="77777777" w:rsidR="00353C82" w:rsidRPr="00353C82" w:rsidRDefault="00353C82" w:rsidP="0049695C">
            <w:pPr>
              <w:jc w:val="left"/>
              <w:rPr>
                <w:sz w:val="22"/>
                <w:szCs w:val="22"/>
              </w:rPr>
            </w:pPr>
            <w:r w:rsidRPr="00353C82">
              <w:rPr>
                <w:sz w:val="22"/>
                <w:szCs w:val="22"/>
              </w:rPr>
              <w:t xml:space="preserve">СД2, комбинированная с базальным инсулином, </w:t>
            </w:r>
          </w:p>
          <w:p w14:paraId="0E9A02C6" w14:textId="1B5FDD20" w:rsidR="00353C82" w:rsidRPr="00353C82" w:rsidRDefault="000D5A5B" w:rsidP="0049695C">
            <w:pPr>
              <w:jc w:val="left"/>
              <w:rPr>
                <w:sz w:val="22"/>
                <w:szCs w:val="22"/>
              </w:rPr>
            </w:pPr>
            <w:r>
              <w:rPr>
                <w:sz w:val="22"/>
                <w:szCs w:val="22"/>
              </w:rPr>
              <w:t>метформином, пиоглитазоном</w:t>
            </w:r>
          </w:p>
        </w:tc>
        <w:tc>
          <w:tcPr>
            <w:tcW w:w="2835" w:type="dxa"/>
          </w:tcPr>
          <w:p w14:paraId="2AC5D6AC" w14:textId="77777777" w:rsidR="00353C82" w:rsidRPr="00353C82" w:rsidRDefault="00353C82" w:rsidP="0049695C">
            <w:pPr>
              <w:jc w:val="left"/>
              <w:rPr>
                <w:color w:val="000000"/>
                <w:sz w:val="22"/>
                <w:szCs w:val="22"/>
                <w:shd w:val="clear" w:color="auto" w:fill="FFFFFF"/>
                <w:lang w:val="en-US"/>
              </w:rPr>
            </w:pPr>
            <w:r w:rsidRPr="00353C82">
              <w:rPr>
                <w:color w:val="000000"/>
                <w:sz w:val="22"/>
                <w:szCs w:val="22"/>
                <w:shd w:val="clear" w:color="auto" w:fill="FFFFFF"/>
                <w:lang w:val="en-US"/>
              </w:rPr>
              <w:t>ClinicalTrials.gov Identifier: NCT00798161</w:t>
            </w:r>
          </w:p>
        </w:tc>
        <w:tc>
          <w:tcPr>
            <w:tcW w:w="1417" w:type="dxa"/>
          </w:tcPr>
          <w:p w14:paraId="02C94141" w14:textId="77777777" w:rsidR="00353C82" w:rsidRPr="00353C82" w:rsidRDefault="00353C82" w:rsidP="0049695C">
            <w:pPr>
              <w:jc w:val="left"/>
              <w:rPr>
                <w:sz w:val="22"/>
                <w:szCs w:val="22"/>
              </w:rPr>
            </w:pPr>
            <w:r w:rsidRPr="00353C82">
              <w:rPr>
                <w:sz w:val="22"/>
                <w:szCs w:val="22"/>
              </w:rPr>
              <w:t>857</w:t>
            </w:r>
          </w:p>
        </w:tc>
        <w:tc>
          <w:tcPr>
            <w:tcW w:w="1701" w:type="dxa"/>
          </w:tcPr>
          <w:p w14:paraId="7DD91A00" w14:textId="77777777" w:rsidR="00353C82" w:rsidRPr="00353C82" w:rsidRDefault="00353C82" w:rsidP="0049695C">
            <w:pPr>
              <w:jc w:val="left"/>
              <w:rPr>
                <w:sz w:val="22"/>
                <w:szCs w:val="22"/>
              </w:rPr>
            </w:pPr>
            <w:r w:rsidRPr="00353C82">
              <w:rPr>
                <w:sz w:val="22"/>
                <w:szCs w:val="22"/>
              </w:rPr>
              <w:t>Динамика HbA1c</w:t>
            </w:r>
          </w:p>
        </w:tc>
        <w:tc>
          <w:tcPr>
            <w:tcW w:w="851" w:type="dxa"/>
          </w:tcPr>
          <w:p w14:paraId="0CC76578" w14:textId="77777777" w:rsidR="00353C82" w:rsidRPr="00353C82" w:rsidRDefault="00353C82" w:rsidP="0049695C">
            <w:pPr>
              <w:widowControl w:val="0"/>
              <w:autoSpaceDE w:val="0"/>
              <w:autoSpaceDN w:val="0"/>
              <w:adjustRightInd w:val="0"/>
              <w:spacing w:after="120"/>
              <w:ind w:right="182" w:firstLine="32"/>
              <w:jc w:val="left"/>
              <w:rPr>
                <w:sz w:val="22"/>
                <w:szCs w:val="22"/>
                <w:lang w:eastAsia="ru-RU"/>
              </w:rPr>
            </w:pPr>
            <w:r w:rsidRPr="00353C82">
              <w:rPr>
                <w:sz w:val="22"/>
                <w:szCs w:val="22"/>
                <w:lang w:eastAsia="ru-RU"/>
              </w:rPr>
              <w:fldChar w:fldCharType="begin"/>
            </w:r>
            <w:r w:rsidRPr="00353C82">
              <w:rPr>
                <w:sz w:val="22"/>
                <w:szCs w:val="22"/>
                <w:lang w:eastAsia="ru-RU"/>
              </w:rPr>
              <w:instrText xml:space="preserve"> ADDIN ZOTERO_ITEM CSL_CITATION {"citationID":"CJk7J83m","properties":{"formattedCitation":"[21]","plainCitation":"[21]","noteIndex":0},"citationItems":[{"id":3314,"uris":["http://zotero.org/users/5483459/items/RP3WM9RJ"],"itemData":{"id":3314,"type":"article-journal","abstract":"AIM: To evaluate the efficacy and safety of linagliptin in people with Type 2 diabetes inadequately controlled on basal insulin and metformin.\nMETHODS: This was a post hoc subanalysis of participants who received basal insulin and metformin in a global phase III study that randomized participants (1:1) to receive linagliptin 5 mg once daily or placebo for ≥52 weeks as add-on therapy to basal insulin alone or in combination with metformin and/or pioglitazone. During the first 24 weeks, the background dose of basal insulin remained stable; thereafter, adjustments based on glucose concentrations were recommended. The primary endpoint of the subanalysis was the change from baseline in HbA1c after 24 weeks. The safety analysis incorporated data up to a maximum of 110 weeks.\nRESULTS: A total of 950 participants receiving background insulin and metformin were included in this subanalysis (linagliptin and placebo, both n = 475). At week 24, the placebo-corrected adjusted mean (±se) change from baseline in HbA1c with linagliptin was -7 (±1) mmol/mol [-0.7 (±0.1) %; 95% CI -0.8, -0.6; P &lt; 0.0001]. The overall frequency of drug-related adverse events (linagliptin, 18.9%; placebo, 21.9%) and investigator-reported hypoglycaemia (linagliptin, 30.7%; placebo, 31.6%) were similar in both groups at the end of treatment. The frequency of severe hypoglycaemia was low (linagliptin, 1.7%; placebo, 0.8%). No meaningful changes in mean (±sd) body weight were noted in either group [week 52: linagliptin, -0.5 (±3.2) kg; placebo, 0.0 (±3.1) kg].\nCONCLUSIONS: Linagliptin added to basal insulin and metformin improved glycaemic control, without increasing the risk of hypoglycaemia or body weight gain.","container-title":"Diabetic Medicine: A Journal of the British Diabetic Association","DOI":"10.1111/dme.13041","ISSN":"1464-5491","issue":"7","journalAbbreviation":"Diabet Med","language":"eng","note":"PMID: 26605991","page":"926-933","source":"PubMed","title":"Efficacy and safety of linagliptin as add-on therapy to basal insulin and metformin in people with Type 2 diabetes","volume":"33","author":[{"family":"Durán-Garcia","given":"S."},{"family":"Lee","given":"J."},{"family":"Yki-Järvinen","given":"H."},{"family":"Rosenstock","given":"J."},{"family":"Hehnke","given":"U."},{"family":"Thiemann","given":"S."},{"family":"Patel","given":"S."},{"family":"Woerle","given":"H.-J."}],"issued":{"date-parts":[["2016",7]]}}}],"schema":"https://github.com/citation-style-language/schema/raw/master/csl-citation.json"} </w:instrText>
            </w:r>
            <w:r w:rsidRPr="00353C82">
              <w:rPr>
                <w:sz w:val="22"/>
                <w:szCs w:val="22"/>
                <w:lang w:eastAsia="ru-RU"/>
              </w:rPr>
              <w:fldChar w:fldCharType="separate"/>
            </w:r>
            <w:r w:rsidRPr="00353C82">
              <w:rPr>
                <w:sz w:val="22"/>
                <w:szCs w:val="20"/>
                <w:lang w:eastAsia="ru-RU"/>
              </w:rPr>
              <w:t>[21]</w:t>
            </w:r>
            <w:r w:rsidRPr="00353C82">
              <w:rPr>
                <w:sz w:val="22"/>
                <w:szCs w:val="22"/>
                <w:lang w:eastAsia="ru-RU"/>
              </w:rPr>
              <w:fldChar w:fldCharType="end"/>
            </w:r>
          </w:p>
        </w:tc>
      </w:tr>
      <w:tr w:rsidR="00353C82" w:rsidRPr="00353C82" w14:paraId="3A708271" w14:textId="77777777" w:rsidTr="0049695C">
        <w:tc>
          <w:tcPr>
            <w:tcW w:w="2547" w:type="dxa"/>
          </w:tcPr>
          <w:p w14:paraId="5C30B755" w14:textId="370BE193" w:rsidR="00353C82" w:rsidRPr="00353C82" w:rsidRDefault="00353C82" w:rsidP="0049695C">
            <w:pPr>
              <w:jc w:val="left"/>
              <w:rPr>
                <w:sz w:val="22"/>
                <w:szCs w:val="22"/>
              </w:rPr>
            </w:pPr>
            <w:r w:rsidRPr="00353C82">
              <w:rPr>
                <w:sz w:val="22"/>
                <w:szCs w:val="22"/>
              </w:rPr>
              <w:t xml:space="preserve">СД2, комбинированная с </w:t>
            </w:r>
            <w:r w:rsidR="000D5A5B">
              <w:rPr>
                <w:sz w:val="22"/>
                <w:szCs w:val="22"/>
              </w:rPr>
              <w:t>метформином, глимепиридом</w:t>
            </w:r>
          </w:p>
        </w:tc>
        <w:tc>
          <w:tcPr>
            <w:tcW w:w="2835" w:type="dxa"/>
          </w:tcPr>
          <w:p w14:paraId="53F61158" w14:textId="77777777" w:rsidR="00353C82" w:rsidRPr="000D5A5B" w:rsidRDefault="00353C82" w:rsidP="0049695C">
            <w:pPr>
              <w:jc w:val="left"/>
              <w:rPr>
                <w:color w:val="000000"/>
                <w:sz w:val="22"/>
                <w:szCs w:val="22"/>
                <w:shd w:val="clear" w:color="auto" w:fill="FFFFFF"/>
              </w:rPr>
            </w:pPr>
          </w:p>
          <w:p w14:paraId="2204322A" w14:textId="77777777" w:rsidR="00353C82" w:rsidRPr="00353C82" w:rsidRDefault="00353C82" w:rsidP="0049695C">
            <w:pPr>
              <w:jc w:val="left"/>
              <w:rPr>
                <w:color w:val="000000"/>
                <w:sz w:val="22"/>
                <w:szCs w:val="22"/>
                <w:shd w:val="clear" w:color="auto" w:fill="FFFFFF"/>
                <w:lang w:val="en-US"/>
              </w:rPr>
            </w:pPr>
            <w:r w:rsidRPr="00353C82">
              <w:rPr>
                <w:color w:val="000000"/>
                <w:sz w:val="22"/>
                <w:szCs w:val="22"/>
                <w:shd w:val="clear" w:color="auto" w:fill="FFFFFF"/>
                <w:lang w:val="en-US"/>
              </w:rPr>
              <w:t>ClinicalTrials.gov Identifier: NCT00622284</w:t>
            </w:r>
          </w:p>
        </w:tc>
        <w:tc>
          <w:tcPr>
            <w:tcW w:w="1417" w:type="dxa"/>
          </w:tcPr>
          <w:p w14:paraId="16053CE4" w14:textId="77777777" w:rsidR="00353C82" w:rsidRPr="00353C82" w:rsidRDefault="00353C82" w:rsidP="0049695C">
            <w:pPr>
              <w:jc w:val="left"/>
              <w:rPr>
                <w:sz w:val="22"/>
                <w:szCs w:val="22"/>
              </w:rPr>
            </w:pPr>
            <w:r w:rsidRPr="00353C82">
              <w:rPr>
                <w:sz w:val="22"/>
                <w:szCs w:val="22"/>
              </w:rPr>
              <w:t>1560</w:t>
            </w:r>
          </w:p>
        </w:tc>
        <w:tc>
          <w:tcPr>
            <w:tcW w:w="1701" w:type="dxa"/>
          </w:tcPr>
          <w:p w14:paraId="61FDC32E" w14:textId="77777777" w:rsidR="00353C82" w:rsidRPr="00353C82" w:rsidRDefault="00353C82" w:rsidP="0049695C">
            <w:pPr>
              <w:jc w:val="left"/>
              <w:rPr>
                <w:sz w:val="22"/>
                <w:szCs w:val="22"/>
              </w:rPr>
            </w:pPr>
            <w:r w:rsidRPr="00353C82">
              <w:rPr>
                <w:sz w:val="22"/>
                <w:szCs w:val="22"/>
              </w:rPr>
              <w:t>Динамика HbA1c</w:t>
            </w:r>
          </w:p>
        </w:tc>
        <w:tc>
          <w:tcPr>
            <w:tcW w:w="851" w:type="dxa"/>
          </w:tcPr>
          <w:p w14:paraId="263E2DD1" w14:textId="66078A95" w:rsidR="00353C82" w:rsidRPr="00353C82" w:rsidRDefault="00353C82" w:rsidP="0049695C">
            <w:pPr>
              <w:ind w:right="182" w:firstLine="32"/>
              <w:jc w:val="left"/>
            </w:pPr>
            <w:r w:rsidRPr="00353C82">
              <w:fldChar w:fldCharType="begin"/>
            </w:r>
            <w:r w:rsidRPr="00353C82">
              <w:instrText xml:space="preserve"> ADDIN ZOTERO_ITEM CSL_CITATION {"citationID":"pguMuG1r","properties":{"formattedCitation":"[22]","plainCitation":"[22]","noteIndex":0},"citationItems":[{"id":3316,"uris":["http://zotero.org/users/5483459/items/TLTSYJA7"],"itemData":{"id":3316,"type":"article-journal","abstract":"BACKGROUND: Addition of a sulphonylurea to metformin improves glycaemic control in type 2 diabetes, but is associated with hypoglycaemia and weight gain. We aimed to compare a dipeptidyl peptidase-4 inhibitor (linagliptin) against a commonly used sulphonylurea (glimepiride).\nMETHODS: In this 2-year, parallel-group, non-inferiority double-blind trial, outpatients with type 2 diabetes and glycated haemoglobin A(1c) (HbA(1c)) 6·5-10·0% on stable metformin alone or with one additional oral antidiabetic drug (washed out during screening) were randomly assigned (1:1) by computer-generated random sequence via a voice or web response system to linagliptin (5 mg) or glimepiride (1-4 mg) orally once daily. Study investigators and participants were masked to treatment assignment. The primary endpoint was change in HbA(1c) from baseline to week 104. Analyses included all patients randomly assigned to treatment groups who received at least one dose of treatment, had a baseline HbA(1c) measurement, and had at least one on-treatment HbA(1c) measurement. This trial is registered at ClinicalTrials.gov, number NCT00622284.\nFINDINGS: 777 patients were randomly assigned to linagliptin and 775 to glimepiride; 764 and 755 were included in analysis of the primary endpoint. Reductions in adjusted mean HbA(1c) (baseline 7·69% [SE 0·03] in both groups) were similar in the linagliptin (-0·16% [SE 0·03]) and glimepiride groups (-0·36% [0·03]; difference 0·20%, 97·5% CI 0·09-0·30), meeting the predefined non-inferiority criterion of 0·35%. Fewer participants had hypoglycaemia (58 [7%] of 776 vs 280 [36%] of 775 patients, p&lt;0·0001) or severe hypoglycaemia (1 [&lt;1%] vs 12 [2%]) with linagliptin compared with glimepiride. Linagliptin was associated with significantly fewer cardiovascular events (12 vs 26 patients; relative risk 0·46, 95% CI 0·23-0·91, p=0·0213).\nINTERPRETATION: The results of this long-term randomised active-controlled trial advance the clinical evidence and comparative effectiveness bases for treatment options available to patients with type 2 diabetes mellitus. The findings could improve decision making for clinical treatment when metformin alone is insufficient.\nFUNDING: Boehringer Ingelheim.","container-title":"Lancet (London, England)","DOI":"10.1016/S0140-6736(12)60691-6","ISSN":"1474-547X","issue":"9840","journalAbbreviation":"Lancet","language":"eng","note":"PMID: 22748821","page":"475-483","source":"PubMed","title":"2-year efficacy and safety of linagliptin compared with glimepiride in patients with type 2 diabetes inadequately controlled on metformin: a randomised, double-blind, non-inferiority trial","title-short":"2-year efficacy and safety of linagliptin compared with glimepiride in patients with type 2 diabetes inadequately controlled on metformin","volume":"380","author":[{"family":"Gallwitz","given":"Baptist"},{"family":"Rosenstock","given":"Julio"},{"family":"Rauch","given":"Thomas"},{"family":"Bhattacharya","given":"Sudipta"},{"family":"Patel","given":"Sanjay"},{"family":"Eynatten","given":"Maximilian","non-dropping-particle":"von"},{"family":"Dugi","given":"Klaus A."},{"family":"Woerle","given":"Hans-Juergen"}],"issued":{"date-parts":[["2012",8,4]]}}}],"schema":"https://github.com/citation-style-language/schema/raw/master/csl-citation.json"} </w:instrText>
            </w:r>
            <w:r w:rsidRPr="00353C82">
              <w:fldChar w:fldCharType="separate"/>
            </w:r>
            <w:r w:rsidRPr="00353C82">
              <w:t>[22]</w:t>
            </w:r>
            <w:r w:rsidRPr="00353C82">
              <w:fldChar w:fldCharType="end"/>
            </w:r>
          </w:p>
        </w:tc>
      </w:tr>
    </w:tbl>
    <w:p w14:paraId="66F222BA" w14:textId="77777777" w:rsidR="004B1452" w:rsidRPr="009173EA" w:rsidRDefault="004B1452" w:rsidP="0049695C">
      <w:pPr>
        <w:pStyle w:val="1111"/>
        <w:numPr>
          <w:ilvl w:val="0"/>
          <w:numId w:val="0"/>
        </w:numPr>
        <w:rPr>
          <w:b/>
          <w:bCs w:val="0"/>
        </w:rPr>
      </w:pPr>
      <w:bookmarkStart w:id="205" w:name="_Toc139362001"/>
      <w:bookmarkEnd w:id="203"/>
      <w:r w:rsidRPr="009173EA">
        <w:rPr>
          <w:b/>
          <w:bCs w:val="0"/>
        </w:rPr>
        <w:t>4.3.1.1.</w:t>
      </w:r>
      <w:r w:rsidRPr="009173EA">
        <w:t xml:space="preserve"> </w:t>
      </w:r>
      <w:bookmarkStart w:id="206" w:name="_Hlk121101816"/>
      <w:r w:rsidRPr="009173EA">
        <w:rPr>
          <w:b/>
          <w:bCs w:val="0"/>
        </w:rPr>
        <w:t>Линаглиптин в качестве монотерапии у пациентов, которым противопоказан метформин</w:t>
      </w:r>
      <w:bookmarkEnd w:id="205"/>
    </w:p>
    <w:p w14:paraId="7A664B5F" w14:textId="15D021CD" w:rsidR="004B1452" w:rsidRDefault="004B1452" w:rsidP="004C664E">
      <w:pPr>
        <w:ind w:firstLine="709"/>
      </w:pPr>
      <w:bookmarkStart w:id="207" w:name="_Hlk121691068"/>
      <w:r>
        <w:t>Эффективность и безопасность монотерапии линаглиптином была оценена в двойном слепом плацебо-контролируемом исследовании</w:t>
      </w:r>
      <w:r w:rsidR="00C84D15">
        <w:t xml:space="preserve"> продолжительностью 24 недели. </w:t>
      </w:r>
      <w:r w:rsidRPr="0052385E">
        <w:t xml:space="preserve">В этом многоцентровом рандомизированном исследовании </w:t>
      </w:r>
      <w:r w:rsidR="00902BE8">
        <w:t>3</w:t>
      </w:r>
      <w:r w:rsidRPr="0052385E">
        <w:t xml:space="preserve"> фазы </w:t>
      </w:r>
      <w:r w:rsidR="00C84D15">
        <w:t>в</w:t>
      </w:r>
      <w:r w:rsidRPr="0052385E">
        <w:t xml:space="preserve"> параллельны</w:t>
      </w:r>
      <w:r w:rsidR="00C84D15">
        <w:t>х</w:t>
      </w:r>
      <w:r w:rsidRPr="0052385E">
        <w:t xml:space="preserve"> группа</w:t>
      </w:r>
      <w:r w:rsidR="00C84D15">
        <w:t>х</w:t>
      </w:r>
      <w:r w:rsidRPr="0052385E">
        <w:t xml:space="preserve"> сравнивали лечение линаглиптином (5 мг один раз в день, n = 336) с плацебо (n = 167) в течение 24 недель у пациентов с </w:t>
      </w:r>
      <w:r w:rsidR="00134FD6">
        <w:t>СД2</w:t>
      </w:r>
      <w:r w:rsidRPr="0052385E">
        <w:t xml:space="preserve">. Перед рандомизацией пациенты, предварительно получавшие один </w:t>
      </w:r>
      <w:r w:rsidR="00902BE8" w:rsidRPr="005B2F71">
        <w:rPr>
          <w:rFonts w:eastAsia="TimesNewRomanPSMT"/>
          <w:lang w:eastAsia="en-US"/>
        </w:rPr>
        <w:t>ПССП</w:t>
      </w:r>
      <w:r w:rsidRPr="0052385E">
        <w:t xml:space="preserve">, прошли 6-недельный период </w:t>
      </w:r>
      <w:r w:rsidR="00E7671F">
        <w:t>отмывки</w:t>
      </w:r>
      <w:r w:rsidRPr="0052385E">
        <w:t xml:space="preserve">, который включал вводной период плацебо в течение последних 2 недель. Пациенты, ранее не получавшие </w:t>
      </w:r>
      <w:r w:rsidR="00902BE8" w:rsidRPr="005B2F71">
        <w:rPr>
          <w:rFonts w:eastAsia="TimesNewRomanPSMT"/>
          <w:lang w:eastAsia="en-US"/>
        </w:rPr>
        <w:t>ПССП</w:t>
      </w:r>
      <w:r w:rsidRPr="0052385E">
        <w:t xml:space="preserve">, прошли 2-недельный подготовительный период </w:t>
      </w:r>
      <w:r w:rsidR="003826A0">
        <w:t xml:space="preserve">и получали только </w:t>
      </w:r>
      <w:r w:rsidRPr="0052385E">
        <w:t xml:space="preserve">плацебо. Первичной конечной точкой </w:t>
      </w:r>
      <w:r w:rsidR="003826A0">
        <w:t xml:space="preserve">эффективности </w:t>
      </w:r>
      <w:r w:rsidRPr="0052385E">
        <w:t>было изменение уровня HbA1c по сравнению с исходным уровнем через 24 недели лечения.</w:t>
      </w:r>
    </w:p>
    <w:p w14:paraId="41668169" w14:textId="4FA9C3A5" w:rsidR="004B1452" w:rsidRDefault="004B1452" w:rsidP="00CC674C">
      <w:pPr>
        <w:ind w:firstLine="709"/>
      </w:pPr>
      <w:r>
        <w:t xml:space="preserve">Популяция исследования – пациенты с СД2, ранее не принимавшие лекарственные препараты или получавшие не более одного </w:t>
      </w:r>
      <w:r w:rsidR="00B916E2" w:rsidRPr="00B916E2">
        <w:t>ПССП</w:t>
      </w:r>
      <w:r w:rsidR="00B916E2">
        <w:t xml:space="preserve">, </w:t>
      </w:r>
      <w:r>
        <w:t xml:space="preserve">за исключением </w:t>
      </w:r>
      <w:bookmarkStart w:id="208" w:name="_Hlk121094794"/>
      <w:r>
        <w:t>агониста PPARγ</w:t>
      </w:r>
      <w:bookmarkEnd w:id="208"/>
      <w:r>
        <w:t xml:space="preserve"> со стабильной дозой в течение 10 недель до </w:t>
      </w:r>
      <w:r w:rsidR="003826A0">
        <w:t>включени</w:t>
      </w:r>
      <w:r w:rsidR="0069712F">
        <w:t>я</w:t>
      </w:r>
      <w:r w:rsidR="003826A0">
        <w:t xml:space="preserve"> в </w:t>
      </w:r>
      <w:r>
        <w:t>исследовани</w:t>
      </w:r>
      <w:r w:rsidR="003826A0">
        <w:t>е</w:t>
      </w:r>
      <w:r>
        <w:t>. HbA1c</w:t>
      </w:r>
      <w:r w:rsidR="003826A0">
        <w:t xml:space="preserve"> </w:t>
      </w:r>
      <w:r w:rsidR="0069712F">
        <w:t>составлял</w:t>
      </w:r>
      <w:r w:rsidR="003826A0">
        <w:t xml:space="preserve"> </w:t>
      </w:r>
      <w:r>
        <w:t>при скрининге от 7,0% до 10,0% у пациентов, ранее не получавших лечения, и от 6,5% до 9,0% у пациентов, ранее получавших лечение. HbA1c в начале вводного периода</w:t>
      </w:r>
      <w:r w:rsidR="003826A0">
        <w:t xml:space="preserve"> составлял</w:t>
      </w:r>
      <w:r>
        <w:t xml:space="preserve"> от 7,0% до 10,0%. В этом исследовании не было ограничений по степени почечной недостаточности.</w:t>
      </w:r>
    </w:p>
    <w:p w14:paraId="147F6367" w14:textId="457FE3E4" w:rsidR="004B1452" w:rsidRDefault="004B1452" w:rsidP="00CC674C">
      <w:pPr>
        <w:ind w:firstLine="709"/>
      </w:pPr>
      <w:r>
        <w:t>Первичн</w:t>
      </w:r>
      <w:r w:rsidR="0069712F">
        <w:t>ой</w:t>
      </w:r>
      <w:r>
        <w:t xml:space="preserve"> конечн</w:t>
      </w:r>
      <w:r w:rsidR="00B916E2">
        <w:t>о</w:t>
      </w:r>
      <w:r w:rsidR="0069712F">
        <w:t>й</w:t>
      </w:r>
      <w:r>
        <w:t xml:space="preserve"> точк</w:t>
      </w:r>
      <w:r w:rsidR="0069712F">
        <w:t>ой</w:t>
      </w:r>
      <w:r>
        <w:t xml:space="preserve"> эффективности </w:t>
      </w:r>
      <w:r w:rsidR="0069712F">
        <w:t>было</w:t>
      </w:r>
      <w:r>
        <w:t xml:space="preserve"> и</w:t>
      </w:r>
      <w:r w:rsidRPr="00712F99">
        <w:t>зменение HbA1c по сравнению с исходным уровнем на 24-й неделе</w:t>
      </w:r>
      <w:r>
        <w:t>.</w:t>
      </w:r>
    </w:p>
    <w:p w14:paraId="0B5297DC" w14:textId="5C550880" w:rsidR="00CC674C" w:rsidRDefault="00E7671F" w:rsidP="008106F7">
      <w:pPr>
        <w:ind w:firstLine="709"/>
      </w:pPr>
      <w:r>
        <w:t>Л</w:t>
      </w:r>
      <w:r w:rsidR="004B1452" w:rsidRPr="0060778A">
        <w:t>ечение линаглиптином прив</w:t>
      </w:r>
      <w:r w:rsidR="00CC674C">
        <w:t>оди</w:t>
      </w:r>
      <w:r w:rsidR="004B1452" w:rsidRPr="0060778A">
        <w:t xml:space="preserve">ло </w:t>
      </w:r>
      <w:r w:rsidR="0069712F">
        <w:t>к снижению</w:t>
      </w:r>
      <w:r w:rsidR="004B1452" w:rsidRPr="0060778A">
        <w:t xml:space="preserve"> HbA1c по сравнению с исходным уровнем на -0,69% (p </w:t>
      </w:r>
      <w:r w:rsidR="00DF2018" w:rsidRPr="0060778A">
        <w:t>&lt;0</w:t>
      </w:r>
      <w:r w:rsidR="004B1452" w:rsidRPr="0060778A">
        <w:t xml:space="preserve">,0001) через 24 недели. У пациентов с исходным уровнем HbA1c ≥ 9,0 % снижение HbA1c составило 1,01 % (p </w:t>
      </w:r>
      <w:r w:rsidR="00DF2018" w:rsidRPr="0060778A">
        <w:t>&lt;0</w:t>
      </w:r>
      <w:r w:rsidR="004B1452" w:rsidRPr="0060778A">
        <w:t>,0001)</w:t>
      </w:r>
      <w:bookmarkEnd w:id="206"/>
      <w:r w:rsidR="004B1452">
        <w:t xml:space="preserve"> (Рисунок 4-1).</w:t>
      </w:r>
      <w:bookmarkEnd w:id="207"/>
    </w:p>
    <w:p w14:paraId="05F8CC0F" w14:textId="77777777" w:rsidR="008106F7" w:rsidRDefault="008106F7" w:rsidP="008106F7">
      <w:pPr>
        <w:ind w:firstLine="709"/>
        <w:rPr>
          <w:b/>
          <w:bCs/>
        </w:rPr>
      </w:pPr>
    </w:p>
    <w:p w14:paraId="425BDD75" w14:textId="77777777" w:rsidR="000D5A5B" w:rsidRDefault="000D5A5B" w:rsidP="00CC674C">
      <w:pPr>
        <w:rPr>
          <w:b/>
          <w:bCs/>
        </w:rPr>
      </w:pPr>
    </w:p>
    <w:p w14:paraId="1B4A207C" w14:textId="77777777" w:rsidR="000D5A5B" w:rsidRDefault="000D5A5B" w:rsidP="00CC674C">
      <w:pPr>
        <w:rPr>
          <w:b/>
          <w:bCs/>
        </w:rPr>
      </w:pPr>
    </w:p>
    <w:p w14:paraId="5B2A33CE" w14:textId="77777777" w:rsidR="000D5A5B" w:rsidRDefault="000D5A5B" w:rsidP="00CC674C">
      <w:pPr>
        <w:rPr>
          <w:b/>
          <w:bCs/>
        </w:rPr>
      </w:pPr>
    </w:p>
    <w:p w14:paraId="69721229" w14:textId="77777777" w:rsidR="00C878FE" w:rsidRDefault="00C878FE">
      <w:pPr>
        <w:rPr>
          <w:b/>
          <w:bCs/>
        </w:rPr>
      </w:pPr>
      <w:r>
        <w:rPr>
          <w:b/>
          <w:bCs/>
        </w:rPr>
        <w:br w:type="page"/>
      </w:r>
    </w:p>
    <w:p w14:paraId="2E4285A7" w14:textId="676A05EC" w:rsidR="004B1452" w:rsidRDefault="004B1452" w:rsidP="00CC674C">
      <w:r w:rsidRPr="0056058B">
        <w:rPr>
          <w:b/>
          <w:bCs/>
        </w:rPr>
        <w:lastRenderedPageBreak/>
        <w:t>Рисунок 4-</w:t>
      </w:r>
      <w:r>
        <w:rPr>
          <w:b/>
          <w:bCs/>
        </w:rPr>
        <w:t>1</w:t>
      </w:r>
      <w:r w:rsidRPr="0056058B">
        <w:rPr>
          <w:b/>
          <w:bCs/>
        </w:rPr>
        <w:t xml:space="preserve">. </w:t>
      </w:r>
      <w:r w:rsidRPr="00384E1B">
        <w:t>Динамика H</w:t>
      </w:r>
      <w:r>
        <w:t xml:space="preserve">bA1c (среднее значение ± стандартная ошибка) после </w:t>
      </w:r>
      <w:r w:rsidR="0069712F">
        <w:t>применения</w:t>
      </w:r>
      <w:r>
        <w:t xml:space="preserve"> линаглиптин</w:t>
      </w:r>
      <w:r w:rsidR="0069712F">
        <w:t>а</w:t>
      </w:r>
      <w:r>
        <w:t xml:space="preserve"> 5 мг или плацебо в течение 24 недель </w:t>
      </w:r>
      <w:r w:rsidR="000175CB">
        <w:t>в популяции</w:t>
      </w:r>
      <w:r>
        <w:t xml:space="preserve"> FAS</w:t>
      </w:r>
      <w:r w:rsidR="000175CB">
        <w:t xml:space="preserve"> </w:t>
      </w:r>
      <w:r w:rsidR="000175CB">
        <w:fldChar w:fldCharType="begin"/>
      </w:r>
      <w:r w:rsidR="000175CB">
        <w:instrText xml:space="preserve"> ADDIN ZOTERO_ITEM CSL_CITATION {"citationID":"79u76TSX","properties":{"formattedCitation":"[16]","plainCitation":"[16]","noteIndex":0},"citationItems":[{"id":3067,"uris":["http://zotero.org/users/5483459/items/YW5AZQKD"],"itemData":{"id":3067,"type":"article-journal","abstract":"AIM: To assess the safety and efficacy of the potent and selective dipeptidyl peptidase-4 inhibitor linagliptin 5 mg when given for 24 weeks to patients with type 2 diabetes who were either treatment-naive or who had received one oral antidiabetes drug (OAD).\nMETHODS: This multicentre, randomized, parallel group, phase III study compared linagliptin treatment (5 mg once daily, n = 336) with placebo (n = 167) for 24 weeks in type 2 diabetes patients. Before randomization, patients pretreated with one OAD underwent a washout period of 6 weeks, which included a placebo run-in period during the last 2 weeks. Patients previously untreated with an OAD underwent a 2-week placebo run-in period. The primary endpoint was the change in HbA1c from baseline after 24 weeks of treatment.\nRESULTS: Linagliptin treatment resulted in a placebo-corrected change in HbA1c from baseline of -0.69% (p &lt; 0.0001) at 24 weeks. In patients with baseline HbA1c ≥ 9.0%, the adjusted reduction in HbA1c was 1.01% (p &lt; 0.0001). Patients treated with linagliptin were more likely to achieve a reduction in HbA1c of ≥0.5% at 24 weeks than those in the placebo arm (47.1 and 19.0%, respectively; odds ratio, OR = 4.2, p &lt; 0.0001). Fasting plasma glucose improved by -1.3 mmol/l (p &lt; 0.0001) with linagliptin vs. placebo, and linagliptin produced an adjusted mean reduction from baseline after 24 weeks in 2-h postprandial glucose of -3.2 mmol/l (p &lt; 0.0001). Statistically significant and relevant treatment differences were observed for proinsulin/insulin ratio (p = 0.025), Homeostasis Model Assessment-%B (p = 0.049) and disposition index (p = 0.0005). There was no excess of hypoglycaemic episodes with linagliptin vs. placebo and no patient required third-party intervention. Mild or moderate renal impairment did not influence the trough plasma levels of linagliptin.\nCONCLUSIONS: Monotherapy with linagliptin produced a significant, clinically meaningful and sustained improvement in glycaemic control, accompanied by enhanced parameters of β-cell function. The safety profile of linagliptin was comparable with that of placebo.","container-title":"Diabetes, Obesity &amp; Metabolism","DOI":"10.1111/j.1463-1326.2010.01350.x","ISSN":"1463-1326","issue":"3","journalAbbreviation":"Diabetes Obes Metab","language":"eng","note":"PMID: 21205122","page":"258-267","source":"PubMed","title":"Effect of linagliptin monotherapy on glycaemic control and markers of β-cell function in patients with inadequately controlled type 2 diabetes: a randomized controlled trial","title-short":"Effect of linagliptin monotherapy on glycaemic control and markers of β-cell function in patients with inadequately controlled type 2 diabetes","volume":"13","author":[{"family":"Del Prato","given":"S."},{"family":"Barnett","given":"A. H."},{"family":"Huisman","given":"H."},{"family":"Neubacher","given":"D."},{"family":"Woerle","given":"H.-J."},{"family":"Dugi","given":"K. A."}],"issued":{"date-parts":[["2011",3]]}}}],"schema":"https://github.com/citation-style-language/schema/raw/master/csl-citation.json"} </w:instrText>
      </w:r>
      <w:r w:rsidR="000175CB">
        <w:fldChar w:fldCharType="separate"/>
      </w:r>
      <w:r w:rsidR="000175CB" w:rsidRPr="004619FD">
        <w:t>[16]</w:t>
      </w:r>
      <w:r w:rsidR="000175CB">
        <w:fldChar w:fldCharType="end"/>
      </w:r>
      <w:r w:rsidR="00CC674C">
        <w:t>.</w:t>
      </w:r>
    </w:p>
    <w:p w14:paraId="30A7E27C" w14:textId="22877216" w:rsidR="000175CB" w:rsidRPr="00B54840" w:rsidRDefault="004B1452" w:rsidP="00AD04CF">
      <w:pPr>
        <w:jc w:val="center"/>
      </w:pPr>
      <w:r>
        <w:rPr>
          <w:noProof/>
          <w:lang w:eastAsia="ru-RU"/>
        </w:rPr>
        <w:drawing>
          <wp:inline distT="0" distB="0" distL="0" distR="0" wp14:anchorId="75796A56" wp14:editId="0963AC8C">
            <wp:extent cx="5231533" cy="3171825"/>
            <wp:effectExtent l="19050" t="19050" r="2667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1071" cy="3183670"/>
                    </a:xfrm>
                    <a:prstGeom prst="rect">
                      <a:avLst/>
                    </a:prstGeom>
                    <a:noFill/>
                    <a:ln>
                      <a:solidFill>
                        <a:schemeClr val="tx1"/>
                      </a:solidFill>
                    </a:ln>
                  </pic:spPr>
                </pic:pic>
              </a:graphicData>
            </a:graphic>
          </wp:inline>
        </w:drawing>
      </w:r>
    </w:p>
    <w:p w14:paraId="7F2044D0" w14:textId="77777777" w:rsidR="00AD04CF" w:rsidRPr="00AD04CF" w:rsidRDefault="00AD04CF" w:rsidP="004B1452">
      <w:pPr>
        <w:pStyle w:val="afff8"/>
        <w:rPr>
          <w:b/>
        </w:rPr>
      </w:pPr>
      <w:r w:rsidRPr="00AD04CF">
        <w:rPr>
          <w:b/>
        </w:rPr>
        <w:t>Примечание:</w:t>
      </w:r>
    </w:p>
    <w:p w14:paraId="2160170E" w14:textId="22A2DC3F" w:rsidR="00012A90" w:rsidRPr="000175CB" w:rsidRDefault="000175CB" w:rsidP="004B1452">
      <w:pPr>
        <w:pStyle w:val="afff8"/>
      </w:pPr>
      <w:r w:rsidRPr="000175CB">
        <w:t>Отличия изменени</w:t>
      </w:r>
      <w:r w:rsidR="0070340F">
        <w:t>й</w:t>
      </w:r>
      <w:r w:rsidRPr="000175CB">
        <w:t xml:space="preserve"> по сравнению с исходным уровнем </w:t>
      </w:r>
      <w:r w:rsidRPr="000175CB">
        <w:rPr>
          <w:lang w:val="en-US"/>
        </w:rPr>
        <w:t>HbA</w:t>
      </w:r>
      <w:r w:rsidRPr="000175CB">
        <w:t>1</w:t>
      </w:r>
      <w:r w:rsidRPr="000175CB">
        <w:rPr>
          <w:lang w:val="en-US"/>
        </w:rPr>
        <w:t>c</w:t>
      </w:r>
      <w:r w:rsidRPr="000175CB">
        <w:t xml:space="preserve"> между плацебо и линаглиптином были </w:t>
      </w:r>
      <w:r w:rsidR="0070340F">
        <w:t xml:space="preserve">статистически </w:t>
      </w:r>
      <w:r w:rsidRPr="000175CB">
        <w:t xml:space="preserve">значимы в каждый момент времени </w:t>
      </w:r>
      <w:r>
        <w:t>с начала лечения</w:t>
      </w:r>
      <w:r w:rsidRPr="000175CB">
        <w:t xml:space="preserve"> (</w:t>
      </w:r>
      <w:r w:rsidRPr="000175CB">
        <w:rPr>
          <w:lang w:val="en-US"/>
        </w:rPr>
        <w:t>p</w:t>
      </w:r>
      <w:r w:rsidRPr="000175CB">
        <w:t xml:space="preserve"> &lt;0,0001)</w:t>
      </w:r>
    </w:p>
    <w:p w14:paraId="40C4B771" w14:textId="5F49EDBB" w:rsidR="004B1452" w:rsidRPr="00772ED7" w:rsidRDefault="00AD04CF" w:rsidP="004B1452">
      <w:pPr>
        <w:pStyle w:val="afff8"/>
      </w:pPr>
      <w:r w:rsidRPr="00772ED7">
        <w:rPr>
          <w:lang w:val="en-US"/>
        </w:rPr>
        <w:t>HbA</w:t>
      </w:r>
      <w:r w:rsidRPr="00772ED7">
        <w:t>1</w:t>
      </w:r>
      <w:r w:rsidRPr="00772ED7">
        <w:rPr>
          <w:lang w:val="en-US"/>
        </w:rPr>
        <w:t>c</w:t>
      </w:r>
      <w:r w:rsidRPr="00772ED7">
        <w:t xml:space="preserve"> (</w:t>
      </w:r>
      <w:r w:rsidR="004B1452" w:rsidRPr="00772ED7">
        <w:rPr>
          <w:lang w:val="en-US"/>
        </w:rPr>
        <w:t>mean</w:t>
      </w:r>
      <w:r w:rsidR="004B1452" w:rsidRPr="00772ED7">
        <w:t>) – средние значения гликированного гемоглобина</w:t>
      </w:r>
    </w:p>
    <w:p w14:paraId="55BE41DE" w14:textId="617C20B2" w:rsidR="004B1452" w:rsidRPr="00772ED7" w:rsidRDefault="00AD04CF" w:rsidP="004B1452">
      <w:pPr>
        <w:pStyle w:val="afff8"/>
      </w:pPr>
      <w:r w:rsidRPr="00772ED7">
        <w:rPr>
          <w:lang w:val="en-US"/>
        </w:rPr>
        <w:t>Linagliptin</w:t>
      </w:r>
      <w:r w:rsidR="004B1452" w:rsidRPr="00772ED7">
        <w:t xml:space="preserve"> 5 </w:t>
      </w:r>
      <w:r w:rsidR="004B1452" w:rsidRPr="00772ED7">
        <w:rPr>
          <w:lang w:val="en-US"/>
        </w:rPr>
        <w:t>mg</w:t>
      </w:r>
      <w:r>
        <w:t xml:space="preserve"> </w:t>
      </w:r>
      <w:r w:rsidR="004B1452" w:rsidRPr="00772ED7">
        <w:t xml:space="preserve">– </w:t>
      </w:r>
      <w:r w:rsidR="00012A90">
        <w:t xml:space="preserve">группа, получавшая </w:t>
      </w:r>
      <w:r w:rsidR="004B1452" w:rsidRPr="00772ED7">
        <w:t xml:space="preserve">линаглиптин 5 мг </w:t>
      </w:r>
    </w:p>
    <w:p w14:paraId="7EF1B6FD" w14:textId="32B35A15" w:rsidR="004B1452" w:rsidRDefault="00AD04CF" w:rsidP="004B1452">
      <w:pPr>
        <w:pStyle w:val="afff8"/>
      </w:pPr>
      <w:r w:rsidRPr="00772ED7">
        <w:rPr>
          <w:lang w:val="en-US"/>
        </w:rPr>
        <w:t>Placebo</w:t>
      </w:r>
      <w:r>
        <w:t xml:space="preserve"> </w:t>
      </w:r>
      <w:r w:rsidR="004B1452" w:rsidRPr="00772ED7">
        <w:t>–</w:t>
      </w:r>
      <w:r w:rsidR="00012A90" w:rsidRPr="00012A90">
        <w:t xml:space="preserve"> </w:t>
      </w:r>
      <w:r w:rsidR="00012A90">
        <w:t xml:space="preserve">группа, получавшая </w:t>
      </w:r>
      <w:r w:rsidR="004B1452" w:rsidRPr="00772ED7">
        <w:t xml:space="preserve">плацебо </w:t>
      </w:r>
    </w:p>
    <w:p w14:paraId="1A0603D8" w14:textId="60560469" w:rsidR="004B1452" w:rsidRPr="00772ED7" w:rsidRDefault="00AD04CF" w:rsidP="004B1452">
      <w:pPr>
        <w:pStyle w:val="afff8"/>
      </w:pPr>
      <w:r>
        <w:rPr>
          <w:lang w:val="en-US"/>
        </w:rPr>
        <w:t>Treatment</w:t>
      </w:r>
      <w:r w:rsidR="004B1452" w:rsidRPr="00384E1B">
        <w:t xml:space="preserve"> </w:t>
      </w:r>
      <w:r w:rsidR="004B1452">
        <w:rPr>
          <w:lang w:val="en-US"/>
        </w:rPr>
        <w:t>duration</w:t>
      </w:r>
      <w:r>
        <w:t xml:space="preserve"> </w:t>
      </w:r>
      <w:r w:rsidRPr="00772ED7">
        <w:t>–</w:t>
      </w:r>
      <w:r w:rsidR="004B1452">
        <w:t xml:space="preserve"> продолжительность лечения</w:t>
      </w:r>
    </w:p>
    <w:p w14:paraId="73CE39BA" w14:textId="0F4FB754" w:rsidR="004B1452" w:rsidRPr="00772ED7" w:rsidRDefault="00AD04CF" w:rsidP="004B1452">
      <w:pPr>
        <w:pStyle w:val="afff8"/>
      </w:pPr>
      <w:r>
        <w:rPr>
          <w:lang w:val="en-US"/>
        </w:rPr>
        <w:t>Baseline</w:t>
      </w:r>
      <w:r>
        <w:t xml:space="preserve"> </w:t>
      </w:r>
      <w:r w:rsidRPr="00772ED7">
        <w:t>–</w:t>
      </w:r>
      <w:r>
        <w:t xml:space="preserve"> </w:t>
      </w:r>
      <w:r w:rsidRPr="00585061">
        <w:t>исходные</w:t>
      </w:r>
      <w:r w:rsidR="004B1452">
        <w:t xml:space="preserve"> значения</w:t>
      </w:r>
    </w:p>
    <w:p w14:paraId="4989809E" w14:textId="1652C248" w:rsidR="004B1452" w:rsidRDefault="00AD04CF" w:rsidP="004B1452">
      <w:pPr>
        <w:pStyle w:val="afff8"/>
      </w:pPr>
      <w:r>
        <w:rPr>
          <w:lang w:val="en-US"/>
        </w:rPr>
        <w:t>Week</w:t>
      </w:r>
      <w:r>
        <w:t xml:space="preserve"> </w:t>
      </w:r>
      <w:r w:rsidRPr="00772ED7">
        <w:t>–</w:t>
      </w:r>
      <w:r>
        <w:t xml:space="preserve"> </w:t>
      </w:r>
      <w:r w:rsidRPr="00585061">
        <w:t>неделя</w:t>
      </w:r>
    </w:p>
    <w:p w14:paraId="3B18048A" w14:textId="3802152D" w:rsidR="004B1452" w:rsidRDefault="00012A90" w:rsidP="004B1452">
      <w:pPr>
        <w:pStyle w:val="afff8"/>
      </w:pPr>
      <w:r w:rsidRPr="00012A90">
        <w:t>FAS</w:t>
      </w:r>
      <w:r>
        <w:t xml:space="preserve"> – популяция полного набора данных для анализа</w:t>
      </w:r>
    </w:p>
    <w:p w14:paraId="2373057D" w14:textId="77777777" w:rsidR="004B1452" w:rsidRDefault="004B1452" w:rsidP="004B1452">
      <w:pPr>
        <w:pStyle w:val="afff8"/>
      </w:pPr>
    </w:p>
    <w:p w14:paraId="0EA660B5" w14:textId="75E1EF00" w:rsidR="004B1452" w:rsidRDefault="004B1452" w:rsidP="004B1452">
      <w:pPr>
        <w:ind w:firstLine="709"/>
      </w:pPr>
      <w:bookmarkStart w:id="209" w:name="_Hlk121101902"/>
      <w:bookmarkStart w:id="210" w:name="_Hlk121691120"/>
      <w:r w:rsidRPr="0060778A">
        <w:t>Пациенты, получавшие линаглиптин достигали снижения HbA1c на ≥0,5% через 24 недели</w:t>
      </w:r>
      <w:r w:rsidR="00E14BCE">
        <w:t xml:space="preserve"> в сравнении с </w:t>
      </w:r>
      <w:r w:rsidR="00AD04CF">
        <w:t>группой</w:t>
      </w:r>
      <w:r w:rsidR="00AD04CF" w:rsidRPr="0060778A">
        <w:t xml:space="preserve"> </w:t>
      </w:r>
      <w:r w:rsidR="00AD04CF">
        <w:t>плацебо</w:t>
      </w:r>
      <w:r w:rsidR="00E14BCE">
        <w:t xml:space="preserve"> </w:t>
      </w:r>
      <w:r w:rsidRPr="0060778A">
        <w:t>(47,1</w:t>
      </w:r>
      <w:r w:rsidR="00E14BCE" w:rsidRPr="0060778A">
        <w:t>%</w:t>
      </w:r>
      <w:r w:rsidRPr="0060778A">
        <w:t xml:space="preserve"> и 19,0% соответственно; </w:t>
      </w:r>
      <w:bookmarkStart w:id="211" w:name="_Hlk121086265"/>
      <w:r w:rsidRPr="0060778A">
        <w:t xml:space="preserve">отношение шансов, ОШ </w:t>
      </w:r>
      <w:bookmarkEnd w:id="211"/>
      <w:r w:rsidRPr="0060778A">
        <w:t xml:space="preserve">= 4,2, р &lt;0,0001). Уровень глюкозы в плазме натощак </w:t>
      </w:r>
      <w:r w:rsidR="00202A24">
        <w:t>снизился</w:t>
      </w:r>
      <w:r w:rsidRPr="0060778A">
        <w:t xml:space="preserve"> на -1,3 ммоль/л (p </w:t>
      </w:r>
      <w:r w:rsidR="00DF2018" w:rsidRPr="0060778A">
        <w:t>&lt;0</w:t>
      </w:r>
      <w:r w:rsidRPr="0060778A">
        <w:t>,0001) при приеме линаглиптина по сравнению с плацебо</w:t>
      </w:r>
      <w:r w:rsidR="00E14BCE">
        <w:t>.</w:t>
      </w:r>
      <w:r w:rsidRPr="0060778A">
        <w:t xml:space="preserve"> </w:t>
      </w:r>
      <w:r w:rsidR="00E14BCE">
        <w:t>С</w:t>
      </w:r>
      <w:r w:rsidRPr="0060778A">
        <w:t>реднее снижение</w:t>
      </w:r>
      <w:r w:rsidR="00E14BCE">
        <w:t xml:space="preserve"> глюкозы </w:t>
      </w:r>
      <w:r w:rsidRPr="0060778A">
        <w:t xml:space="preserve"> </w:t>
      </w:r>
      <w:r w:rsidR="00E14BCE">
        <w:t>через 2 часа после приема пищи составило</w:t>
      </w:r>
      <w:r w:rsidRPr="0060778A">
        <w:t xml:space="preserve"> -3,2 ммоль/л</w:t>
      </w:r>
      <w:r w:rsidR="00E14BCE">
        <w:t xml:space="preserve"> </w:t>
      </w:r>
      <w:r w:rsidR="00E14BCE" w:rsidRPr="0060778A">
        <w:t xml:space="preserve">по сравнению с исходным уровнем </w:t>
      </w:r>
      <w:r w:rsidRPr="0060778A">
        <w:t xml:space="preserve">(p &lt; 0,0001) </w:t>
      </w:r>
      <w:bookmarkEnd w:id="209"/>
      <w:r>
        <w:fldChar w:fldCharType="begin"/>
      </w:r>
      <w:r>
        <w:instrText xml:space="preserve"> ADDIN ZOTERO_ITEM CSL_CITATION {"citationID":"79u76TSX","properties":{"formattedCitation":"[16]","plainCitation":"[16]","noteIndex":0},"citationItems":[{"id":3067,"uris":["http://zotero.org/users/5483459/items/YW5AZQKD"],"itemData":{"id":3067,"type":"article-journal","abstract":"AIM: To assess the safety and efficacy of the potent and selective dipeptidyl peptidase-4 inhibitor linagliptin 5 mg when given for 24 weeks to patients with type 2 diabetes who were either treatment-naive or who had received one oral antidiabetes drug (OAD).\nMETHODS: This multicentre, randomized, parallel group, phase III study compared linagliptin treatment (5 mg once daily, n = 336) with placebo (n = 167) for 24 weeks in type 2 diabetes patients. Before randomization, patients pretreated with one OAD underwent a washout period of 6 weeks, which included a placebo run-in period during the last 2 weeks. Patients previously untreated with an OAD underwent a 2-week placebo run-in period. The primary endpoint was the change in HbA1c from baseline after 24 weeks of treatment.\nRESULTS: Linagliptin treatment resulted in a placebo-corrected change in HbA1c from baseline of -0.69% (p &lt; 0.0001) at 24 weeks. In patients with baseline HbA1c ≥ 9.0%, the adjusted reduction in HbA1c was 1.01% (p &lt; 0.0001). Patients treated with linagliptin were more likely to achieve a reduction in HbA1c of ≥0.5% at 24 weeks than those in the placebo arm (47.1 and 19.0%, respectively; odds ratio, OR = 4.2, p &lt; 0.0001). Fasting plasma glucose improved by -1.3 mmol/l (p &lt; 0.0001) with linagliptin vs. placebo, and linagliptin produced an adjusted mean reduction from baseline after 24 weeks in 2-h postprandial glucose of -3.2 mmol/l (p &lt; 0.0001). Statistically significant and relevant treatment differences were observed for proinsulin/insulin ratio (p = 0.025), Homeostasis Model Assessment-%B (p = 0.049) and disposition index (p = 0.0005). There was no excess of hypoglycaemic episodes with linagliptin vs. placebo and no patient required third-party intervention. Mild or moderate renal impairment did not influence the trough plasma levels of linagliptin.\nCONCLUSIONS: Monotherapy with linagliptin produced a significant, clinically meaningful and sustained improvement in glycaemic control, accompanied by enhanced parameters of β-cell function. The safety profile of linagliptin was comparable with that of placebo.","container-title":"Diabetes, Obesity &amp; Metabolism","DOI":"10.1111/j.1463-1326.2010.01350.x","ISSN":"1463-1326","issue":"3","journalAbbreviation":"Diabetes Obes Metab","language":"eng","note":"PMID: 21205122","page":"258-267","source":"PubMed","title":"Effect of linagliptin monotherapy on glycaemic control and markers of β-cell function in patients with inadequately controlled type 2 diabetes: a randomized controlled trial","title-short":"Effect of linagliptin monotherapy on glycaemic control and markers of β-cell function in patients with inadequately controlled type 2 diabetes","volume":"13","author":[{"family":"Del Prato","given":"S."},{"family":"Barnett","given":"A. H."},{"family":"Huisman","given":"H."},{"family":"Neubacher","given":"D."},{"family":"Woerle","given":"H.-J."},{"family":"Dugi","given":"K. A."}],"issued":{"date-parts":[["2011",3]]}}}],"schema":"https://github.com/citation-style-language/schema/raw/master/csl-citation.json"} </w:instrText>
      </w:r>
      <w:r>
        <w:fldChar w:fldCharType="separate"/>
      </w:r>
      <w:r w:rsidRPr="004619FD">
        <w:t>[16]</w:t>
      </w:r>
      <w:r>
        <w:fldChar w:fldCharType="end"/>
      </w:r>
      <w:r w:rsidRPr="0060778A">
        <w:t xml:space="preserve">. </w:t>
      </w:r>
    </w:p>
    <w:p w14:paraId="1FD8C07F" w14:textId="33CDB84B" w:rsidR="004B1452" w:rsidRPr="00C442E0" w:rsidRDefault="00512BB5" w:rsidP="00C442E0">
      <w:pPr>
        <w:ind w:firstLine="709"/>
        <w:rPr>
          <w:color w:val="FF0000"/>
        </w:rPr>
      </w:pPr>
      <w:r>
        <w:t>Эффективность и безопасность монотерапии линаглиптином также оценивали у пациентов, которым терапия метформином не подходит из-за непер</w:t>
      </w:r>
      <w:r w:rsidR="006E0B17">
        <w:t>е</w:t>
      </w:r>
      <w:r>
        <w:t>носимости других гипогликемических препаратов, или она противопоказана из-за почечной недостаточности, в двойном слепом плацебо-контролируемом исследовании продолжительностью 18 недель. Линаглиптин обеспечил значительно</w:t>
      </w:r>
      <w:r w:rsidR="004C664E">
        <w:t>е</w:t>
      </w:r>
      <w:r>
        <w:t xml:space="preserve"> улучшение уровня гликированного гемоглобина (изменение на -0,57% по сравнению с плацебо) по сравнению со средним исходным уро</w:t>
      </w:r>
      <w:r w:rsidR="004C664E">
        <w:t xml:space="preserve">внем гликированного гемоглобина </w:t>
      </w:r>
      <w:r>
        <w:t>8,09%. Линаглиптин также продемонстрировал значительное улучшение уровня глюкозы в плазме натощак по сравнению с плацебо. Н</w:t>
      </w:r>
      <w:r w:rsidR="00C442E0">
        <w:t>а</w:t>
      </w:r>
      <w:r>
        <w:t xml:space="preserve">блюдаемая частота гипогликемии у пациентов, получавших линаглиптин, была сходной с плацебо </w:t>
      </w:r>
      <w:r w:rsidRPr="00512BB5">
        <w:t>[1]</w:t>
      </w:r>
      <w:r>
        <w:t>.</w:t>
      </w:r>
      <w:bookmarkEnd w:id="210"/>
    </w:p>
    <w:p w14:paraId="5475B56E" w14:textId="77777777" w:rsidR="00C442E0" w:rsidRPr="00C442E0" w:rsidRDefault="00C442E0" w:rsidP="00C442E0">
      <w:pPr>
        <w:keepNext/>
        <w:spacing w:before="240" w:after="240"/>
        <w:outlineLvl w:val="3"/>
        <w:rPr>
          <w:b/>
          <w:color w:val="000000" w:themeColor="text1"/>
        </w:rPr>
      </w:pPr>
      <w:bookmarkStart w:id="212" w:name="_Toc126492022"/>
      <w:bookmarkStart w:id="213" w:name="_Toc52190594"/>
      <w:bookmarkStart w:id="214" w:name="_Hlk521885199"/>
      <w:bookmarkStart w:id="215" w:name="_Toc139362002"/>
      <w:r w:rsidRPr="00C442E0">
        <w:rPr>
          <w:b/>
          <w:color w:val="000000" w:themeColor="text1"/>
        </w:rPr>
        <w:lastRenderedPageBreak/>
        <w:t>4.3.1.2. Комбинированной терапии с другими гипогликемическими лекарственными препаратами, включая инсулин, в том случае, если при терапии этими препаратами не достигается адекватный гликемический контроль</w:t>
      </w:r>
      <w:bookmarkEnd w:id="212"/>
      <w:bookmarkEnd w:id="215"/>
    </w:p>
    <w:p w14:paraId="42BE1FF1" w14:textId="77777777" w:rsidR="00C442E0" w:rsidRPr="00C442E0" w:rsidRDefault="00C442E0" w:rsidP="00C442E0">
      <w:pPr>
        <w:keepNext/>
        <w:spacing w:before="240" w:after="240"/>
        <w:outlineLvl w:val="3"/>
        <w:rPr>
          <w:b/>
          <w:i/>
          <w:iCs/>
          <w:color w:val="000000" w:themeColor="text1"/>
        </w:rPr>
      </w:pPr>
      <w:bookmarkStart w:id="216" w:name="_Toc126492023"/>
      <w:bookmarkStart w:id="217" w:name="_Toc139362003"/>
      <w:r w:rsidRPr="00C442E0">
        <w:rPr>
          <w:b/>
          <w:color w:val="000000" w:themeColor="text1"/>
        </w:rPr>
        <w:t xml:space="preserve">4.3.1.2.1. </w:t>
      </w:r>
      <w:bookmarkStart w:id="218" w:name="_Hlk121691152"/>
      <w:r w:rsidRPr="00C442E0">
        <w:rPr>
          <w:b/>
          <w:iCs/>
          <w:color w:val="000000" w:themeColor="text1"/>
        </w:rPr>
        <w:t xml:space="preserve">Комбинация с </w:t>
      </w:r>
      <w:r w:rsidRPr="00C442E0">
        <w:rPr>
          <w:b/>
          <w:bCs/>
          <w:iCs/>
          <w:color w:val="000000" w:themeColor="text1"/>
        </w:rPr>
        <w:t>пиоглитазон</w:t>
      </w:r>
      <w:r w:rsidRPr="00C442E0">
        <w:rPr>
          <w:b/>
          <w:iCs/>
          <w:color w:val="000000" w:themeColor="text1"/>
        </w:rPr>
        <w:t>ом</w:t>
      </w:r>
      <w:bookmarkEnd w:id="216"/>
      <w:bookmarkEnd w:id="217"/>
    </w:p>
    <w:p w14:paraId="12DC385F" w14:textId="63D661BC" w:rsidR="00C442E0" w:rsidRPr="00C442E0" w:rsidRDefault="00510808" w:rsidP="00656EEA">
      <w:pPr>
        <w:ind w:firstLine="709"/>
      </w:pPr>
      <w:r>
        <w:t>П</w:t>
      </w:r>
      <w:r w:rsidR="00C442E0" w:rsidRPr="00C442E0">
        <w:t>роведено международное рандомизированное двойное слепое плацебо-контролируемое исследование в параллельных группах, состоящее из открытого 2-недельного вводного курса плацебо, затем 24-недельного периода двойного слепого лечения и 1-недельного последующего наблюдения после прекращения приема исследуемого препарата (ClinicalTrials.gov Identifier: NCT00641043).</w:t>
      </w:r>
    </w:p>
    <w:p w14:paraId="256B437E" w14:textId="07ADAC75" w:rsidR="00C442E0" w:rsidRPr="00C442E0" w:rsidRDefault="00C442E0" w:rsidP="00656EEA">
      <w:pPr>
        <w:ind w:firstLine="709"/>
      </w:pPr>
      <w:r w:rsidRPr="00C442E0">
        <w:t>Популяция исследования – пациенты с СД2, ранее не принимавшие лекарственные препараты или получавшие ПССП в виде монотерапии или комбинированную терапию. HbA1c при скрининге составлял от 7,5% до 11,0% у пациентов, ранее не получавших лечения, и от 7,0% до 9,5% у пациентов, ранее получавших ПССП.</w:t>
      </w:r>
    </w:p>
    <w:p w14:paraId="1F090E58" w14:textId="05B6E56A" w:rsidR="00C442E0" w:rsidRPr="00C442E0" w:rsidRDefault="00C442E0" w:rsidP="00656EEA">
      <w:pPr>
        <w:ind w:firstLine="709"/>
      </w:pPr>
      <w:r w:rsidRPr="00C442E0">
        <w:t xml:space="preserve">389 пациентов были рандомизированы в соотношении 2:1 </w:t>
      </w:r>
      <w:r w:rsidR="00656EEA">
        <w:t>для получения терапии в течение</w:t>
      </w:r>
      <w:r w:rsidRPr="00C442E0">
        <w:t xml:space="preserve"> 24 недел</w:t>
      </w:r>
      <w:r w:rsidR="00656EEA">
        <w:t>ь</w:t>
      </w:r>
      <w:r w:rsidRPr="00C442E0">
        <w:t xml:space="preserve"> в группу 5 мг линаглиптина, либо плацебо в качестве начальной комбинации с 30 мг пиоглитазона (группы линаглиптин+пиоглитазон и плацебо+пиоглитазон соответственно).</w:t>
      </w:r>
    </w:p>
    <w:p w14:paraId="39780A14" w14:textId="65ED32AE" w:rsidR="00C442E0" w:rsidRPr="00C442E0" w:rsidRDefault="00C442E0" w:rsidP="00656EEA">
      <w:pPr>
        <w:ind w:firstLine="709"/>
      </w:pPr>
      <w:r w:rsidRPr="00C442E0">
        <w:t>Первичная конечная точка эффективности была изменение HbA1c по сравнению с исходным уровнем на 24-й неделе</w:t>
      </w:r>
      <w:r w:rsidR="00656EEA">
        <w:t>. С</w:t>
      </w:r>
      <w:r w:rsidRPr="00C442E0">
        <w:t>реднее изменение (± стандартное отклонение) HbA1c для начальной комбинации линаглиптина и пиоглитазона составило -1,06% (±0,06) по сравнению с -0,56% (±0,09) для плацебо плюс пиоглитазон (Рисунок 4-2).</w:t>
      </w:r>
    </w:p>
    <w:bookmarkEnd w:id="218"/>
    <w:p w14:paraId="4D277F60" w14:textId="77777777" w:rsidR="00C442E0" w:rsidRPr="00C442E0" w:rsidRDefault="00C442E0" w:rsidP="00C442E0">
      <w:pPr>
        <w:ind w:firstLine="851"/>
      </w:pPr>
    </w:p>
    <w:p w14:paraId="7D89B7D6" w14:textId="56E951CD" w:rsidR="00C442E0" w:rsidRPr="00C442E0" w:rsidRDefault="00C442E0" w:rsidP="00C442E0">
      <w:r w:rsidRPr="00C442E0">
        <w:rPr>
          <w:b/>
          <w:bCs/>
        </w:rPr>
        <w:t xml:space="preserve">Рисунок 4-2. </w:t>
      </w:r>
      <w:r w:rsidRPr="00C442E0">
        <w:t>Динамика  HbA1c после лечения в группах линаглиптин 5 мг + пиоглитазон 30 мг или плацебо +</w:t>
      </w:r>
      <w:r w:rsidRPr="00C442E0">
        <w:rPr>
          <w:vertAlign w:val="subscript"/>
        </w:rPr>
        <w:t xml:space="preserve"> </w:t>
      </w:r>
      <w:r w:rsidRPr="00C442E0">
        <w:t xml:space="preserve">пиоглитазон 30 мг в течение 24 недель  (популяция  LOCF) </w:t>
      </w:r>
      <w:r w:rsidRPr="00C442E0">
        <w:fldChar w:fldCharType="begin"/>
      </w:r>
      <w:r w:rsidRPr="00C442E0">
        <w:instrText xml:space="preserve"> ADDIN ZOTERO_ITEM CSL_CITATION {"citationID":"jTwsjUS8","properties":{"formattedCitation":"[17]","plainCitation":"[17]","noteIndex":0},"citationItems":[{"id":3065,"uris":["http://zotero.org/users/5483459/items/LDC4CPNG"],"itemData":{"id":3065,"type":"article-journal","abstract":"AIMS: To compare the efficacy, safety and tolerability of linagliptin or placebo administered for 24 weeks in combination with pioglitazone in patients with type 2 diabetes mellitus (T2DM) exhibiting insufficient glycaemic control (HbA1c 7.5-11.0%).\nMETHODS: Patients were randomized to receive the initial combination of 30 mg pioglitazone plus 5 mg linagliptin (n = 259) or pioglitazone plus placebo (n = 130), all once daily. The primary endpoint was change from baseline in HbA1c after 24 weeks of treatment, adjusted for baseline HbA1c and prior antidiabetes medication.\nRESULTS: After 24 weeks of treatment, the adjusted mean change (±s.e.) in HbA1c with the initial combination of linagliptin plus pioglitazone was -1.06% (±0.06), compared with -0.56% (±0.09) for placebo plus pioglitazone. The difference in adjusted mean HbA1c in the linagliptin group compared with placebo was -0.51% (95% confidence interval [CI] -0.71, -0.30; p &lt; 0.0001). Reductions in fasting plasma glucose (FPG) were significantly greater for linagliptin plus pioglitazone than with placebo plus pioglitazone; -1.8 and -1.0 mmol/l, respectively, equating to a treatment difference of -0.8 mmol/l (95% CI -1.2, -0.4; p &lt; 0.0001). Patients taking linagliptin plus pioglitazone, compared with those receiving placebo plus pioglitazone, were more likely to achieve HbA1c of &lt;7.0% (42.9 vs. 30.5%, respectively; p = 0.0051) and reduction in HbA1c of ≥0.5% (75.0 vs. 50.8%, respectively; p &lt; 0.0001). β-cell function, exemplified by the ratio of relative change in adjusted mean HOMA-IR and disposition index, improved. The proportion of patients that experienced at least one adverse event was similar for both groups. Hypoglycaemic episodes (all mild) occurred in 1.2% of the linagliptin plus pioglitazone patients and none in the placebo plus pioglitazone group.\nCONCLUSION: Initial combination therapy with linagliptin plus pioglitazone was well tolerated and produced significant and clinically meaningful improvements in glycaemic control. This combination may offer a valuable additive initial treatment option for T2DM, particularly where metformin either is not well tolerated or is contraindicated, such as in patients with renal impairment.","container-title":"Diabetes, Obesity &amp; Metabolism","DOI":"10.1111/j.1463-1326.2011.01391.x","ISSN":"1463-1326","issue":"7","journalAbbreviation":"Diabetes Obes Metab","language":"eng","note":"PMID: 21410628","page":"653-661","source":"PubMed","title":"Efficacy and safety of initial combination therapy with linagliptin and pioglitazone in patients with inadequately controlled type 2 diabetes: a randomized, double-blind, placebo-controlled study","title-short":"Efficacy and safety of initial combination therapy with linagliptin and pioglitazone in patients with inadequately controlled type 2 diabetes","volume":"13","author":[{"family":"Gomis","given":"R."},{"family":"Espadero","given":"R.-M."},{"family":"Jones","given":"R."},{"family":"Woerle","given":"H. J."},{"family":"Dugi","given":"K. A."}],"issued":{"date-parts":[["2011",7]]}}}],"schema":"https://github.com/citation-style-language/schema/raw/master/csl-citation.json"} </w:instrText>
      </w:r>
      <w:r w:rsidRPr="00C442E0">
        <w:fldChar w:fldCharType="separate"/>
      </w:r>
      <w:r w:rsidRPr="00C442E0">
        <w:t>[17]</w:t>
      </w:r>
      <w:r w:rsidRPr="00C442E0">
        <w:fldChar w:fldCharType="end"/>
      </w:r>
      <w:r w:rsidRPr="00C442E0">
        <w:t>.</w:t>
      </w:r>
    </w:p>
    <w:p w14:paraId="275E96D6" w14:textId="162D2AAA" w:rsidR="00C442E0" w:rsidRPr="00C442E0" w:rsidRDefault="00C442E0" w:rsidP="00B00AE1">
      <w:pPr>
        <w:jc w:val="center"/>
      </w:pPr>
      <w:r w:rsidRPr="00C442E0">
        <w:rPr>
          <w:noProof/>
          <w:lang w:eastAsia="ru-RU"/>
        </w:rPr>
        <w:drawing>
          <wp:inline distT="0" distB="0" distL="0" distR="0" wp14:anchorId="257A85C9" wp14:editId="2AAF3B67">
            <wp:extent cx="4853727" cy="2781300"/>
            <wp:effectExtent l="19050" t="19050" r="23495"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2540" cy="2792080"/>
                    </a:xfrm>
                    <a:prstGeom prst="rect">
                      <a:avLst/>
                    </a:prstGeom>
                    <a:noFill/>
                    <a:ln w="9525" cmpd="sng">
                      <a:solidFill>
                        <a:srgbClr val="000000"/>
                      </a:solidFill>
                      <a:miter lim="800000"/>
                      <a:headEnd/>
                      <a:tailEnd/>
                    </a:ln>
                    <a:effectLst/>
                  </pic:spPr>
                </pic:pic>
              </a:graphicData>
            </a:graphic>
          </wp:inline>
        </w:drawing>
      </w:r>
    </w:p>
    <w:p w14:paraId="5F9E1B29" w14:textId="77777777" w:rsidR="00B00AE1" w:rsidRDefault="00B00AE1" w:rsidP="00C442E0">
      <w:pPr>
        <w:rPr>
          <w:b/>
          <w:sz w:val="20"/>
          <w:szCs w:val="20"/>
        </w:rPr>
      </w:pPr>
      <w:r w:rsidRPr="00B00AE1">
        <w:rPr>
          <w:b/>
          <w:sz w:val="20"/>
          <w:szCs w:val="20"/>
        </w:rPr>
        <w:t>Примечание:</w:t>
      </w:r>
    </w:p>
    <w:p w14:paraId="4BFF5A52" w14:textId="2AB43D3D" w:rsidR="00C442E0" w:rsidRPr="00C442E0" w:rsidRDefault="00C442E0" w:rsidP="00C442E0">
      <w:pPr>
        <w:rPr>
          <w:b/>
          <w:sz w:val="20"/>
          <w:szCs w:val="20"/>
        </w:rPr>
      </w:pPr>
      <w:r w:rsidRPr="00C442E0">
        <w:rPr>
          <w:sz w:val="20"/>
          <w:szCs w:val="20"/>
          <w:lang w:eastAsia="ru-RU"/>
        </w:rPr>
        <w:t xml:space="preserve">Отличия изменений по сравнению с исходным уровнем </w:t>
      </w:r>
      <w:r w:rsidRPr="00C442E0">
        <w:rPr>
          <w:sz w:val="20"/>
          <w:szCs w:val="20"/>
          <w:lang w:val="en-US" w:eastAsia="ru-RU"/>
        </w:rPr>
        <w:t>HbA</w:t>
      </w:r>
      <w:r w:rsidRPr="00C442E0">
        <w:rPr>
          <w:sz w:val="20"/>
          <w:szCs w:val="20"/>
          <w:lang w:eastAsia="ru-RU"/>
        </w:rPr>
        <w:t>1</w:t>
      </w:r>
      <w:r w:rsidRPr="00C442E0">
        <w:rPr>
          <w:sz w:val="20"/>
          <w:szCs w:val="20"/>
          <w:lang w:val="en-US" w:eastAsia="ru-RU"/>
        </w:rPr>
        <w:t>c</w:t>
      </w:r>
      <w:r w:rsidRPr="00C442E0">
        <w:rPr>
          <w:sz w:val="20"/>
          <w:szCs w:val="20"/>
          <w:lang w:eastAsia="ru-RU"/>
        </w:rPr>
        <w:t xml:space="preserve"> между плацебо и линаглиптином были статистически значимы в каждый момент времени с начала лечения (</w:t>
      </w:r>
      <w:r w:rsidRPr="00C442E0">
        <w:rPr>
          <w:sz w:val="20"/>
          <w:szCs w:val="20"/>
          <w:lang w:val="en-US" w:eastAsia="ru-RU"/>
        </w:rPr>
        <w:t>p</w:t>
      </w:r>
      <w:r w:rsidRPr="00C442E0">
        <w:rPr>
          <w:sz w:val="20"/>
          <w:szCs w:val="20"/>
          <w:lang w:eastAsia="ru-RU"/>
        </w:rPr>
        <w:t xml:space="preserve"> &lt;0,0001)</w:t>
      </w:r>
    </w:p>
    <w:p w14:paraId="1E38D123" w14:textId="18819F37" w:rsidR="00C442E0" w:rsidRPr="00C442E0" w:rsidRDefault="00DF2018" w:rsidP="00C442E0">
      <w:pPr>
        <w:rPr>
          <w:sz w:val="20"/>
          <w:szCs w:val="20"/>
          <w:lang w:eastAsia="ru-RU"/>
        </w:rPr>
      </w:pPr>
      <w:r w:rsidRPr="00C442E0">
        <w:rPr>
          <w:sz w:val="20"/>
          <w:szCs w:val="20"/>
          <w:lang w:val="en-US" w:eastAsia="ru-RU"/>
        </w:rPr>
        <w:t>HbA</w:t>
      </w:r>
      <w:r w:rsidRPr="00C442E0">
        <w:rPr>
          <w:sz w:val="20"/>
          <w:szCs w:val="20"/>
          <w:lang w:eastAsia="ru-RU"/>
        </w:rPr>
        <w:t>1</w:t>
      </w:r>
      <w:r w:rsidRPr="00C442E0">
        <w:rPr>
          <w:sz w:val="20"/>
          <w:szCs w:val="20"/>
          <w:lang w:val="en-US" w:eastAsia="ru-RU"/>
        </w:rPr>
        <w:t>c</w:t>
      </w:r>
      <w:r w:rsidRPr="00C442E0">
        <w:rPr>
          <w:sz w:val="20"/>
          <w:szCs w:val="20"/>
          <w:lang w:eastAsia="ru-RU"/>
        </w:rPr>
        <w:t xml:space="preserve"> (</w:t>
      </w:r>
      <w:r w:rsidR="00C442E0" w:rsidRPr="00C442E0">
        <w:rPr>
          <w:sz w:val="20"/>
          <w:szCs w:val="20"/>
          <w:lang w:val="en-US" w:eastAsia="ru-RU"/>
        </w:rPr>
        <w:t>mean</w:t>
      </w:r>
      <w:r w:rsidR="00C442E0" w:rsidRPr="00C442E0">
        <w:rPr>
          <w:sz w:val="20"/>
          <w:szCs w:val="20"/>
          <w:lang w:eastAsia="ru-RU"/>
        </w:rPr>
        <w:t>) – средние значения гликированного гемоглобина</w:t>
      </w:r>
    </w:p>
    <w:p w14:paraId="04BBDAEC" w14:textId="0DB723A6" w:rsidR="00C442E0" w:rsidRPr="00C442E0" w:rsidRDefault="00C442E0" w:rsidP="00C442E0">
      <w:pPr>
        <w:rPr>
          <w:sz w:val="20"/>
          <w:szCs w:val="20"/>
          <w:lang w:eastAsia="ru-RU"/>
        </w:rPr>
      </w:pPr>
      <w:r w:rsidRPr="00C442E0">
        <w:rPr>
          <w:sz w:val="20"/>
          <w:szCs w:val="20"/>
          <w:lang w:eastAsia="ru-RU"/>
        </w:rPr>
        <w:t>LOCF</w:t>
      </w:r>
      <w:r w:rsidR="008B6B4C">
        <w:rPr>
          <w:sz w:val="20"/>
          <w:szCs w:val="20"/>
          <w:lang w:eastAsia="ru-RU"/>
        </w:rPr>
        <w:t xml:space="preserve"> </w:t>
      </w:r>
      <w:r w:rsidRPr="00C442E0">
        <w:rPr>
          <w:sz w:val="20"/>
          <w:szCs w:val="20"/>
          <w:lang w:eastAsia="ru-RU"/>
        </w:rPr>
        <w:t>–</w:t>
      </w:r>
      <w:r w:rsidR="008B6B4C">
        <w:rPr>
          <w:sz w:val="20"/>
          <w:szCs w:val="20"/>
          <w:lang w:eastAsia="ru-RU"/>
        </w:rPr>
        <w:t xml:space="preserve"> </w:t>
      </w:r>
      <w:r w:rsidRPr="00C442E0">
        <w:rPr>
          <w:sz w:val="20"/>
          <w:szCs w:val="20"/>
          <w:lang w:eastAsia="ru-RU"/>
        </w:rPr>
        <w:t xml:space="preserve">Анализ данных с учетом сведений о выбывших больных </w:t>
      </w:r>
    </w:p>
    <w:p w14:paraId="35CA53D8" w14:textId="4903F58B" w:rsidR="00C442E0" w:rsidRPr="00C442E0" w:rsidRDefault="00DF2018" w:rsidP="00C442E0">
      <w:pPr>
        <w:rPr>
          <w:sz w:val="20"/>
          <w:szCs w:val="20"/>
          <w:lang w:eastAsia="ru-RU"/>
        </w:rPr>
      </w:pPr>
      <w:r w:rsidRPr="00C442E0">
        <w:rPr>
          <w:sz w:val="20"/>
          <w:szCs w:val="20"/>
          <w:lang w:val="en-US" w:eastAsia="ru-RU"/>
        </w:rPr>
        <w:t>Linagliptin</w:t>
      </w:r>
      <w:r w:rsidR="00C442E0" w:rsidRPr="00C442E0">
        <w:rPr>
          <w:sz w:val="20"/>
          <w:szCs w:val="20"/>
          <w:lang w:eastAsia="ru-RU"/>
        </w:rPr>
        <w:t xml:space="preserve"> 5 </w:t>
      </w:r>
      <w:r w:rsidR="00C442E0" w:rsidRPr="00C442E0">
        <w:rPr>
          <w:sz w:val="20"/>
          <w:szCs w:val="20"/>
          <w:lang w:val="en-US" w:eastAsia="ru-RU"/>
        </w:rPr>
        <w:t>mg</w:t>
      </w:r>
      <w:r w:rsidR="00C442E0" w:rsidRPr="00C442E0">
        <w:rPr>
          <w:sz w:val="20"/>
          <w:szCs w:val="20"/>
          <w:lang w:eastAsia="ru-RU"/>
        </w:rPr>
        <w:t xml:space="preserve"> + </w:t>
      </w:r>
      <w:r w:rsidR="00C442E0" w:rsidRPr="00C442E0">
        <w:rPr>
          <w:sz w:val="20"/>
          <w:szCs w:val="20"/>
          <w:lang w:val="en-US" w:eastAsia="ru-RU"/>
        </w:rPr>
        <w:t>pioglitazone</w:t>
      </w:r>
      <w:r w:rsidR="00C442E0" w:rsidRPr="00C442E0">
        <w:rPr>
          <w:sz w:val="20"/>
          <w:szCs w:val="20"/>
          <w:lang w:eastAsia="ru-RU"/>
        </w:rPr>
        <w:t xml:space="preserve"> 30 </w:t>
      </w:r>
      <w:r w:rsidR="00C442E0" w:rsidRPr="00C442E0">
        <w:rPr>
          <w:sz w:val="20"/>
          <w:szCs w:val="20"/>
          <w:lang w:val="en-US" w:eastAsia="ru-RU"/>
        </w:rPr>
        <w:t>mg</w:t>
      </w:r>
      <w:r w:rsidR="008B6B4C">
        <w:rPr>
          <w:sz w:val="20"/>
          <w:szCs w:val="20"/>
          <w:lang w:eastAsia="ru-RU"/>
        </w:rPr>
        <w:t xml:space="preserve"> – линаглиптин</w:t>
      </w:r>
      <w:r w:rsidR="00C442E0" w:rsidRPr="00C442E0">
        <w:rPr>
          <w:sz w:val="20"/>
          <w:szCs w:val="20"/>
          <w:lang w:eastAsia="ru-RU"/>
        </w:rPr>
        <w:t xml:space="preserve"> 5 мг + пиоглитазон 30 мг</w:t>
      </w:r>
    </w:p>
    <w:p w14:paraId="2DFF6395" w14:textId="2E106A6C" w:rsidR="00C442E0" w:rsidRPr="00C442E0" w:rsidRDefault="00DF2018" w:rsidP="00C442E0">
      <w:pPr>
        <w:rPr>
          <w:sz w:val="20"/>
          <w:szCs w:val="20"/>
          <w:lang w:eastAsia="ru-RU"/>
        </w:rPr>
      </w:pPr>
      <w:r w:rsidRPr="00C442E0">
        <w:rPr>
          <w:sz w:val="20"/>
          <w:szCs w:val="20"/>
          <w:lang w:val="en-US" w:eastAsia="ru-RU"/>
        </w:rPr>
        <w:t>Placebo</w:t>
      </w:r>
      <w:r w:rsidR="00C442E0" w:rsidRPr="00C442E0">
        <w:rPr>
          <w:sz w:val="20"/>
          <w:szCs w:val="20"/>
          <w:lang w:eastAsia="ru-RU"/>
        </w:rPr>
        <w:t xml:space="preserve"> + </w:t>
      </w:r>
      <w:r w:rsidR="00C442E0" w:rsidRPr="00C442E0">
        <w:rPr>
          <w:sz w:val="20"/>
          <w:szCs w:val="20"/>
          <w:lang w:val="en-US" w:eastAsia="ru-RU"/>
        </w:rPr>
        <w:t>pioglitazone</w:t>
      </w:r>
      <w:r w:rsidR="00C442E0" w:rsidRPr="00C442E0">
        <w:rPr>
          <w:sz w:val="20"/>
          <w:szCs w:val="20"/>
          <w:lang w:eastAsia="ru-RU"/>
        </w:rPr>
        <w:t xml:space="preserve"> 30 </w:t>
      </w:r>
      <w:r w:rsidR="00C442E0" w:rsidRPr="00C442E0">
        <w:rPr>
          <w:sz w:val="20"/>
          <w:szCs w:val="20"/>
          <w:lang w:val="en-US" w:eastAsia="ru-RU"/>
        </w:rPr>
        <w:t>mg</w:t>
      </w:r>
      <w:r w:rsidR="00C442E0" w:rsidRPr="00C442E0">
        <w:rPr>
          <w:sz w:val="20"/>
          <w:szCs w:val="20"/>
          <w:lang w:eastAsia="ru-RU"/>
        </w:rPr>
        <w:t xml:space="preserve"> –</w:t>
      </w:r>
      <w:r w:rsidR="008B6B4C">
        <w:rPr>
          <w:sz w:val="20"/>
          <w:szCs w:val="20"/>
          <w:lang w:eastAsia="ru-RU"/>
        </w:rPr>
        <w:t xml:space="preserve"> </w:t>
      </w:r>
      <w:r w:rsidR="00C442E0" w:rsidRPr="00C442E0">
        <w:rPr>
          <w:sz w:val="20"/>
          <w:szCs w:val="20"/>
          <w:lang w:eastAsia="ru-RU"/>
        </w:rPr>
        <w:t>плацебо + пиоглитазон 30 мг</w:t>
      </w:r>
    </w:p>
    <w:p w14:paraId="3CBAABB4" w14:textId="0C70D805" w:rsidR="00C442E0" w:rsidRPr="00C442E0" w:rsidRDefault="00DF2018" w:rsidP="00C442E0">
      <w:pPr>
        <w:rPr>
          <w:sz w:val="20"/>
          <w:szCs w:val="20"/>
          <w:lang w:eastAsia="ru-RU"/>
        </w:rPr>
      </w:pPr>
      <w:r w:rsidRPr="00C442E0">
        <w:rPr>
          <w:sz w:val="20"/>
          <w:szCs w:val="20"/>
          <w:lang w:val="en-US" w:eastAsia="ru-RU"/>
        </w:rPr>
        <w:t>Treatment</w:t>
      </w:r>
      <w:r w:rsidR="00C442E0" w:rsidRPr="00C442E0">
        <w:rPr>
          <w:sz w:val="20"/>
          <w:szCs w:val="20"/>
          <w:lang w:eastAsia="ru-RU"/>
        </w:rPr>
        <w:t xml:space="preserve"> </w:t>
      </w:r>
      <w:r w:rsidR="00C442E0" w:rsidRPr="00C442E0">
        <w:rPr>
          <w:sz w:val="20"/>
          <w:szCs w:val="20"/>
          <w:lang w:val="en-US" w:eastAsia="ru-RU"/>
        </w:rPr>
        <w:t>duration</w:t>
      </w:r>
      <w:r w:rsidR="00C442E0" w:rsidRPr="00C442E0">
        <w:rPr>
          <w:sz w:val="20"/>
          <w:szCs w:val="20"/>
          <w:lang w:eastAsia="ru-RU"/>
        </w:rPr>
        <w:t>- продолжительность лечения</w:t>
      </w:r>
      <w:r w:rsidR="008B6B4C">
        <w:rPr>
          <w:sz w:val="20"/>
          <w:szCs w:val="20"/>
          <w:lang w:eastAsia="ru-RU"/>
        </w:rPr>
        <w:t xml:space="preserve">, </w:t>
      </w:r>
      <w:r w:rsidR="00C442E0" w:rsidRPr="00C442E0">
        <w:rPr>
          <w:sz w:val="20"/>
          <w:szCs w:val="20"/>
          <w:lang w:val="en-US" w:eastAsia="ru-RU"/>
        </w:rPr>
        <w:t>baseline</w:t>
      </w:r>
      <w:r w:rsidR="00C442E0" w:rsidRPr="00C442E0">
        <w:rPr>
          <w:sz w:val="20"/>
          <w:szCs w:val="20"/>
          <w:lang w:eastAsia="ru-RU"/>
        </w:rPr>
        <w:t>-исходные значения</w:t>
      </w:r>
      <w:r w:rsidR="008B6B4C">
        <w:rPr>
          <w:sz w:val="20"/>
          <w:szCs w:val="20"/>
          <w:lang w:eastAsia="ru-RU"/>
        </w:rPr>
        <w:t xml:space="preserve">, </w:t>
      </w:r>
      <w:r w:rsidR="00C442E0" w:rsidRPr="00C442E0">
        <w:rPr>
          <w:sz w:val="20"/>
          <w:szCs w:val="20"/>
          <w:lang w:val="en-US" w:eastAsia="ru-RU"/>
        </w:rPr>
        <w:t>week</w:t>
      </w:r>
      <w:r w:rsidR="00C442E0" w:rsidRPr="00C442E0">
        <w:rPr>
          <w:sz w:val="20"/>
          <w:szCs w:val="20"/>
          <w:lang w:eastAsia="ru-RU"/>
        </w:rPr>
        <w:t>-неделя</w:t>
      </w:r>
      <w:r w:rsidR="008B6B4C">
        <w:rPr>
          <w:sz w:val="20"/>
          <w:szCs w:val="20"/>
          <w:lang w:eastAsia="ru-RU"/>
        </w:rPr>
        <w:t>.</w:t>
      </w:r>
    </w:p>
    <w:p w14:paraId="723C1ACE" w14:textId="77777777" w:rsidR="00C442E0" w:rsidRPr="00C442E0" w:rsidRDefault="00C442E0" w:rsidP="00C442E0">
      <w:pPr>
        <w:ind w:firstLine="709"/>
      </w:pPr>
      <w:bookmarkStart w:id="219" w:name="_Hlk121691266"/>
      <w:r w:rsidRPr="00C442E0">
        <w:lastRenderedPageBreak/>
        <w:t xml:space="preserve">Разница в среднем HbA1c в группе линаглиптина по сравнению с плацебо составила -0,51% (95% [ДИ] -0,71, -0,30; p &lt;0,0001). Снижение уровня </w:t>
      </w:r>
      <w:bookmarkStart w:id="220" w:name="_Hlk121079380"/>
      <w:r w:rsidRPr="00C442E0">
        <w:t xml:space="preserve">ГПН </w:t>
      </w:r>
      <w:bookmarkEnd w:id="220"/>
      <w:r w:rsidRPr="00C442E0">
        <w:t xml:space="preserve">было значительно более выраженным в группе линаглиптин и пиоглитазон, чем в группе плацебо и пиоглитазон; -1,8 и -1,0 ммоль/л соответственно (95% ДИ -1,2, -0,4; p &lt;0,0001). Пациенты, принимавшие линаглиптин и пиоглитазон, по сравнению с теми, кто получал плацебо и пиоглитазон, с большей вероятностью достигали уровня HbA1c &lt;7,0% (42,9 против 30,5% соответственно; p = 0,0051) и снижения HbA1c ≥0,5% (75,0 против 50,8. % соответственно, p &lt; 0,0001) </w:t>
      </w:r>
      <w:r w:rsidRPr="00C442E0">
        <w:fldChar w:fldCharType="begin"/>
      </w:r>
      <w:r w:rsidRPr="00C442E0">
        <w:instrText xml:space="preserve"> ADDIN ZOTERO_ITEM CSL_CITATION {"citationID":"fYmwJra9","properties":{"formattedCitation":"[17]","plainCitation":"[17]","noteIndex":0},"citationItems":[{"id":3065,"uris":["http://zotero.org/users/5483459/items/LDC4CPNG"],"itemData":{"id":3065,"type":"article-journal","abstract":"AIMS: To compare the efficacy, safety and tolerability of linagliptin or placebo administered for 24 weeks in combination with pioglitazone in patients with type 2 diabetes mellitus (T2DM) exhibiting insufficient glycaemic control (HbA1c 7.5-11.0%).\nMETHODS: Patients were randomized to receive the initial combination of 30 mg pioglitazone plus 5 mg linagliptin (n = 259) or pioglitazone plus placebo (n = 130), all once daily. The primary endpoint was change from baseline in HbA1c after 24 weeks of treatment, adjusted for baseline HbA1c and prior antidiabetes medication.\nRESULTS: After 24 weeks of treatment, the adjusted mean change (±s.e.) in HbA1c with the initial combination of linagliptin plus pioglitazone was -1.06% (±0.06), compared with -0.56% (±0.09) for placebo plus pioglitazone. The difference in adjusted mean HbA1c in the linagliptin group compared with placebo was -0.51% (95% confidence interval [CI] -0.71, -0.30; p &lt; 0.0001). Reductions in fasting plasma glucose (FPG) were significantly greater for linagliptin plus pioglitazone than with placebo plus pioglitazone; -1.8 and -1.0 mmol/l, respectively, equating to a treatment difference of -0.8 mmol/l (95% CI -1.2, -0.4; p &lt; 0.0001). Patients taking linagliptin plus pioglitazone, compared with those receiving placebo plus pioglitazone, were more likely to achieve HbA1c of &lt;7.0% (42.9 vs. 30.5%, respectively; p = 0.0051) and reduction in HbA1c of ≥0.5% (75.0 vs. 50.8%, respectively; p &lt; 0.0001). β-cell function, exemplified by the ratio of relative change in adjusted mean HOMA-IR and disposition index, improved. The proportion of patients that experienced at least one adverse event was similar for both groups. Hypoglycaemic episodes (all mild) occurred in 1.2% of the linagliptin plus pioglitazone patients and none in the placebo plus pioglitazone group.\nCONCLUSION: Initial combination therapy with linagliptin plus pioglitazone was well tolerated and produced significant and clinically meaningful improvements in glycaemic control. This combination may offer a valuable additive initial treatment option for T2DM, particularly where metformin either is not well tolerated or is contraindicated, such as in patients with renal impairment.","container-title":"Diabetes, Obesity &amp; Metabolism","DOI":"10.1111/j.1463-1326.2011.01391.x","ISSN":"1463-1326","issue":"7","journalAbbreviation":"Diabetes Obes Metab","language":"eng","note":"PMID: 21410628","page":"653-661","source":"PubMed","title":"Efficacy and safety of initial combination therapy with linagliptin and pioglitazone in patients with inadequately controlled type 2 diabetes: a randomized, double-blind, placebo-controlled study","title-short":"Efficacy and safety of initial combination therapy with linagliptin and pioglitazone in patients with inadequately controlled type 2 diabetes","volume":"13","author":[{"family":"Gomis","given":"R."},{"family":"Espadero","given":"R.-M."},{"family":"Jones","given":"R."},{"family":"Woerle","given":"H. J."},{"family":"Dugi","given":"K. A."}],"issued":{"date-parts":[["2011",7]]}}}],"schema":"https://github.com/citation-style-language/schema/raw/master/csl-citation.json"} </w:instrText>
      </w:r>
      <w:r w:rsidRPr="00C442E0">
        <w:fldChar w:fldCharType="separate"/>
      </w:r>
      <w:r w:rsidRPr="00C442E0">
        <w:t>[17]</w:t>
      </w:r>
      <w:r w:rsidRPr="00C442E0">
        <w:fldChar w:fldCharType="end"/>
      </w:r>
      <w:r w:rsidRPr="00C442E0">
        <w:t>.</w:t>
      </w:r>
    </w:p>
    <w:p w14:paraId="06DD4FC5" w14:textId="77777777" w:rsidR="00C442E0" w:rsidRPr="00C442E0" w:rsidRDefault="00C442E0" w:rsidP="0049695C">
      <w:pPr>
        <w:keepNext/>
        <w:spacing w:before="240" w:after="240"/>
        <w:outlineLvl w:val="3"/>
        <w:rPr>
          <w:b/>
          <w:i/>
          <w:iCs/>
          <w:color w:val="000000" w:themeColor="text1"/>
        </w:rPr>
      </w:pPr>
      <w:bookmarkStart w:id="221" w:name="_Toc126492024"/>
      <w:bookmarkStart w:id="222" w:name="_Toc139362004"/>
      <w:bookmarkEnd w:id="219"/>
      <w:r w:rsidRPr="00C442E0">
        <w:rPr>
          <w:b/>
          <w:color w:val="000000" w:themeColor="text1"/>
        </w:rPr>
        <w:t xml:space="preserve">4.3.1.2.2. </w:t>
      </w:r>
      <w:bookmarkStart w:id="223" w:name="_Hlk121691330"/>
      <w:r w:rsidRPr="00C442E0">
        <w:rPr>
          <w:b/>
          <w:iCs/>
          <w:color w:val="000000" w:themeColor="text1"/>
        </w:rPr>
        <w:t xml:space="preserve">Комбинация с </w:t>
      </w:r>
      <w:bookmarkStart w:id="224" w:name="_Hlk121102212"/>
      <w:r w:rsidRPr="00C442E0">
        <w:rPr>
          <w:b/>
          <w:iCs/>
          <w:color w:val="000000" w:themeColor="text1"/>
        </w:rPr>
        <w:t>метформином</w:t>
      </w:r>
      <w:bookmarkEnd w:id="221"/>
      <w:bookmarkEnd w:id="222"/>
      <w:r w:rsidRPr="00C442E0">
        <w:rPr>
          <w:b/>
          <w:i/>
          <w:iCs/>
          <w:color w:val="000000" w:themeColor="text1"/>
        </w:rPr>
        <w:t xml:space="preserve"> </w:t>
      </w:r>
      <w:bookmarkEnd w:id="224"/>
    </w:p>
    <w:p w14:paraId="7349E0A6" w14:textId="30384042" w:rsidR="00C442E0" w:rsidRPr="00C442E0" w:rsidRDefault="001E4BE5" w:rsidP="00C1461C">
      <w:pPr>
        <w:ind w:firstLine="709"/>
      </w:pPr>
      <w:bookmarkStart w:id="225" w:name="_Hlk121102240"/>
      <w:r>
        <w:t>П</w:t>
      </w:r>
      <w:r w:rsidR="00C442E0" w:rsidRPr="00C442E0">
        <w:t xml:space="preserve">роведено международное рандомизированное двойное слепое плацебо-контролируемое исследование в параллельных группах, состоящее из открытого 2-недельного вводного курса плацебо, затем 24-недельного периода двойного слепого лечения и 1-недельного последующего наблюдения после прекращения приема исследуемого препарата. </w:t>
      </w:r>
    </w:p>
    <w:bookmarkEnd w:id="223"/>
    <w:p w14:paraId="743C4753" w14:textId="77777777" w:rsidR="00C442E0" w:rsidRPr="00C442E0" w:rsidRDefault="00C442E0" w:rsidP="00C1461C">
      <w:pPr>
        <w:ind w:firstLine="709"/>
      </w:pPr>
      <w:r w:rsidRPr="00C442E0">
        <w:t xml:space="preserve">Популяция исследования – пациенты с СД2, предварительно получавшие либо метформин отдельно, либо метформин в комбинации с одним ПССП (кроме пиоглитазона, розиглитазона, инсулина) не менее 10 недель. Для включения в исследование пациенты должны были принимать дозу </w:t>
      </w:r>
      <w:r w:rsidRPr="00C442E0">
        <w:rPr>
          <w:color w:val="000000" w:themeColor="text1"/>
        </w:rPr>
        <w:t>метформина ≥1500 мг/сутки</w:t>
      </w:r>
      <w:r w:rsidRPr="00C442E0">
        <w:t xml:space="preserve">. HbA1c при скрининге составлял от 7,0% до 10,0% у пациентов, предварительно получавших только метформин и от 6,5% до 9,0% у пациентов, предварительно получавших метформин в комбинации с одним другим ПССП. HbA1c в начале вводного периода составлял от 7,0% до 10,0%. </w:t>
      </w:r>
    </w:p>
    <w:p w14:paraId="47892148" w14:textId="77777777" w:rsidR="00C442E0" w:rsidRPr="00C442E0" w:rsidRDefault="00C442E0" w:rsidP="00C1461C">
      <w:pPr>
        <w:ind w:firstLine="709"/>
      </w:pPr>
      <w:r w:rsidRPr="00C442E0">
        <w:t>Цель исследования – оценить эффективность и безопасность линаглиптина, вводимого в качестве дополнительной терапии с метформином у больных СД 2 с неадекватным гликемическим контролем. Первичная конечная точка эффективности была изменение HbA1c по сравнению с исходным уровнем на 24-й неделе.</w:t>
      </w:r>
    </w:p>
    <w:p w14:paraId="72CE90CF" w14:textId="0E8C3BC2" w:rsidR="00C442E0" w:rsidRPr="00C442E0" w:rsidRDefault="00C1461C" w:rsidP="00C1461C">
      <w:pPr>
        <w:ind w:firstLine="709"/>
      </w:pPr>
      <w:bookmarkStart w:id="226" w:name="_Hlk121691406"/>
      <w:bookmarkEnd w:id="225"/>
      <w:r>
        <w:t>В</w:t>
      </w:r>
      <w:r w:rsidR="00C442E0" w:rsidRPr="00C442E0">
        <w:t xml:space="preserve"> группе линаглиптина отмечалось значительное снижение по сравнению с исходным уровнем HbA1c в сравнении с группой плацебо (-0,49 против 0,15%), ГПН (-0,59 против 0,58 ммоль/л) и уровня глюкозы в крови через 2 часа после приема пищи (-2,7 против 0,7 ммоль/л), р </w:t>
      </w:r>
      <w:r w:rsidR="00DF2018" w:rsidRPr="00C442E0">
        <w:t>&lt;0</w:t>
      </w:r>
      <w:r w:rsidR="00C442E0" w:rsidRPr="00C442E0">
        <w:t xml:space="preserve">,0001. Включение линаглиптина с схему лечения в дозе 5 мг 1 раз в сутки пациентам с СД 2, получающим метформин, приводило к значительному и клинически значимому улучшение гликемического контроля без увеличения веса или повышенного риска гипогликемии </w:t>
      </w:r>
      <w:r w:rsidR="00C442E0" w:rsidRPr="00C442E0">
        <w:fldChar w:fldCharType="begin"/>
      </w:r>
      <w:r w:rsidR="00C442E0" w:rsidRPr="00C442E0">
        <w:instrText xml:space="preserve"> ADDIN ZOTERO_ITEM CSL_CITATION {"citationID":"UqeNO14o","properties":{"formattedCitation":"[18]","plainCitation":"[18]","noteIndex":0},"citationItems":[{"id":3069,"uris":["http://zotero.org/users/5483459/items/FDFZTR65"],"itemData":{"id":3069,"type":"article-journal","abstract":"AIM: To evaluate the efficacy and safety of the potent and selective dipeptidyl peptidase-4 (DPP-4) inhibitor linagliptin administered as add-on therapy to metformin in patients with type 2 diabetes with inadequate glycaemic control.\nMETHODS: This 24-week, randomized, placebo-controlled, double-blind, parallel-group study was carried out in 82 centres in 10 countries. Patients with HbA1c levels of 7.0-10.0% on metformin and a maximum of one additional antidiabetes medication, which was discontinued at screening, continued on metformin ≥1500 mg/day for 6 weeks, including a placebo run-in period of 2 weeks, before being randomized to linagliptin 5 mg once daily (n = 524) or placebo (n = 177) add-on. The primary outcome was the change from baseline in HbA1c after 24 weeks of treatment, evaluated with an analysis of covariance (ANCOVA).\nRESULTS: Mean baseline HbA1c and fasting plasma glucose (FPG) were 8.1% and 9.4 mmol/l, respectively. Linagliptin showed significant reductions vs. placebo in adjusted mean changes from baseline of HbA1c (-0.49 vs. 0.15%), FPG (-0.59 vs. 0.58 mmol/l) and 2hPPG (-2.7 vs. 1.0 mmol/l); all p &lt; 0.0001. Hypoglycaemia was rare, occurring in three patients (0.6%) treated with linagliptin and five patients (2.8%) in the placebo group. Body weight did not change significantly from baseline in both groups (-0.5 kg placebo, -0.4 kg linagliptin).\nCONCLUSIONS: The addition of linagliptin 5 mg once daily in patients with type 2 diabetes inadequately controlled on metformin resulted in a significant and clinically meaningful improvement in glycaemic control without weight gain or increased risk of hypoglycaemia.","container-title":"Diabetes, Obesity &amp; Metabolism","DOI":"10.1111/j.1463-1326.2010.01326.x","ISSN":"1463-1326","issue":"1","journalAbbreviation":"Diabetes Obes Metab","language":"eng","note":"PMID: 21114605","page":"65-74","source":"PubMed","title":"Safety and efficacy of linagliptin as add-on therapy to metformin in patients with type 2 diabetes: a randomized, double-blind, placebo-controlled study","title-short":"Safety and efficacy of linagliptin as add-on therapy to metformin in patients with type 2 diabetes","volume":"13","author":[{"family":"Taskinen","given":"M.-R."},{"family":"Rosenstock","given":"J."},{"family":"Tamminen","given":"I."},{"family":"Kubiak","given":"R."},{"family":"Patel","given":"S."},{"family":"Dugi","given":"K. A."},{"family":"Woerle","given":"H.-J."}],"issued":{"date-parts":[["2011",1]]}}}],"schema":"https://github.com/citation-style-language/schema/raw/master/csl-citation.json"} </w:instrText>
      </w:r>
      <w:r w:rsidR="00C442E0" w:rsidRPr="00C442E0">
        <w:fldChar w:fldCharType="separate"/>
      </w:r>
      <w:r w:rsidR="00C442E0" w:rsidRPr="00C442E0">
        <w:t>[18]</w:t>
      </w:r>
      <w:r w:rsidR="00C442E0" w:rsidRPr="00C442E0">
        <w:fldChar w:fldCharType="end"/>
      </w:r>
      <w:r w:rsidR="00C442E0" w:rsidRPr="00C442E0">
        <w:t>.</w:t>
      </w:r>
    </w:p>
    <w:p w14:paraId="7996443D" w14:textId="77777777" w:rsidR="00C442E0" w:rsidRPr="00C442E0" w:rsidRDefault="00C442E0" w:rsidP="0049695C">
      <w:pPr>
        <w:keepNext/>
        <w:spacing w:before="240" w:after="240"/>
        <w:outlineLvl w:val="3"/>
        <w:rPr>
          <w:b/>
          <w:iCs/>
          <w:color w:val="000000" w:themeColor="text1"/>
        </w:rPr>
      </w:pPr>
      <w:bookmarkStart w:id="227" w:name="_Toc126492025"/>
      <w:bookmarkStart w:id="228" w:name="_Toc139362005"/>
      <w:bookmarkEnd w:id="226"/>
      <w:r w:rsidRPr="00C442E0">
        <w:rPr>
          <w:b/>
          <w:iCs/>
          <w:color w:val="000000" w:themeColor="text1"/>
        </w:rPr>
        <w:t xml:space="preserve">4.3.1.2.3. Комбинация с </w:t>
      </w:r>
      <w:bookmarkStart w:id="229" w:name="_Hlk121102352"/>
      <w:r w:rsidRPr="00C442E0">
        <w:rPr>
          <w:b/>
          <w:iCs/>
          <w:color w:val="000000" w:themeColor="text1"/>
        </w:rPr>
        <w:t>метформином и сульфонилмочевиной</w:t>
      </w:r>
      <w:bookmarkEnd w:id="227"/>
      <w:bookmarkEnd w:id="228"/>
    </w:p>
    <w:p w14:paraId="14C4DFDC" w14:textId="65EB805D" w:rsidR="00C442E0" w:rsidRPr="00C442E0" w:rsidRDefault="001E6DA4" w:rsidP="001E6DA4">
      <w:pPr>
        <w:ind w:firstLine="709"/>
      </w:pPr>
      <w:bookmarkStart w:id="230" w:name="_Hlk121691432"/>
      <w:r>
        <w:t>П</w:t>
      </w:r>
      <w:r w:rsidR="00C442E0" w:rsidRPr="00C442E0">
        <w:t>роведено многоцентровое 24-недельное рандомизированное двойное слепое исследование в параллельных группах с участием 1058 пациентов, в котором сравнивалось лечение линаглиптином (5 мг один раз в сутки) и плацебо при добавлении к комбинации метформин и сульфонилмочевина (</w:t>
      </w:r>
      <w:r w:rsidR="00C442E0" w:rsidRPr="00C442E0">
        <w:rPr>
          <w:lang w:val="en-US"/>
        </w:rPr>
        <w:t>ClinicalTrials</w:t>
      </w:r>
      <w:r w:rsidR="00C442E0" w:rsidRPr="00C442E0">
        <w:t>.</w:t>
      </w:r>
      <w:r w:rsidR="00C442E0" w:rsidRPr="00C442E0">
        <w:rPr>
          <w:lang w:val="en-US"/>
        </w:rPr>
        <w:t>gov</w:t>
      </w:r>
      <w:r w:rsidR="00C442E0" w:rsidRPr="00C442E0">
        <w:t xml:space="preserve"> </w:t>
      </w:r>
      <w:r w:rsidR="00C442E0" w:rsidRPr="00C442E0">
        <w:rPr>
          <w:lang w:val="en-US"/>
        </w:rPr>
        <w:t>Identifier</w:t>
      </w:r>
      <w:r w:rsidR="00C442E0" w:rsidRPr="00C442E0">
        <w:t xml:space="preserve">: </w:t>
      </w:r>
      <w:r w:rsidR="00C442E0" w:rsidRPr="00C442E0">
        <w:rPr>
          <w:lang w:val="en-US"/>
        </w:rPr>
        <w:t>NCT</w:t>
      </w:r>
      <w:r w:rsidR="00C442E0" w:rsidRPr="00C442E0">
        <w:t>00602472).</w:t>
      </w:r>
    </w:p>
    <w:bookmarkEnd w:id="230"/>
    <w:p w14:paraId="5FCCAC99" w14:textId="77777777" w:rsidR="00C442E0" w:rsidRPr="00C442E0" w:rsidRDefault="00C442E0" w:rsidP="001E6DA4">
      <w:pPr>
        <w:ind w:firstLine="709"/>
      </w:pPr>
      <w:r w:rsidRPr="00C442E0">
        <w:t>Цель исследования – изучить эффективность и безопасность линаглиптина у лиц с недостаточно контролируемым сахарным диабетом 2 типа при комбинированном лечении метформином и сульфонилмочевиной.</w:t>
      </w:r>
    </w:p>
    <w:p w14:paraId="4A0653D4" w14:textId="5FA6D023" w:rsidR="00C442E0" w:rsidRPr="00C442E0" w:rsidRDefault="00C442E0" w:rsidP="001E6DA4">
      <w:pPr>
        <w:ind w:firstLine="709"/>
      </w:pPr>
      <w:r w:rsidRPr="00C442E0">
        <w:t>Популяция– 1058 пациентов с СД2, которые лечились только стабильной общей суточной дозой 1500 мг метформина и дозой препарата сульфонилмочевины, которая была индивидуальной максимально переносимой дозой сульфонилмочевины. Как доза, так и режим дозирования метформина и сульфонилмочевины должны были быть стабильными в течение 10 недель до включения в исследование. Первичной конечной точкой было изменение уровня HbA (1c) через 24 недели.</w:t>
      </w:r>
    </w:p>
    <w:p w14:paraId="6FCADB95" w14:textId="0AE41991" w:rsidR="00C442E0" w:rsidRPr="00C442E0" w:rsidRDefault="0017536E" w:rsidP="001E6DA4">
      <w:pPr>
        <w:ind w:firstLine="709"/>
      </w:pPr>
      <w:bookmarkStart w:id="231" w:name="_Hlk121691451"/>
      <w:r>
        <w:lastRenderedPageBreak/>
        <w:t>Установлено</w:t>
      </w:r>
      <w:r w:rsidR="00C442E0" w:rsidRPr="00C442E0">
        <w:t xml:space="preserve">, что на 24-й неделе среднее изменение HbA(1c) по сравнению с исходным уровнем составило -7 ммоль/моль (-0,62%) [95% ДИ от -8 до -6 ммоль/моль (от -0,73 до -0,50%) р &lt;0,0001]. Больше участников с исходным уровнем HbA(1c) ≥ 53 ммоль/моль (≥ 7,0%) достигли уровня HbA(1c) &lt;53 ммоль/моль (&lt;7,0%) при применении линаглиптина по сравнению с плацебо (29,2% против 8,1%, </w:t>
      </w:r>
      <w:r w:rsidR="00DF2018">
        <w:rPr>
          <w:lang w:val="en-US"/>
        </w:rPr>
        <w:t>p</w:t>
      </w:r>
      <w:r w:rsidR="00DF2018" w:rsidRPr="00C442E0">
        <w:t xml:space="preserve"> &lt;</w:t>
      </w:r>
      <w:r w:rsidR="00C442E0" w:rsidRPr="00C442E0">
        <w:t xml:space="preserve">0,0001) (Рисунок 4-3). ГПН также снижалась при приеме линаглиптина по сравнению с плацебо (-0,7 ммоль/л, 95% ДИ от -1,0 до -0,4; </w:t>
      </w:r>
      <w:r w:rsidR="008973B3">
        <w:rPr>
          <w:lang w:val="en-US"/>
        </w:rPr>
        <w:t>p</w:t>
      </w:r>
      <w:r w:rsidR="00C442E0" w:rsidRPr="00C442E0">
        <w:t xml:space="preserve"> &lt;0,0001). У пациентов с СД2 включение линаглиптина с метформином, назначаемому в комбинации с сульфонилмочевиной, значительно улучшало гликемический контроль. Линаглиптин может быть возможным вариантом лечения для лиц с неадекватным гликемическим контролем при применении комбинированной терапии метформином и производным сульфонилмочевины </w:t>
      </w:r>
      <w:bookmarkEnd w:id="231"/>
      <w:r w:rsidR="00C442E0" w:rsidRPr="00C442E0">
        <w:fldChar w:fldCharType="begin"/>
      </w:r>
      <w:r w:rsidR="00C442E0" w:rsidRPr="00C442E0">
        <w:instrText xml:space="preserve"> ADDIN ZOTERO_ITEM CSL_CITATION {"citationID":"eDaHn5FE","properties":{"formattedCitation":"[19]","plainCitation":"[19]","noteIndex":0},"citationItems":[{"id":3071,"uris":["http://zotero.org/users/5483459/items/4WM3629W"],"itemData":{"id":3071,"type":"article-journal","abstract":"AIMS: To examine the efficacy and safety of the dipeptidyl peptidase-4 inhibitor linagliptin in persons with Type 2 diabetes mellitus inadequately controlled [HbA(1c) 53-86 mmol/mol (7.0-10.0%)] by metformin and sulphonylurea combination treatment.\nMETHODS: A multi-centre, 24-week, randomized, double-blind, parallel-group study in 1058 patients comparing linagliptin (5 mg once daily) and placebo when added to metformin plus sulphonylurea. The primary endpoint was the change in HbA(1c) after 24 weeks.\nRESULTS: At week 24, the linagliptin placebo-corrected HbA(1c) adjusted mean change from baseline was -7 mmol/mol (-0.62%) [95% CI -8 to -6 mmol/mol (-0.73 to -0.50%); P &lt; 0.0001]. More participants with baseline HbA(1c) ≥ 53 mmol/mol (≥ 7.0%) achieved an HbA(1c) &lt; 53 mmol/mol (&lt;7.0%) with linagliptin compared with placebo (29.2% vs. 8.1%, P&lt; 0.0001). Fasting plasma glucose was reduced with linagliptin relative to placebo (-0.7 mmol/l, 95% CI -1.0 to -0.4; P&lt;0.0001). Improvements in homeostasis model assessment of β-cell function were seen with linagliptin (P&lt;0.001). The proportion of patients who reported a severe adverse event was low in both groups (linagliptin 2.4%; placebo 1.5%). Symptomatic hypoglycaemia occurred in 16.7 and 10.3% of the linagliptin and placebo groups, respectively. Hypoglycaemia was generally mild or moderate; severe hypoglycaemia was reported in 2.7 and 4.8% of the participants experiencing hypoglycaemic episodes in the linagliptin and placebo groups, respectively. No significant weight changes were noted.\nCONCLUSIONS: In patients with Type 2 diabetes, adding linagliptin to metformin given in combination with a sulphonylurea significantly improved glycaemic control and this was well tolerated. Linagliptin could provide a valuable treatment option for individuals with inadequate glycaemic control despite ongoing combination therapy with metformin and a sulphonylurea.","container-title":"Diabetic Medicine: A Journal of the British Diabetic Association","DOI":"10.1111/j.1464-5491.2011.03387.x","ISSN":"1464-5491","issue":"11","journalAbbreviation":"Diabet Med","language":"eng","note":"PMID: 21781152","page":"1352-1361","source":"PubMed","title":"Efficacy and safety of linagliptin in persons with type 2 diabetes inadequately controlled by a combination of metformin and sulphonylurea: a 24-week randomized study","title-short":"Efficacy and safety of linagliptin in persons with type 2 diabetes inadequately controlled by a combination of metformin and sulphonylurea","volume":"28","author":[{"family":"Owens","given":"D. R."},{"family":"Swallow","given":"R."},{"family":"Dugi","given":"K. A."},{"family":"Woerle","given":"H. J."}],"issued":{"date-parts":[["2011",11]]}}}],"schema":"https://github.com/citation-style-language/schema/raw/master/csl-citation.json"} </w:instrText>
      </w:r>
      <w:r w:rsidR="00C442E0" w:rsidRPr="00C442E0">
        <w:fldChar w:fldCharType="separate"/>
      </w:r>
      <w:r w:rsidR="00C442E0" w:rsidRPr="00C442E0">
        <w:t>[19]</w:t>
      </w:r>
      <w:r w:rsidR="00C442E0" w:rsidRPr="00C442E0">
        <w:fldChar w:fldCharType="end"/>
      </w:r>
      <w:r w:rsidR="00C442E0" w:rsidRPr="00C442E0">
        <w:t>.</w:t>
      </w:r>
    </w:p>
    <w:p w14:paraId="5456CEBA" w14:textId="77777777" w:rsidR="00C442E0" w:rsidRPr="00C442E0" w:rsidRDefault="00C442E0" w:rsidP="00C442E0">
      <w:pPr>
        <w:ind w:firstLine="709"/>
      </w:pPr>
    </w:p>
    <w:bookmarkEnd w:id="229"/>
    <w:p w14:paraId="03AA0BAF" w14:textId="6D4D97F7" w:rsidR="00C442E0" w:rsidRPr="00C442E0" w:rsidRDefault="00865DA0" w:rsidP="008973B3">
      <w:r>
        <w:rPr>
          <w:b/>
          <w:bCs/>
        </w:rPr>
        <w:t>Рисунок 4-3.</w:t>
      </w:r>
      <w:r w:rsidR="00C442E0" w:rsidRPr="00C442E0">
        <w:t xml:space="preserve"> Среднее изменение HbA1c по сравнению с исходным уровнем при лечении линаглиптином 5 мг (n = 778) или плацебо (n = 262) в течение 24 недель в качестве дополнительной терапии к метформину и сульфонилмочевине </w:t>
      </w:r>
      <w:r w:rsidR="00C442E0" w:rsidRPr="00C442E0">
        <w:fldChar w:fldCharType="begin"/>
      </w:r>
      <w:r w:rsidR="00C442E0" w:rsidRPr="00C442E0">
        <w:instrText xml:space="preserve"> ADDIN ZOTERO_ITEM CSL_CITATION {"citationID":"6MjGX5Ge","properties":{"formattedCitation":"[19]","plainCitation":"[19]","noteIndex":0},"citationItems":[{"id":3071,"uris":["http://zotero.org/users/5483459/items/4WM3629W"],"itemData":{"id":3071,"type":"article-journal","abstract":"AIMS: To examine the efficacy and safety of the dipeptidyl peptidase-4 inhibitor linagliptin in persons with Type 2 diabetes mellitus inadequately controlled [HbA(1c) 53-86 mmol/mol (7.0-10.0%)] by metformin and sulphonylurea combination treatment.\nMETHODS: A multi-centre, 24-week, randomized, double-blind, parallel-group study in 1058 patients comparing linagliptin (5 mg once daily) and placebo when added to metformin plus sulphonylurea. The primary endpoint was the change in HbA(1c) after 24 weeks.\nRESULTS: At week 24, the linagliptin placebo-corrected HbA(1c) adjusted mean change from baseline was -7 mmol/mol (-0.62%) [95% CI -8 to -6 mmol/mol (-0.73 to -0.50%); P &lt; 0.0001]. More participants with baseline HbA(1c) ≥ 53 mmol/mol (≥ 7.0%) achieved an HbA(1c) &lt; 53 mmol/mol (&lt;7.0%) with linagliptin compared with placebo (29.2% vs. 8.1%, P&lt; 0.0001). Fasting plasma glucose was reduced with linagliptin relative to placebo (-0.7 mmol/l, 95% CI -1.0 to -0.4; P&lt;0.0001). Improvements in homeostasis model assessment of β-cell function were seen with linagliptin (P&lt;0.001). The proportion of patients who reported a severe adverse event was low in both groups (linagliptin 2.4%; placebo 1.5%). Symptomatic hypoglycaemia occurred in 16.7 and 10.3% of the linagliptin and placebo groups, respectively. Hypoglycaemia was generally mild or moderate; severe hypoglycaemia was reported in 2.7 and 4.8% of the participants experiencing hypoglycaemic episodes in the linagliptin and placebo groups, respectively. No significant weight changes were noted.\nCONCLUSIONS: In patients with Type 2 diabetes, adding linagliptin to metformin given in combination with a sulphonylurea significantly improved glycaemic control and this was well tolerated. Linagliptin could provide a valuable treatment option for individuals with inadequate glycaemic control despite ongoing combination therapy with metformin and a sulphonylurea.","container-title":"Diabetic Medicine: A Journal of the British Diabetic Association","DOI":"10.1111/j.1464-5491.2011.03387.x","ISSN":"1464-5491","issue":"11","journalAbbreviation":"Diabet Med","language":"eng","note":"PMID: 21781152","page":"1352-1361","source":"PubMed","title":"Efficacy and safety of linagliptin in persons with type 2 diabetes inadequately controlled by a combination of metformin and sulphonylurea: a 24-week randomized study","title-short":"Efficacy and safety of linagliptin in persons with type 2 diabetes inadequately controlled by a combination of metformin and sulphonylurea","volume":"28","author":[{"family":"Owens","given":"D. R."},{"family":"Swallow","given":"R."},{"family":"Dugi","given":"K. A."},{"family":"Woerle","given":"H. J."}],"issued":{"date-parts":[["2011",11]]}}}],"schema":"https://github.com/citation-style-language/schema/raw/master/csl-citation.json"} </w:instrText>
      </w:r>
      <w:r w:rsidR="00C442E0" w:rsidRPr="00C442E0">
        <w:fldChar w:fldCharType="separate"/>
      </w:r>
      <w:r w:rsidR="00C442E0" w:rsidRPr="00C442E0">
        <w:t>[19]</w:t>
      </w:r>
      <w:r w:rsidR="00C442E0" w:rsidRPr="00C442E0">
        <w:fldChar w:fldCharType="end"/>
      </w:r>
      <w:r w:rsidR="00C442E0" w:rsidRPr="00C442E0">
        <w:t xml:space="preserve">. </w:t>
      </w:r>
    </w:p>
    <w:p w14:paraId="5F13BF9E" w14:textId="1B7AD5CA" w:rsidR="00C442E0" w:rsidRPr="00C442E0" w:rsidRDefault="00C442E0" w:rsidP="008973B3">
      <w:pPr>
        <w:jc w:val="center"/>
      </w:pPr>
      <w:r w:rsidRPr="00C442E0">
        <w:rPr>
          <w:noProof/>
          <w:lang w:eastAsia="ru-RU"/>
        </w:rPr>
        <w:drawing>
          <wp:inline distT="0" distB="0" distL="0" distR="0" wp14:anchorId="686B370D" wp14:editId="23A22890">
            <wp:extent cx="5072634" cy="2522076"/>
            <wp:effectExtent l="19050" t="19050" r="13970" b="1206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20">
                      <a:clrChange>
                        <a:clrFrom>
                          <a:srgbClr val="DEEFF1"/>
                        </a:clrFrom>
                        <a:clrTo>
                          <a:srgbClr val="DEEFF1">
                            <a:alpha val="0"/>
                          </a:srgbClr>
                        </a:clrTo>
                      </a:clrChange>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072380" cy="2521585"/>
                    </a:xfrm>
                    <a:prstGeom prst="rect">
                      <a:avLst/>
                    </a:prstGeom>
                    <a:noFill/>
                    <a:ln>
                      <a:solidFill>
                        <a:sysClr val="windowText" lastClr="000000"/>
                      </a:solidFill>
                    </a:ln>
                  </pic:spPr>
                </pic:pic>
              </a:graphicData>
            </a:graphic>
          </wp:inline>
        </w:drawing>
      </w:r>
    </w:p>
    <w:p w14:paraId="0D4653E2" w14:textId="77777777" w:rsidR="008973B3" w:rsidRPr="008973B3" w:rsidRDefault="008973B3" w:rsidP="00C442E0">
      <w:pPr>
        <w:rPr>
          <w:b/>
          <w:sz w:val="20"/>
          <w:lang w:eastAsia="ru-RU"/>
        </w:rPr>
      </w:pPr>
      <w:r w:rsidRPr="008973B3">
        <w:rPr>
          <w:b/>
          <w:sz w:val="20"/>
          <w:lang w:eastAsia="ru-RU"/>
        </w:rPr>
        <w:t>Примечание:</w:t>
      </w:r>
    </w:p>
    <w:p w14:paraId="13AAF76E" w14:textId="0D583DC5" w:rsidR="00C442E0" w:rsidRPr="00C442E0" w:rsidRDefault="00C442E0" w:rsidP="008973B3">
      <w:pPr>
        <w:rPr>
          <w:sz w:val="20"/>
          <w:lang w:eastAsia="ru-RU"/>
        </w:rPr>
      </w:pPr>
      <w:r w:rsidRPr="00C442E0">
        <w:rPr>
          <w:sz w:val="20"/>
          <w:lang w:eastAsia="ru-RU"/>
        </w:rPr>
        <w:t xml:space="preserve">Отличия изменений по сравнению с исходным уровнем </w:t>
      </w:r>
      <w:r w:rsidRPr="00C442E0">
        <w:rPr>
          <w:sz w:val="20"/>
          <w:lang w:val="en-US" w:eastAsia="ru-RU"/>
        </w:rPr>
        <w:t>HbA</w:t>
      </w:r>
      <w:r w:rsidRPr="00C442E0">
        <w:rPr>
          <w:sz w:val="20"/>
          <w:lang w:eastAsia="ru-RU"/>
        </w:rPr>
        <w:t>1</w:t>
      </w:r>
      <w:r w:rsidRPr="00C442E0">
        <w:rPr>
          <w:sz w:val="20"/>
          <w:lang w:val="en-US" w:eastAsia="ru-RU"/>
        </w:rPr>
        <w:t>c</w:t>
      </w:r>
      <w:r w:rsidRPr="00C442E0">
        <w:rPr>
          <w:sz w:val="20"/>
          <w:lang w:eastAsia="ru-RU"/>
        </w:rPr>
        <w:t xml:space="preserve"> между плацебо и линаглиптином были статистически значимы в каждый момент времени с начала лечения (</w:t>
      </w:r>
      <w:r w:rsidRPr="00C442E0">
        <w:rPr>
          <w:sz w:val="20"/>
          <w:lang w:val="en-US" w:eastAsia="ru-RU"/>
        </w:rPr>
        <w:t>p</w:t>
      </w:r>
      <w:r w:rsidRPr="00C442E0">
        <w:rPr>
          <w:sz w:val="20"/>
          <w:lang w:eastAsia="ru-RU"/>
        </w:rPr>
        <w:t xml:space="preserve"> &lt;0,0001)</w:t>
      </w:r>
    </w:p>
    <w:p w14:paraId="20E2E113" w14:textId="14E43E33" w:rsidR="00C442E0" w:rsidRPr="00C442E0" w:rsidRDefault="00C442E0" w:rsidP="008973B3">
      <w:pPr>
        <w:ind w:left="284"/>
        <w:rPr>
          <w:sz w:val="20"/>
          <w:lang w:eastAsia="ru-RU"/>
        </w:rPr>
      </w:pPr>
      <w:r w:rsidRPr="00C442E0">
        <w:rPr>
          <w:lang w:eastAsia="ru-RU"/>
        </w:rPr>
        <w:t>●</w:t>
      </w:r>
      <w:r w:rsidRPr="00C442E0">
        <w:rPr>
          <w:sz w:val="20"/>
          <w:lang w:eastAsia="ru-RU"/>
        </w:rPr>
        <w:t xml:space="preserve"> – группа линаглиптин</w:t>
      </w:r>
      <w:r w:rsidR="008973B3">
        <w:rPr>
          <w:sz w:val="20"/>
          <w:lang w:eastAsia="ru-RU"/>
        </w:rPr>
        <w:t>а</w:t>
      </w:r>
      <w:r w:rsidRPr="00C442E0">
        <w:rPr>
          <w:sz w:val="20"/>
          <w:lang w:eastAsia="ru-RU"/>
        </w:rPr>
        <w:t xml:space="preserve"> 5 мг</w:t>
      </w:r>
    </w:p>
    <w:p w14:paraId="3AE14C87" w14:textId="292BD8C8" w:rsidR="00C442E0" w:rsidRPr="00C442E0" w:rsidRDefault="00C442E0" w:rsidP="008973B3">
      <w:pPr>
        <w:ind w:left="284"/>
        <w:rPr>
          <w:sz w:val="20"/>
          <w:lang w:eastAsia="ru-RU"/>
        </w:rPr>
      </w:pPr>
      <w:r w:rsidRPr="00C442E0">
        <w:rPr>
          <w:lang w:eastAsia="ru-RU"/>
        </w:rPr>
        <w:t>□</w:t>
      </w:r>
      <w:r w:rsidR="008973B3">
        <w:rPr>
          <w:lang w:eastAsia="ru-RU"/>
        </w:rPr>
        <w:t xml:space="preserve"> </w:t>
      </w:r>
      <w:r w:rsidRPr="00C442E0">
        <w:rPr>
          <w:sz w:val="20"/>
          <w:lang w:eastAsia="ru-RU"/>
        </w:rPr>
        <w:t>–</w:t>
      </w:r>
      <w:r w:rsidR="008973B3">
        <w:rPr>
          <w:sz w:val="20"/>
          <w:lang w:eastAsia="ru-RU"/>
        </w:rPr>
        <w:t xml:space="preserve"> </w:t>
      </w:r>
      <w:r w:rsidRPr="00C442E0">
        <w:rPr>
          <w:sz w:val="20"/>
          <w:lang w:eastAsia="ru-RU"/>
        </w:rPr>
        <w:t>группа плацебо</w:t>
      </w:r>
    </w:p>
    <w:p w14:paraId="70419A7A" w14:textId="77777777" w:rsidR="00C442E0" w:rsidRPr="00C442E0" w:rsidRDefault="00C442E0" w:rsidP="008973B3">
      <w:pPr>
        <w:ind w:left="284"/>
        <w:rPr>
          <w:sz w:val="20"/>
          <w:lang w:eastAsia="ru-RU"/>
        </w:rPr>
      </w:pPr>
      <w:r w:rsidRPr="00C442E0">
        <w:rPr>
          <w:sz w:val="20"/>
          <w:lang w:eastAsia="ru-RU"/>
        </w:rPr>
        <w:t>Adjusted HbA1c (mean) – скорректированные средние значения гликированного гемоглобина</w:t>
      </w:r>
    </w:p>
    <w:p w14:paraId="1FD02672" w14:textId="2BCFE035" w:rsidR="00C442E0" w:rsidRPr="00C442E0" w:rsidRDefault="008973B3" w:rsidP="008973B3">
      <w:pPr>
        <w:ind w:left="284"/>
        <w:rPr>
          <w:sz w:val="20"/>
          <w:lang w:eastAsia="ru-RU"/>
        </w:rPr>
      </w:pPr>
      <w:r w:rsidRPr="00C442E0">
        <w:rPr>
          <w:sz w:val="20"/>
          <w:lang w:eastAsia="ru-RU"/>
        </w:rPr>
        <w:t>B</w:t>
      </w:r>
      <w:r w:rsidR="00C442E0" w:rsidRPr="00C442E0">
        <w:rPr>
          <w:sz w:val="20"/>
          <w:lang w:eastAsia="ru-RU"/>
        </w:rPr>
        <w:t>aseline</w:t>
      </w:r>
      <w:r>
        <w:rPr>
          <w:sz w:val="20"/>
          <w:lang w:eastAsia="ru-RU"/>
        </w:rPr>
        <w:t xml:space="preserve"> </w:t>
      </w:r>
      <w:r w:rsidRPr="00C442E0">
        <w:rPr>
          <w:sz w:val="20"/>
          <w:lang w:eastAsia="ru-RU"/>
        </w:rPr>
        <w:t>–</w:t>
      </w:r>
      <w:r>
        <w:rPr>
          <w:sz w:val="20"/>
          <w:lang w:eastAsia="ru-RU"/>
        </w:rPr>
        <w:t xml:space="preserve"> </w:t>
      </w:r>
      <w:r w:rsidR="00C442E0" w:rsidRPr="00C442E0">
        <w:rPr>
          <w:sz w:val="20"/>
          <w:lang w:eastAsia="ru-RU"/>
        </w:rPr>
        <w:t>исходные значения</w:t>
      </w:r>
    </w:p>
    <w:p w14:paraId="61CD7342" w14:textId="3F0336F2" w:rsidR="00C442E0" w:rsidRPr="00C442E0" w:rsidRDefault="008973B3" w:rsidP="008973B3">
      <w:pPr>
        <w:ind w:left="284"/>
        <w:rPr>
          <w:sz w:val="20"/>
          <w:lang w:eastAsia="ru-RU"/>
        </w:rPr>
      </w:pPr>
      <w:r w:rsidRPr="00C442E0">
        <w:rPr>
          <w:sz w:val="20"/>
          <w:lang w:eastAsia="ru-RU"/>
        </w:rPr>
        <w:t>W</w:t>
      </w:r>
      <w:r w:rsidR="00C442E0" w:rsidRPr="00C442E0">
        <w:rPr>
          <w:sz w:val="20"/>
          <w:lang w:eastAsia="ru-RU"/>
        </w:rPr>
        <w:t>eek</w:t>
      </w:r>
      <w:r>
        <w:rPr>
          <w:sz w:val="20"/>
          <w:lang w:eastAsia="ru-RU"/>
        </w:rPr>
        <w:t xml:space="preserve"> </w:t>
      </w:r>
      <w:r w:rsidRPr="00C442E0">
        <w:rPr>
          <w:sz w:val="20"/>
          <w:lang w:eastAsia="ru-RU"/>
        </w:rPr>
        <w:t>–</w:t>
      </w:r>
      <w:r>
        <w:rPr>
          <w:sz w:val="20"/>
          <w:lang w:eastAsia="ru-RU"/>
        </w:rPr>
        <w:t xml:space="preserve"> </w:t>
      </w:r>
      <w:r w:rsidR="00C442E0" w:rsidRPr="00C442E0">
        <w:rPr>
          <w:sz w:val="20"/>
          <w:lang w:eastAsia="ru-RU"/>
        </w:rPr>
        <w:t>неделя</w:t>
      </w:r>
    </w:p>
    <w:p w14:paraId="21CB83C5" w14:textId="77777777" w:rsidR="00C442E0" w:rsidRPr="00C442E0" w:rsidRDefault="00C442E0" w:rsidP="00C442E0">
      <w:pPr>
        <w:keepNext/>
        <w:spacing w:before="240" w:after="240"/>
        <w:outlineLvl w:val="3"/>
        <w:rPr>
          <w:b/>
          <w:iCs/>
          <w:color w:val="000000" w:themeColor="text1"/>
        </w:rPr>
      </w:pPr>
      <w:bookmarkStart w:id="232" w:name="_Toc126492026"/>
      <w:bookmarkStart w:id="233" w:name="_Toc139362006"/>
      <w:r w:rsidRPr="00C442E0">
        <w:rPr>
          <w:b/>
          <w:iCs/>
          <w:color w:val="000000" w:themeColor="text1"/>
        </w:rPr>
        <w:t>4.3.1.2.4. Комбинация с метформином и эмпаглифлозином</w:t>
      </w:r>
      <w:bookmarkEnd w:id="232"/>
      <w:bookmarkEnd w:id="233"/>
    </w:p>
    <w:p w14:paraId="178AD969" w14:textId="2800F0F8" w:rsidR="00C442E0" w:rsidRPr="00C442E0" w:rsidRDefault="008973B3" w:rsidP="00C442E0">
      <w:pPr>
        <w:ind w:firstLine="709"/>
      </w:pPr>
      <w:r>
        <w:t>П</w:t>
      </w:r>
      <w:r w:rsidR="00C442E0" w:rsidRPr="00C442E0">
        <w:t>роведено многоцентровое 24-недельное рандомизированное двойное слепое исследование оценки эффективности и безопасности линаглиптина у лиц с недостаточно контролируемым СД2 при комбинированном лечении метформином и эмпаглифлозином.</w:t>
      </w:r>
    </w:p>
    <w:p w14:paraId="44C35781" w14:textId="77777777" w:rsidR="00C442E0" w:rsidRPr="00C442E0" w:rsidRDefault="00C442E0" w:rsidP="00C442E0">
      <w:pPr>
        <w:ind w:firstLine="709"/>
      </w:pPr>
      <w:r w:rsidRPr="00C442E0">
        <w:t xml:space="preserve">Первичной конечной точкой было изменение уровня HbA(1c) через 24 недели лечения. </w:t>
      </w:r>
    </w:p>
    <w:p w14:paraId="1500B8D9" w14:textId="0F1B1325" w:rsidR="00C442E0" w:rsidRPr="00C442E0" w:rsidRDefault="00E344C2" w:rsidP="00C442E0">
      <w:pPr>
        <w:ind w:firstLine="709"/>
      </w:pPr>
      <w:r>
        <w:t>Н</w:t>
      </w:r>
      <w:r w:rsidR="00C442E0" w:rsidRPr="00C442E0">
        <w:t xml:space="preserve">а 24-й неделе </w:t>
      </w:r>
      <w:r w:rsidR="00C442E0" w:rsidRPr="00C442E0">
        <w:rPr>
          <w:lang w:val="en-US"/>
        </w:rPr>
        <w:t>HbA</w:t>
      </w:r>
      <w:r w:rsidR="00C442E0" w:rsidRPr="00C442E0">
        <w:t>1</w:t>
      </w:r>
      <w:r w:rsidR="00C442E0" w:rsidRPr="00C442E0">
        <w:rPr>
          <w:lang w:val="en-US"/>
        </w:rPr>
        <w:t>c</w:t>
      </w:r>
      <w:r w:rsidR="00C442E0" w:rsidRPr="00C442E0">
        <w:t xml:space="preserve"> (средний исходный уровень 7,82–8,04 [62–64 ммоль/моль]) значительно снизился при приеме линаглиптина в комбинации с эмпаглифлозином 10 мг и метформинм на -0,32% (-3,59 [1,08] ммоль/моль) (</w:t>
      </w:r>
      <w:r>
        <w:rPr>
          <w:lang w:val="en-US"/>
        </w:rPr>
        <w:t>p</w:t>
      </w:r>
      <w:r w:rsidR="00C442E0" w:rsidRPr="00C442E0">
        <w:t xml:space="preserve"> = 0,001). </w:t>
      </w:r>
      <w:r w:rsidR="00C442E0" w:rsidRPr="00C442E0">
        <w:rPr>
          <w:lang w:val="en-US"/>
        </w:rPr>
        <w:t>HbA</w:t>
      </w:r>
      <w:r w:rsidR="00C442E0" w:rsidRPr="00C442E0">
        <w:t>1</w:t>
      </w:r>
      <w:r w:rsidR="00C442E0" w:rsidRPr="00C442E0">
        <w:rPr>
          <w:lang w:val="en-US"/>
        </w:rPr>
        <w:t>c</w:t>
      </w:r>
      <w:r w:rsidR="00C442E0" w:rsidRPr="00C442E0">
        <w:t xml:space="preserve"> для пациентов принимавших линаглиптина в комбинации с эмпаглифлозинм 25 мг и метформином </w:t>
      </w:r>
      <w:r w:rsidR="00C442E0" w:rsidRPr="00C442E0">
        <w:lastRenderedPageBreak/>
        <w:t>снизился на -0,47% (-5,15 [1,04] ммоль/моль) (</w:t>
      </w:r>
      <w:r>
        <w:rPr>
          <w:lang w:val="en-US"/>
        </w:rPr>
        <w:t>p</w:t>
      </w:r>
      <w:r w:rsidR="00C442E0" w:rsidRPr="00C442E0">
        <w:t xml:space="preserve"> &lt;0,001). Линаглиптин может быть возможным вариантом лечения для лиц с неадекватным гликемическим контролем при применении комбинированной терапии метформином и эмпаглифлозином </w:t>
      </w:r>
      <w:r w:rsidR="00C442E0" w:rsidRPr="00C442E0">
        <w:fldChar w:fldCharType="begin"/>
      </w:r>
      <w:r w:rsidR="00C442E0" w:rsidRPr="00C442E0">
        <w:instrText xml:space="preserve"> ADDIN ZOTERO_ITEM CSL_CITATION {"citationID":"N2CWRr54","properties":{"formattedCitation":"[20]","plainCitation":"[20]","noteIndex":0},"citationItems":[{"id":3312,"uris":["http://zotero.org/users/5483459/items/9QALRG6L"],"itemData":{"id":3312,"type":"article-journal","abstract":"AIM: To evaluate the efficacy and safety of linagliptin vs placebo as add-on to empagliflozin and metformin in patients with type 2 diabetes.\nMATERIALS AND METHODS: Patients with inadequate glycaemic control despite stable-dose metformin received open-label empagliflozin 10 mg (study 1) or 25 mg (study 2) as add-on therapy for 16 weeks. Subsequently, those with HbA1c ≥7.0 and ≤10.5% (&gt;53 and ≤91 mmol/mol) (N = 482) were randomized to 24 weeks' double-blind, double-dummy treatment with linagliptin 5 mg or placebo in study 1, or to linagliptin 5 mg or placebo in study 2; all patients continued treatment with metformin and empagliflozin 10 mg (study 1) or metformin and empagliflozin 25 mg (study 2). The primary endpoint was change from baseline (defined as the last value before first intake of randomized, double-blind treatment) in HbA1c at week 24.\nRESULTS: At week 24, HbA1c (mean baseline 7.82-8.04 [62-64 mmol/mol]) was significantly reduced with linagliptin vs placebo; adjusted mean (SE) differences in change from baseline in HbA1c with linagliptin vs placebo were -.32% (.10) (-3.59 [1.08] mmol/mol) ( P = .001) for patients on empagliflozin 10 mg and metformin, and -0.47% (0.10) (-5.15 [1.04] mmol/mol) ( P &lt; 0.001) for patients on empagliflozin 25 mg and metformin. Adverse events were reported in more patients receiving placebo than in those receiving linagliptin: 55.5% vs 48.4% in study 1 and 58.9% vs 52.7% in study 2.\nCONCLUSIONS: Linagliptin as add-on to empagliflozin and metformin for 24 weeks improved glycaemic control vs placebo, and was well tolerated.","container-title":"Diabetes, Obesity &amp; Metabolism","DOI":"10.1111/dom.12814","ISSN":"1463-1326","issue":"2","journalAbbreviation":"Diabetes Obes Metab","language":"eng","note":"PMID: 27762093","page":"266-274","source":"PubMed","title":"Linagliptin as add-on to empagliflozin and metformin in patients with type 2 diabetes: Two 24-week randomized, double-blind, double-dummy, parallel-group trials","title-short":"Linagliptin as add-on to empagliflozin and metformin in patients with type 2 diabetes","volume":"19","author":[{"family":"Tinahones","given":"Francisco J."},{"family":"Gallwitz","given":"Baptist"},{"family":"Nordaby","given":"Matias"},{"family":"Götz","given":"Sophia"},{"family":"Maldonado-Lutomirsky","given":"Mario"},{"family":"Woerle","given":"Hans J."},{"family":"Broedl","given":"Uli C."}],"issued":{"date-parts":[["2017",2]]}}}],"schema":"https://github.com/citation-style-language/schema/raw/master/csl-citation.json"} </w:instrText>
      </w:r>
      <w:r w:rsidR="00C442E0" w:rsidRPr="00C442E0">
        <w:fldChar w:fldCharType="separate"/>
      </w:r>
      <w:r w:rsidR="00C442E0" w:rsidRPr="00C442E0">
        <w:t>[20]</w:t>
      </w:r>
      <w:r w:rsidR="00C442E0" w:rsidRPr="00C442E0">
        <w:fldChar w:fldCharType="end"/>
      </w:r>
      <w:r w:rsidR="00C442E0" w:rsidRPr="00C442E0">
        <w:t>.</w:t>
      </w:r>
    </w:p>
    <w:p w14:paraId="57C00D29" w14:textId="77777777" w:rsidR="00C442E0" w:rsidRPr="002C6710" w:rsidRDefault="00C442E0" w:rsidP="00C442E0">
      <w:pPr>
        <w:keepNext/>
        <w:spacing w:before="240" w:after="240"/>
        <w:outlineLvl w:val="3"/>
        <w:rPr>
          <w:b/>
          <w:iCs/>
          <w:color w:val="000000" w:themeColor="text1"/>
        </w:rPr>
      </w:pPr>
      <w:bookmarkStart w:id="234" w:name="_Toc126492027"/>
      <w:bookmarkStart w:id="235" w:name="_Toc139362007"/>
      <w:r w:rsidRPr="002C6710">
        <w:rPr>
          <w:b/>
          <w:iCs/>
          <w:color w:val="000000" w:themeColor="text1"/>
        </w:rPr>
        <w:t>4.3.1.2.5. Комбинация с базальным инсулином, метформином и/или пиоглитазоном</w:t>
      </w:r>
      <w:bookmarkEnd w:id="234"/>
      <w:bookmarkEnd w:id="235"/>
    </w:p>
    <w:p w14:paraId="7DC5BDCD" w14:textId="4E183E06" w:rsidR="00C442E0" w:rsidRPr="00C442E0" w:rsidRDefault="006A7C9A" w:rsidP="00C442E0">
      <w:pPr>
        <w:ind w:firstLine="709"/>
      </w:pPr>
      <w:bookmarkStart w:id="236" w:name="_Hlk126452846"/>
      <w:r>
        <w:t>П</w:t>
      </w:r>
      <w:r w:rsidR="00C442E0" w:rsidRPr="00C442E0">
        <w:t>роведено многоцентровое 52-недельное рандомизированное двойное слепое исследование для оценки эффективности и безопасности линаглиптина у пациентов с СД 2 с недостаточным гликемически</w:t>
      </w:r>
      <w:r>
        <w:t>м</w:t>
      </w:r>
      <w:r w:rsidR="00C442E0" w:rsidRPr="00C442E0">
        <w:t xml:space="preserve"> контролем при применении базального инсулина, метформина и/или пиоглитазона </w:t>
      </w:r>
      <w:bookmarkEnd w:id="236"/>
      <w:r w:rsidR="00C442E0" w:rsidRPr="00C442E0">
        <w:t>(ClinicalTrials.gov Identifier: NCT01734785).</w:t>
      </w:r>
    </w:p>
    <w:p w14:paraId="260F4E7F" w14:textId="77777777" w:rsidR="00C442E0" w:rsidRPr="00C442E0" w:rsidRDefault="00C442E0" w:rsidP="00C442E0">
      <w:pPr>
        <w:ind w:firstLine="709"/>
      </w:pPr>
      <w:r w:rsidRPr="00C442E0">
        <w:t xml:space="preserve">В исследовании участники были рандомизированы (1:1) для получения линаглиптина 5 мг один раз в день или плацебо в течение ≥52 недель в качестве дополнения к терапии базальным инсулином или в комбинации с метформином и/или пиоглитазоном. В течение первых 24 недель доза базального инсулина оставалась неизменной, последующие 24 недели дозу базального инсулина корректировали в зависимости от уровня глюкозы. Первичной конечной точкой было изменение уровня HbA(1c) через 52 недели лечения. </w:t>
      </w:r>
    </w:p>
    <w:p w14:paraId="34431CB4" w14:textId="08317B8B" w:rsidR="00C442E0" w:rsidRPr="00C442E0" w:rsidRDefault="00C442E0" w:rsidP="00C442E0">
      <w:pPr>
        <w:ind w:firstLine="567"/>
      </w:pPr>
      <w:bookmarkStart w:id="237" w:name="_Hlk126452863"/>
      <w:r w:rsidRPr="00C442E0">
        <w:t>16% пациентов в группе линаглиптина и 7% пациентов в группе плацебо достигли значений HbA1c &lt;7,0% через 24 недели лечения (</w:t>
      </w:r>
      <w:r w:rsidR="00DF2018">
        <w:rPr>
          <w:lang w:val="en-US"/>
        </w:rPr>
        <w:t>p</w:t>
      </w:r>
      <w:r w:rsidR="00DF2018" w:rsidRPr="00C442E0">
        <w:t xml:space="preserve"> &lt;</w:t>
      </w:r>
      <w:r w:rsidRPr="00C442E0">
        <w:t>0,0001). Доля пациентов со снижением HbA1c ≥0,5% была выше в группе линаглиптина (37%) по сравнению с группой плацебо (17%) (</w:t>
      </w:r>
      <w:r w:rsidR="0063009E">
        <w:rPr>
          <w:lang w:val="en-US"/>
        </w:rPr>
        <w:t>p</w:t>
      </w:r>
      <w:r w:rsidRPr="00C442E0">
        <w:t xml:space="preserve"> &lt;0,0001). Среднее изменение дозы базального инсулина до 24-й недели составило 0,1 МЕ (стандартное отклонение [SD] 0,2) для пациентов, получавших линаглиптин и 0,4 МЕ (SD 0,2) для пациентов, получавших плацебо. Скорректированное среднее изменение дозы инсулина по сравнению с исходным уровнем на 52-й неделе составило 2,6 МЕ (SD 0,8) для линаглиптина и 4,2 МЕ (SD 0,8) для плацебо (</w:t>
      </w:r>
      <w:r w:rsidR="0063009E">
        <w:rPr>
          <w:lang w:val="en-US"/>
        </w:rPr>
        <w:t>p</w:t>
      </w:r>
      <w:r w:rsidRPr="00C442E0">
        <w:t xml:space="preserve"> &lt;0,003). Линаглиптин может быть возможным вариантом лечения для лиц с неадекватным гликемическим контролем при применении комбинированной терапии базальным инсулином, метформином и/или пиоглитазоном </w:t>
      </w:r>
      <w:r w:rsidRPr="00C442E0">
        <w:rPr>
          <w:szCs w:val="22"/>
        </w:rPr>
        <w:fldChar w:fldCharType="begin"/>
      </w:r>
      <w:r w:rsidRPr="00C442E0">
        <w:rPr>
          <w:szCs w:val="22"/>
        </w:rPr>
        <w:instrText xml:space="preserve"> ADDIN ZOTERO_ITEM CSL_CITATION {"citationID":"28hH6ERX","properties":{"formattedCitation":"[21]","plainCitation":"[21]","noteIndex":0},"citationItems":[{"id":3314,"uris":["http://zotero.org/users/5483459/items/RP3WM9RJ"],"itemData":{"id":3314,"type":"article-journal","abstract":"AIM: To evaluate the efficacy and safety of linagliptin in people with Type 2 diabetes inadequately controlled on basal insulin and metformin.\nMETHODS: This was a post hoc subanalysis of participants who received basal insulin and metformin in a global phase III study that randomized participants (1:1) to receive linagliptin 5 mg once daily or placebo for ≥52 weeks as add-on therapy to basal insulin alone or in combination with metformin and/or pioglitazone. During the first 24 weeks, the background dose of basal insulin remained stable; thereafter, adjustments based on glucose concentrations were recommended. The primary endpoint of the subanalysis was the change from baseline in HbA1c after 24 weeks. The safety analysis incorporated data up to a maximum of 110 weeks.\nRESULTS: A total of 950 participants receiving background insulin and metformin were included in this subanalysis (linagliptin and placebo, both n = 475). At week 24, the placebo-corrected adjusted mean (±se) change from baseline in HbA1c with linagliptin was -7 (±1) mmol/mol [-0.7 (±0.1) %; 95% CI -0.8, -0.6; P &lt; 0.0001]. The overall frequency of drug-related adverse events (linagliptin, 18.9%; placebo, 21.9%) and investigator-reported hypoglycaemia (linagliptin, 30.7%; placebo, 31.6%) were similar in both groups at the end of treatment. The frequency of severe hypoglycaemia was low (linagliptin, 1.7%; placebo, 0.8%). No meaningful changes in mean (±sd) body weight were noted in either group [week 52: linagliptin, -0.5 (±3.2) kg; placebo, 0.0 (±3.1) kg].\nCONCLUSIONS: Linagliptin added to basal insulin and metformin improved glycaemic control, without increasing the risk of hypoglycaemia or body weight gain.","container-title":"Diabetic Medicine: A Journal of the British Diabetic Association","DOI":"10.1111/dme.13041","ISSN":"1464-5491","issue":"7","journalAbbreviation":"Diabet Med","language":"eng","note":"PMID: 26605991","page":"926-933","source":"PubMed","title":"Efficacy and safety of linagliptin as add-on therapy to basal insulin and metformin in people with Type 2 diabetes","volume":"33","author":[{"family":"Durán-Garcia","given":"S."},{"family":"Lee","given":"J."},{"family":"Yki-Järvinen","given":"H."},{"family":"Rosenstock","given":"J."},{"family":"Hehnke","given":"U."},{"family":"Thiemann","given":"S."},{"family":"Patel","given":"S."},{"family":"Woerle","given":"H.-J."}],"issued":{"date-parts":[["2016",7]]}}}],"schema":"https://github.com/citation-style-language/schema/raw/master/csl-citation.json"} </w:instrText>
      </w:r>
      <w:r w:rsidRPr="00C442E0">
        <w:rPr>
          <w:szCs w:val="22"/>
        </w:rPr>
        <w:fldChar w:fldCharType="separate"/>
      </w:r>
      <w:r w:rsidRPr="00C442E0">
        <w:t>[21]</w:t>
      </w:r>
      <w:r w:rsidRPr="00C442E0">
        <w:rPr>
          <w:szCs w:val="22"/>
        </w:rPr>
        <w:fldChar w:fldCharType="end"/>
      </w:r>
      <w:r w:rsidRPr="00C442E0">
        <w:rPr>
          <w:szCs w:val="22"/>
        </w:rPr>
        <w:t>.</w:t>
      </w:r>
      <w:bookmarkEnd w:id="237"/>
    </w:p>
    <w:p w14:paraId="0DB0F292" w14:textId="77777777" w:rsidR="00C442E0" w:rsidRPr="00C442E0" w:rsidRDefault="00C442E0" w:rsidP="0049695C">
      <w:pPr>
        <w:keepNext/>
        <w:spacing w:before="240" w:after="240"/>
        <w:outlineLvl w:val="3"/>
        <w:rPr>
          <w:b/>
          <w:iCs/>
          <w:color w:val="000000" w:themeColor="text1"/>
        </w:rPr>
      </w:pPr>
      <w:bookmarkStart w:id="238" w:name="_Toc126492028"/>
      <w:bookmarkStart w:id="239" w:name="_Toc139362008"/>
      <w:r w:rsidRPr="00C442E0">
        <w:rPr>
          <w:b/>
          <w:iCs/>
          <w:color w:val="000000" w:themeColor="text1"/>
        </w:rPr>
        <w:t>4.3.1.2.6. Комбинация с метформином и/или глимепиридом</w:t>
      </w:r>
      <w:bookmarkEnd w:id="238"/>
      <w:bookmarkEnd w:id="239"/>
    </w:p>
    <w:p w14:paraId="585681F6" w14:textId="28F97ACD" w:rsidR="00C442E0" w:rsidRPr="00C442E0" w:rsidRDefault="005715FE" w:rsidP="00C442E0">
      <w:pPr>
        <w:ind w:firstLine="709"/>
      </w:pPr>
      <w:bookmarkStart w:id="240" w:name="_Hlk126452925"/>
      <w:r>
        <w:t>П</w:t>
      </w:r>
      <w:r w:rsidR="00C442E0" w:rsidRPr="00C442E0">
        <w:t xml:space="preserve">роведено многоцентровое 104-недельное рандомизированное двойное слепое исследование для оценки эффективности и безопасности применения линаглиптина у пациентов с СД 2 по сравнению с глимепиридом, назначаемым в качестве комбинированной терапии с метформином у пациентов с СД 2 </w:t>
      </w:r>
      <w:r w:rsidRPr="00C442E0">
        <w:t>с недостаточным гликемическим контролем</w:t>
      </w:r>
      <w:r w:rsidR="00C442E0" w:rsidRPr="00C442E0">
        <w:t xml:space="preserve"> </w:t>
      </w:r>
      <w:bookmarkEnd w:id="240"/>
      <w:r w:rsidR="00C442E0" w:rsidRPr="00C442E0">
        <w:t>(ClinicalTrials.gov Identifier: NCT00622284). Первичной конечной точкой было изменение уровня HbA(1c) через 104 недели лечения.</w:t>
      </w:r>
    </w:p>
    <w:p w14:paraId="09C499AE" w14:textId="77777777" w:rsidR="00C442E0" w:rsidRPr="00C442E0" w:rsidRDefault="00C442E0" w:rsidP="00C442E0">
      <w:pPr>
        <w:ind w:firstLine="709"/>
      </w:pPr>
      <w:r w:rsidRPr="00C442E0">
        <w:t>Пациенты получали только метформин с одним дополнительным противодиабетическим препаратом линаглиптин (5 мг) или глимепирид (1–4 мг) перорально однократно ежедневно в течение 2 лет. 777 пациентов были рандомизированы в группу линаглиптина и 775 — в группу глимепирида.</w:t>
      </w:r>
    </w:p>
    <w:p w14:paraId="56485D7C" w14:textId="10796382" w:rsidR="00C442E0" w:rsidRPr="00C442E0" w:rsidRDefault="005715FE" w:rsidP="00C442E0">
      <w:pPr>
        <w:ind w:firstLine="709"/>
      </w:pPr>
      <w:bookmarkStart w:id="241" w:name="_Hlk126452958"/>
      <w:r>
        <w:t>С</w:t>
      </w:r>
      <w:r w:rsidR="00C442E0" w:rsidRPr="00C442E0">
        <w:t xml:space="preserve">нижение скорректированного среднего HbA(1c) (исходный уровень 7,69% </w:t>
      </w:r>
      <w:r w:rsidR="00195057">
        <w:t xml:space="preserve">стандартная ошибка </w:t>
      </w:r>
      <w:r w:rsidR="00C442E0" w:rsidRPr="00C442E0">
        <w:t>[SE 0,03] в обеих группах) было одинаковым в группах линаглиптина (-0,16% [</w:t>
      </w:r>
      <w:r w:rsidR="00C11860">
        <w:t>SE 0,03]) и глимепирида (-0,36</w:t>
      </w:r>
      <w:r w:rsidR="00C442E0" w:rsidRPr="00C442E0">
        <w:t xml:space="preserve">% [0,03], разница 0,20%, 97,5% ДИ 0, 09–0, 30), что соответствует заранее определенному критерию не меньшей эффективности 0,35% (Рисунок 4.4.). У меньшего числа участников была гипогликемия (58 [7%] из 776 против 280 [36%] из 775 пациентов, </w:t>
      </w:r>
      <w:r w:rsidR="00DF2018" w:rsidRPr="00C442E0">
        <w:t>p &lt;</w:t>
      </w:r>
      <w:r w:rsidR="00C442E0" w:rsidRPr="00C442E0">
        <w:t>0,0001) или тяжелая гипогликемия (1 [&lt;1%] против 12 [2%]) при применении линаглиптина по сравнению с глимепиридом.</w:t>
      </w:r>
      <w:bookmarkEnd w:id="241"/>
      <w:r w:rsidR="00C442E0" w:rsidRPr="00C442E0">
        <w:t xml:space="preserve"> Линаглиптин </w:t>
      </w:r>
      <w:r w:rsidR="00C442E0" w:rsidRPr="00C442E0">
        <w:lastRenderedPageBreak/>
        <w:t>ассоциировался со значительно меньшим числом сердечно-сосудистых событий (12 пациентов по сравнению с 26, относительный риск 0,46, 95% ДИ 0,23-0,91, р=0,0213).</w:t>
      </w:r>
    </w:p>
    <w:p w14:paraId="31373D82" w14:textId="77777777" w:rsidR="00C442E0" w:rsidRPr="00C442E0" w:rsidRDefault="00C442E0" w:rsidP="00C442E0">
      <w:pPr>
        <w:ind w:firstLine="709"/>
      </w:pPr>
    </w:p>
    <w:p w14:paraId="2E700AE8" w14:textId="0E523EFE" w:rsidR="00C442E0" w:rsidRPr="00C442E0" w:rsidRDefault="00C442E0" w:rsidP="00C442E0">
      <w:r w:rsidRPr="00C442E0">
        <w:rPr>
          <w:b/>
          <w:bCs/>
        </w:rPr>
        <w:t xml:space="preserve">Рисунок 4-4. </w:t>
      </w:r>
      <w:r w:rsidRPr="00C442E0">
        <w:t xml:space="preserve">Среднее изменение HbA1c по сравнению с исходным уровнем при лечении линаглиптином или глимепиридом в течение 104 недель в качестве дополнительной терапии к метформину </w:t>
      </w:r>
      <w:r w:rsidRPr="00C442E0">
        <w:fldChar w:fldCharType="begin"/>
      </w:r>
      <w:r w:rsidRPr="00C442E0">
        <w:instrText xml:space="preserve"> ADDIN ZOTERO_ITEM CSL_CITATION {"citationID":"d8hjqPNC","properties":{"formattedCitation":"[22]","plainCitation":"[22]","noteIndex":0},"citationItems":[{"id":3316,"uris":["http://zotero.org/users/5483459/items/TLTSYJA7"],"itemData":{"id":3316,"type":"article-journal","abstract":"BACKGROUND: Addition of a sulphonylurea to metformin improves glycaemic control in type 2 diabetes, but is associated with hypoglycaemia and weight gain. We aimed to compare a dipeptidyl peptidase-4 inhibitor (linagliptin) against a commonly used sulphonylurea (glimepiride).\nMETHODS: In this 2-year, parallel-group, non-inferiority double-blind trial, outpatients with type 2 diabetes and glycated haemoglobin A(1c) (HbA(1c)) 6·5-10·0% on stable metformin alone or with one additional oral antidiabetic drug (washed out during screening) were randomly assigned (1:1) by computer-generated random sequence via a voice or web response system to linagliptin (5 mg) or glimepiride (1-4 mg) orally once daily. Study investigators and participants were masked to treatment assignment. The primary endpoint was change in HbA(1c) from baseline to week 104. Analyses included all patients randomly assigned to treatment groups who received at least one dose of treatment, had a baseline HbA(1c) measurement, and had at least one on-treatment HbA(1c) measurement. This trial is registered at ClinicalTrials.gov, number NCT00622284.\nFINDINGS: 777 patients were randomly assigned to linagliptin and 775 to glimepiride; 764 and 755 were included in analysis of the primary endpoint. Reductions in adjusted mean HbA(1c) (baseline 7·69% [SE 0·03] in both groups) were similar in the linagliptin (-0·16% [SE 0·03]) and glimepiride groups (-0·36% [0·03]; difference 0·20%, 97·5% CI 0·09-0·30), meeting the predefined non-inferiority criterion of 0·35%. Fewer participants had hypoglycaemia (58 [7%] of 776 vs 280 [36%] of 775 patients, p&lt;0·0001) or severe hypoglycaemia (1 [&lt;1%] vs 12 [2%]) with linagliptin compared with glimepiride. Linagliptin was associated with significantly fewer cardiovascular events (12 vs 26 patients; relative risk 0·46, 95% CI 0·23-0·91, p=0·0213).\nINTERPRETATION: The results of this long-term randomised active-controlled trial advance the clinical evidence and comparative effectiveness bases for treatment options available to patients with type 2 diabetes mellitus. The findings could improve decision making for clinical treatment when metformin alone is insufficient.\nFUNDING: Boehringer Ingelheim.","container-title":"Lancet (London, England)","DOI":"10.1016/S0140-6736(12)60691-6","ISSN":"1474-547X","issue":"9840","journalAbbreviation":"Lancet","language":"eng","note":"PMID: 22748821","page":"475-483","source":"PubMed","title":"2-year efficacy and safety of linagliptin compared with glimepiride in patients with type 2 diabetes inadequately controlled on metformin: a randomised, double-blind, non-inferiority trial","title-short":"2-year efficacy and safety of linagliptin compared with glimepiride in patients with type 2 diabetes inadequately controlled on metformin","volume":"380","author":[{"family":"Gallwitz","given":"Baptist"},{"family":"Rosenstock","given":"Julio"},{"family":"Rauch","given":"Thomas"},{"family":"Bhattacharya","given":"Sudipta"},{"family":"Patel","given":"Sanjay"},{"family":"Eynatten","given":"Maximilian","non-dropping-particle":"von"},{"family":"Dugi","given":"Klaus A."},{"family":"Woerle","given":"Hans-Juergen"}],"issued":{"date-parts":[["2012",8,4]]}}}],"schema":"https://github.com/citation-style-language/schema/raw/master/csl-citation.json"} </w:instrText>
      </w:r>
      <w:r w:rsidRPr="00C442E0">
        <w:fldChar w:fldCharType="separate"/>
      </w:r>
      <w:r w:rsidRPr="00C442E0">
        <w:t>[22]</w:t>
      </w:r>
      <w:r w:rsidRPr="00C442E0">
        <w:fldChar w:fldCharType="end"/>
      </w:r>
      <w:r w:rsidRPr="00C442E0">
        <w:t>.</w:t>
      </w:r>
    </w:p>
    <w:p w14:paraId="1B5F2A3E" w14:textId="1C095B39" w:rsidR="00C442E0" w:rsidRPr="00C442E0" w:rsidRDefault="00C442E0" w:rsidP="00432B8F">
      <w:pPr>
        <w:jc w:val="center"/>
      </w:pPr>
      <w:r w:rsidRPr="00C442E0">
        <w:rPr>
          <w:noProof/>
          <w:lang w:eastAsia="ru-RU"/>
        </w:rPr>
        <w:drawing>
          <wp:inline distT="0" distB="0" distL="0" distR="0" wp14:anchorId="742BCF0D" wp14:editId="1EEA4297">
            <wp:extent cx="4063365" cy="2512695"/>
            <wp:effectExtent l="19050" t="19050" r="13335" b="209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3365" cy="2512695"/>
                    </a:xfrm>
                    <a:prstGeom prst="rect">
                      <a:avLst/>
                    </a:prstGeom>
                    <a:noFill/>
                    <a:ln w="9525" cmpd="sng">
                      <a:solidFill>
                        <a:srgbClr val="000000"/>
                      </a:solidFill>
                      <a:miter lim="800000"/>
                      <a:headEnd/>
                      <a:tailEnd/>
                    </a:ln>
                    <a:effectLst/>
                  </pic:spPr>
                </pic:pic>
              </a:graphicData>
            </a:graphic>
          </wp:inline>
        </w:drawing>
      </w:r>
    </w:p>
    <w:p w14:paraId="2CE45CB3" w14:textId="29EFDD9B" w:rsidR="00C442E0" w:rsidRPr="00C442E0" w:rsidRDefault="00C11860" w:rsidP="00C11860">
      <w:pPr>
        <w:rPr>
          <w:b/>
          <w:sz w:val="20"/>
          <w:szCs w:val="20"/>
        </w:rPr>
      </w:pPr>
      <w:r w:rsidRPr="00C11860">
        <w:rPr>
          <w:b/>
          <w:sz w:val="20"/>
          <w:szCs w:val="20"/>
        </w:rPr>
        <w:t>Примечание:</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523"/>
      </w:tblGrid>
      <w:tr w:rsidR="00C442E0" w:rsidRPr="00C442E0" w14:paraId="37CE7943" w14:textId="77777777" w:rsidTr="00D92F14">
        <w:tc>
          <w:tcPr>
            <w:tcW w:w="3823" w:type="dxa"/>
          </w:tcPr>
          <w:p w14:paraId="4FC50024" w14:textId="77777777" w:rsidR="00C442E0" w:rsidRPr="00C442E0" w:rsidRDefault="00C442E0" w:rsidP="00C442E0">
            <w:pPr>
              <w:ind w:left="-251"/>
              <w:jc w:val="left"/>
              <w:rPr>
                <w:sz w:val="20"/>
                <w:szCs w:val="20"/>
                <w:lang w:eastAsia="ru-RU"/>
              </w:rPr>
            </w:pPr>
            <w:r w:rsidRPr="00C442E0">
              <w:rPr>
                <w:sz w:val="20"/>
                <w:szCs w:val="20"/>
                <w:lang w:eastAsia="ru-RU"/>
              </w:rPr>
              <w:t xml:space="preserve">   </w:t>
            </w:r>
            <w:r w:rsidRPr="00C442E0">
              <w:rPr>
                <w:rFonts w:eastAsia="MS Mincho"/>
                <w:sz w:val="20"/>
                <w:szCs w:val="20"/>
                <w:lang w:eastAsia="ru-RU"/>
              </w:rPr>
              <w:object w:dxaOrig="1980" w:dyaOrig="390" w14:anchorId="4FB32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9.5pt" o:ole="">
                  <v:imagedata r:id="rId22" o:title="" gain="1.25"/>
                  <v:shadow on="t" offset=",3pt" offset2=",2pt"/>
                </v:shape>
                <o:OLEObject Type="Embed" ProgID="PBrush" ShapeID="_x0000_i1025" DrawAspect="Content" ObjectID="_1749974816" r:id="rId23"/>
              </w:object>
            </w:r>
          </w:p>
        </w:tc>
        <w:tc>
          <w:tcPr>
            <w:tcW w:w="5523" w:type="dxa"/>
          </w:tcPr>
          <w:p w14:paraId="53A338FF" w14:textId="77777777" w:rsidR="00C442E0" w:rsidRPr="00C442E0" w:rsidRDefault="00C442E0" w:rsidP="00C442E0">
            <w:pPr>
              <w:jc w:val="left"/>
              <w:rPr>
                <w:sz w:val="20"/>
                <w:szCs w:val="20"/>
                <w:lang w:eastAsia="ru-RU"/>
              </w:rPr>
            </w:pPr>
            <w:r w:rsidRPr="00C442E0">
              <w:rPr>
                <w:sz w:val="20"/>
                <w:szCs w:val="20"/>
                <w:lang w:eastAsia="ru-RU"/>
              </w:rPr>
              <w:t>Группа линаглиптина, доза 5 мг 1 раз в день</w:t>
            </w:r>
          </w:p>
        </w:tc>
      </w:tr>
      <w:tr w:rsidR="00C442E0" w:rsidRPr="00C442E0" w14:paraId="6628C367" w14:textId="77777777" w:rsidTr="00D92F14">
        <w:tc>
          <w:tcPr>
            <w:tcW w:w="3823" w:type="dxa"/>
          </w:tcPr>
          <w:p w14:paraId="070EC507" w14:textId="77777777" w:rsidR="00C442E0" w:rsidRPr="00C442E0" w:rsidRDefault="00C442E0" w:rsidP="00C442E0">
            <w:pPr>
              <w:ind w:left="33"/>
              <w:jc w:val="left"/>
              <w:rPr>
                <w:sz w:val="20"/>
                <w:szCs w:val="20"/>
                <w:lang w:eastAsia="ru-RU"/>
              </w:rPr>
            </w:pPr>
            <w:r w:rsidRPr="00C442E0">
              <w:rPr>
                <w:rFonts w:eastAsia="MS Mincho"/>
                <w:sz w:val="20"/>
                <w:szCs w:val="20"/>
                <w:lang w:eastAsia="ru-RU"/>
              </w:rPr>
              <w:object w:dxaOrig="1995" w:dyaOrig="360" w14:anchorId="267AEA28">
                <v:shape id="_x0000_i1026" type="#_x0000_t75" style="width:99pt;height:18pt" o:ole="">
                  <v:imagedata r:id="rId24" o:title="" gain="1.25"/>
                </v:shape>
                <o:OLEObject Type="Embed" ProgID="PBrush" ShapeID="_x0000_i1026" DrawAspect="Content" ObjectID="_1749974817" r:id="rId25"/>
              </w:object>
            </w:r>
          </w:p>
        </w:tc>
        <w:tc>
          <w:tcPr>
            <w:tcW w:w="5523" w:type="dxa"/>
          </w:tcPr>
          <w:p w14:paraId="5CA94E2C" w14:textId="77777777" w:rsidR="00C442E0" w:rsidRPr="00C442E0" w:rsidRDefault="00C442E0" w:rsidP="00C442E0">
            <w:pPr>
              <w:jc w:val="left"/>
              <w:rPr>
                <w:sz w:val="20"/>
                <w:szCs w:val="20"/>
                <w:lang w:eastAsia="ru-RU"/>
              </w:rPr>
            </w:pPr>
            <w:r w:rsidRPr="00C442E0">
              <w:rPr>
                <w:sz w:val="20"/>
                <w:szCs w:val="20"/>
                <w:lang w:eastAsia="ru-RU"/>
              </w:rPr>
              <w:t>Группа глимепирида, доза 1–4  мг 1 раз в день</w:t>
            </w:r>
          </w:p>
        </w:tc>
      </w:tr>
      <w:tr w:rsidR="00C442E0" w:rsidRPr="00C442E0" w14:paraId="14D3B444" w14:textId="77777777" w:rsidTr="00D92F14">
        <w:tc>
          <w:tcPr>
            <w:tcW w:w="3823" w:type="dxa"/>
          </w:tcPr>
          <w:p w14:paraId="44DD22F4" w14:textId="77777777" w:rsidR="00C442E0" w:rsidRPr="00C442E0" w:rsidRDefault="00C442E0" w:rsidP="00C442E0">
            <w:pPr>
              <w:jc w:val="left"/>
              <w:rPr>
                <w:sz w:val="20"/>
                <w:szCs w:val="20"/>
                <w:lang w:eastAsia="ru-RU"/>
              </w:rPr>
            </w:pPr>
            <w:r w:rsidRPr="00C442E0">
              <w:rPr>
                <w:sz w:val="20"/>
                <w:szCs w:val="20"/>
                <w:lang w:eastAsia="ru-RU"/>
              </w:rPr>
              <w:t xml:space="preserve">Adjusted HbA1c (mean) – </w:t>
            </w:r>
          </w:p>
          <w:p w14:paraId="7292D0FD" w14:textId="77777777" w:rsidR="00C442E0" w:rsidRPr="00C442E0" w:rsidRDefault="00C442E0" w:rsidP="00C442E0">
            <w:pPr>
              <w:jc w:val="left"/>
              <w:rPr>
                <w:sz w:val="20"/>
                <w:szCs w:val="20"/>
                <w:lang w:eastAsia="ru-RU"/>
              </w:rPr>
            </w:pPr>
          </w:p>
        </w:tc>
        <w:tc>
          <w:tcPr>
            <w:tcW w:w="5523" w:type="dxa"/>
          </w:tcPr>
          <w:p w14:paraId="05687EC3" w14:textId="77777777" w:rsidR="00C442E0" w:rsidRPr="00C442E0" w:rsidRDefault="00C442E0" w:rsidP="00C442E0">
            <w:pPr>
              <w:jc w:val="left"/>
              <w:rPr>
                <w:sz w:val="20"/>
                <w:szCs w:val="20"/>
                <w:lang w:eastAsia="ru-RU"/>
              </w:rPr>
            </w:pPr>
            <w:r w:rsidRPr="00C442E0">
              <w:rPr>
                <w:sz w:val="20"/>
                <w:szCs w:val="20"/>
                <w:lang w:eastAsia="ru-RU"/>
              </w:rPr>
              <w:t>скорректированные средние значения гликированного гемоглобина</w:t>
            </w:r>
          </w:p>
        </w:tc>
      </w:tr>
      <w:tr w:rsidR="00C442E0" w:rsidRPr="00C442E0" w14:paraId="3C222474" w14:textId="77777777" w:rsidTr="00D92F14">
        <w:trPr>
          <w:trHeight w:val="90"/>
        </w:trPr>
        <w:tc>
          <w:tcPr>
            <w:tcW w:w="3823" w:type="dxa"/>
          </w:tcPr>
          <w:p w14:paraId="18B75BBD" w14:textId="77777777" w:rsidR="00C442E0" w:rsidRPr="00C442E0" w:rsidRDefault="00C442E0" w:rsidP="00C442E0">
            <w:pPr>
              <w:jc w:val="left"/>
              <w:rPr>
                <w:sz w:val="20"/>
                <w:szCs w:val="20"/>
                <w:lang w:eastAsia="ru-RU"/>
              </w:rPr>
            </w:pPr>
            <w:r w:rsidRPr="00C442E0">
              <w:rPr>
                <w:sz w:val="20"/>
                <w:szCs w:val="20"/>
                <w:lang w:eastAsia="ru-RU"/>
              </w:rPr>
              <w:t>week</w:t>
            </w:r>
          </w:p>
        </w:tc>
        <w:tc>
          <w:tcPr>
            <w:tcW w:w="5523" w:type="dxa"/>
          </w:tcPr>
          <w:p w14:paraId="4D471CA1" w14:textId="77777777" w:rsidR="00C442E0" w:rsidRPr="00C442E0" w:rsidRDefault="00C442E0" w:rsidP="00C442E0">
            <w:pPr>
              <w:jc w:val="left"/>
              <w:rPr>
                <w:sz w:val="20"/>
                <w:szCs w:val="20"/>
                <w:lang w:eastAsia="ru-RU"/>
              </w:rPr>
            </w:pPr>
            <w:r w:rsidRPr="00C442E0">
              <w:rPr>
                <w:sz w:val="20"/>
                <w:szCs w:val="20"/>
                <w:lang w:eastAsia="ru-RU"/>
              </w:rPr>
              <w:t>неделя</w:t>
            </w:r>
          </w:p>
        </w:tc>
      </w:tr>
    </w:tbl>
    <w:p w14:paraId="04DD596D" w14:textId="77777777" w:rsidR="00C442E0" w:rsidRPr="00C442E0" w:rsidRDefault="00C442E0" w:rsidP="00C442E0">
      <w:pPr>
        <w:ind w:firstLine="851"/>
      </w:pPr>
    </w:p>
    <w:p w14:paraId="3ABC5190" w14:textId="77777777" w:rsidR="00C442E0" w:rsidRPr="00C442E0" w:rsidRDefault="00C442E0" w:rsidP="00432B8F">
      <w:pPr>
        <w:ind w:firstLine="709"/>
      </w:pPr>
      <w:r w:rsidRPr="00C442E0">
        <w:t xml:space="preserve">Линаглиптин может быть возможным вариантом лечения, когда применение монотерапии метформином недостаточно для гликемического контроля СД 2 </w:t>
      </w:r>
      <w:r w:rsidRPr="00C442E0">
        <w:fldChar w:fldCharType="begin"/>
      </w:r>
      <w:r w:rsidRPr="00C442E0">
        <w:instrText xml:space="preserve"> ADDIN ZOTERO_ITEM CSL_CITATION {"citationID":"AKXaoc1b","properties":{"formattedCitation":"[22]","plainCitation":"[22]","noteIndex":0},"citationItems":[{"id":3316,"uris":["http://zotero.org/users/5483459/items/TLTSYJA7"],"itemData":{"id":3316,"type":"article-journal","abstract":"BACKGROUND: Addition of a sulphonylurea to metformin improves glycaemic control in type 2 diabetes, but is associated with hypoglycaemia and weight gain. We aimed to compare a dipeptidyl peptidase-4 inhibitor (linagliptin) against a commonly used sulphonylurea (glimepiride).\nMETHODS: In this 2-year, parallel-group, non-inferiority double-blind trial, outpatients with type 2 diabetes and glycated haemoglobin A(1c) (HbA(1c)) 6·5-10·0% on stable metformin alone or with one additional oral antidiabetic drug (washed out during screening) were randomly assigned (1:1) by computer-generated random sequence via a voice or web response system to linagliptin (5 mg) or glimepiride (1-4 mg) orally once daily. Study investigators and participants were masked to treatment assignment. The primary endpoint was change in HbA(1c) from baseline to week 104. Analyses included all patients randomly assigned to treatment groups who received at least one dose of treatment, had a baseline HbA(1c) measurement, and had at least one on-treatment HbA(1c) measurement. This trial is registered at ClinicalTrials.gov, number NCT00622284.\nFINDINGS: 777 patients were randomly assigned to linagliptin and 775 to glimepiride; 764 and 755 were included in analysis of the primary endpoint. Reductions in adjusted mean HbA(1c) (baseline 7·69% [SE 0·03] in both groups) were similar in the linagliptin (-0·16% [SE 0·03]) and glimepiride groups (-0·36% [0·03]; difference 0·20%, 97·5% CI 0·09-0·30), meeting the predefined non-inferiority criterion of 0·35%. Fewer participants had hypoglycaemia (58 [7%] of 776 vs 280 [36%] of 775 patients, p&lt;0·0001) or severe hypoglycaemia (1 [&lt;1%] vs 12 [2%]) with linagliptin compared with glimepiride. Linagliptin was associated with significantly fewer cardiovascular events (12 vs 26 patients; relative risk 0·46, 95% CI 0·23-0·91, p=0·0213).\nINTERPRETATION: The results of this long-term randomised active-controlled trial advance the clinical evidence and comparative effectiveness bases for treatment options available to patients with type 2 diabetes mellitus. The findings could improve decision making for clinical treatment when metformin alone is insufficient.\nFUNDING: Boehringer Ingelheim.","container-title":"Lancet (London, England)","DOI":"10.1016/S0140-6736(12)60691-6","ISSN":"1474-547X","issue":"9840","journalAbbreviation":"Lancet","language":"eng","note":"PMID: 22748821","page":"475-483","source":"PubMed","title":"2-year efficacy and safety of linagliptin compared with glimepiride in patients with type 2 diabetes inadequately controlled on metformin: a randomised, double-blind, non-inferiority trial","title-short":"2-year efficacy and safety of linagliptin compared with glimepiride in patients with type 2 diabetes inadequately controlled on metformin","volume":"380","author":[{"family":"Gallwitz","given":"Baptist"},{"family":"Rosenstock","given":"Julio"},{"family":"Rauch","given":"Thomas"},{"family":"Bhattacharya","given":"Sudipta"},{"family":"Patel","given":"Sanjay"},{"family":"Eynatten","given":"Maximilian","non-dropping-particle":"von"},{"family":"Dugi","given":"Klaus A."},{"family":"Woerle","given":"Hans-Juergen"}],"issued":{"date-parts":[["2012",8,4]]}}}],"schema":"https://github.com/citation-style-language/schema/raw/master/csl-citation.json"} </w:instrText>
      </w:r>
      <w:r w:rsidRPr="00C442E0">
        <w:fldChar w:fldCharType="separate"/>
      </w:r>
      <w:r w:rsidRPr="00C442E0">
        <w:t>[22]</w:t>
      </w:r>
      <w:r w:rsidRPr="00C442E0">
        <w:fldChar w:fldCharType="end"/>
      </w:r>
      <w:r w:rsidRPr="00C442E0">
        <w:t>.</w:t>
      </w:r>
    </w:p>
    <w:p w14:paraId="37C89333" w14:textId="77777777" w:rsidR="004B1452" w:rsidRDefault="004B1452" w:rsidP="00C442E0">
      <w:pPr>
        <w:pStyle w:val="111"/>
        <w:rPr>
          <w:lang w:eastAsia="en-US"/>
        </w:rPr>
      </w:pPr>
      <w:bookmarkStart w:id="242" w:name="_Toc139362009"/>
      <w:r w:rsidRPr="00620389">
        <w:rPr>
          <w:lang w:eastAsia="en-US"/>
        </w:rPr>
        <w:t>4.</w:t>
      </w:r>
      <w:r>
        <w:rPr>
          <w:lang w:eastAsia="en-US"/>
        </w:rPr>
        <w:t>3.2.</w:t>
      </w:r>
      <w:bookmarkEnd w:id="213"/>
      <w:r>
        <w:rPr>
          <w:lang w:eastAsia="en-US"/>
        </w:rPr>
        <w:t xml:space="preserve"> Клиническая безопасность</w:t>
      </w:r>
      <w:bookmarkEnd w:id="242"/>
      <w:r>
        <w:rPr>
          <w:lang w:eastAsia="en-US"/>
        </w:rPr>
        <w:t xml:space="preserve"> </w:t>
      </w:r>
      <w:bookmarkStart w:id="243" w:name="_Toc52190595"/>
    </w:p>
    <w:p w14:paraId="24C3DFD3" w14:textId="77777777" w:rsidR="004B1452" w:rsidRDefault="004B1452" w:rsidP="004B1452">
      <w:pPr>
        <w:spacing w:before="120" w:after="120"/>
        <w:outlineLvl w:val="2"/>
        <w:rPr>
          <w:b/>
          <w:bCs/>
        </w:rPr>
      </w:pPr>
      <w:bookmarkStart w:id="244" w:name="_Toc139362010"/>
      <w:r w:rsidRPr="00027CCE">
        <w:rPr>
          <w:b/>
          <w:bCs/>
        </w:rPr>
        <w:t>4.3.2.1. Группоспецифические эффекты</w:t>
      </w:r>
      <w:bookmarkEnd w:id="244"/>
    </w:p>
    <w:p w14:paraId="096E6265" w14:textId="5304EE5F" w:rsidR="004B1452" w:rsidRDefault="004B1452" w:rsidP="00432B8F">
      <w:pPr>
        <w:ind w:firstLine="709"/>
      </w:pPr>
      <w:r w:rsidRPr="00CB6830">
        <w:t xml:space="preserve">Ингибиторы дипептидилпептидазы-4 (ДПП-4) или глиптины относятся к классу миметиков инкретина. Эти препараты </w:t>
      </w:r>
      <w:r w:rsidR="005875CE">
        <w:t>используются</w:t>
      </w:r>
      <w:r w:rsidRPr="00CB6830">
        <w:t xml:space="preserve"> для лечения СД2 уже более десяти лет </w:t>
      </w:r>
      <w:r>
        <w:fldChar w:fldCharType="begin"/>
      </w:r>
      <w:r>
        <w:instrText xml:space="preserve"> ADDIN ZOTERO_ITEM CSL_CITATION {"citationID":"wU0oEcg2","properties":{"formattedCitation":"[20]","plainCitation":"[20]","noteIndex":0},"citationItems":[{"id":3073,"uris":["http://zotero.org/users/5483459/items/KD4JA3AM"],"itemData":{"id":3073,"type":"article-journal","abstract":"Dipeptidyl peptidase-4 (DPP-4) inhibitors or gliptins belong to the class of incretin mimetics. These drugs have been available on the market for the management of type 2 diabetes mellitus (T2DM) for over a decade. Sitagliptin, linagliptin, vildagliptin, saxagliptin and alogliptin are widely available globally, whilst anagliptin, gemigliptin and teneliptin are used mainly in the Asian countries. The glycemic control conferred by DPP-4 inhibitors varies among individual molecules with an average reduction of glycated hemoglobin (HbA1c) ranging between -0.5 to -1.0% with monotherapy. Additive effects on HbA1c reduction may result from combination therapy with other antidiabetics. Weak evidence from various studies suggests that DPP-4 inhibitors may be useful in treating nonalcoholic fatty liver disease (NAFLD) and polycystic ovary syndrome (PCOS). DPP-4 inhibitors safety is not established in pregnancy, and there is only meagre evidence of its use in T2DM among children. In line with the United States Food and Drug Administration (US FDA) recommendations, sitagliptin, linagliptin, saxagliptin and alogliptin have undergone rigorous cardiovascular outcome trials (CVOTs) in recent years, and the safety data for vildagliptin is available through retrospective analysis of various studies in meta-analysis. Small clinical trial, and meta-analysis based data are available for the CV safety of other DPP-4 inhibitors. In general, the CVOTs and other safety data do not reveal serious warning signals except for saxagliptin (higher risk of hospitalization from heart failure [hHF]), although there is no robust data on the risk of hHF among patients with moderate to severe HF at baseline treated with other DPP-4 inhibitors. This review critically appraises the efficacy and cardiovascular safety of DPP-4 inhibitors to empower clinicians to use this class of antidiabetic medications judiciously.","container-title":"Current Drug Safety","DOI":"10.2174/1574886315999200819150544","ISSN":"2212-3911","issue":"2","journalAbbreviation":"Curr Drug Saf","language":"eng","note":"PMID: 32819262","page":"154-164","source":"PubMed","title":"Efficacy and Cardiovascular Safety of DPP-4 Inhibitors","volume":"16","author":[{"family":"Subrahmanyan","given":"Nikhila A."},{"family":"Koshy","given":"Rithika M."},{"family":"Jacob","given":"Koshy"},{"family":"Pappachan","given":"Joseph M."}],"issued":{"date-parts":[["2021"]]}}}],"schema":"https://github.com/citation-style-language/schema/raw/master/csl-citation.json"} </w:instrText>
      </w:r>
      <w:r>
        <w:fldChar w:fldCharType="separate"/>
      </w:r>
      <w:r w:rsidRPr="00CB6830">
        <w:t>[20]</w:t>
      </w:r>
      <w:r>
        <w:fldChar w:fldCharType="end"/>
      </w:r>
      <w:r>
        <w:t xml:space="preserve">. </w:t>
      </w:r>
    </w:p>
    <w:p w14:paraId="6AC16DC4" w14:textId="1CC0FF5B" w:rsidR="004B1452" w:rsidRDefault="004B1452" w:rsidP="00432B8F">
      <w:pPr>
        <w:ind w:firstLine="709"/>
      </w:pPr>
      <w:r>
        <w:t xml:space="preserve">Общий профиль переносимости/безопасности ДПП-4 лучше, чем других </w:t>
      </w:r>
      <w:r w:rsidR="00B54840" w:rsidRPr="00B54840">
        <w:t>ПССП</w:t>
      </w:r>
      <w:r>
        <w:t xml:space="preserve">, не </w:t>
      </w:r>
      <w:r w:rsidR="00432B8F">
        <w:t>отмечается желудочно</w:t>
      </w:r>
      <w:r>
        <w:t xml:space="preserve">-кишечных побочных эффектов, отмечается минимальный риск развития гипогликемии и отсутствие прибавки в </w:t>
      </w:r>
      <w:r w:rsidR="00C75BC5">
        <w:t>массе тела</w:t>
      </w:r>
      <w:r>
        <w:t xml:space="preserve">. Сердечно-сосудистая безопасность ингибиторов ДПП-4 была продемонстрировано в мета-анализе </w:t>
      </w:r>
      <w:r w:rsidR="00C75BC5">
        <w:t>исследований</w:t>
      </w:r>
      <w:r>
        <w:t xml:space="preserve"> </w:t>
      </w:r>
      <w:r w:rsidR="00C75BC5">
        <w:t xml:space="preserve">3 </w:t>
      </w:r>
      <w:r>
        <w:t>фазы и в дв</w:t>
      </w:r>
      <w:r w:rsidR="00B54840">
        <w:t>ух</w:t>
      </w:r>
      <w:r>
        <w:t xml:space="preserve"> крупных проспективных исследования сердечно-сосудистых исходов. В отличие от классических противодиабетических средств (метформин, производные сульфонилмочевины, глитазоны), ингибиторы ДПП-4 доказали свою эффективность и безопасность для особых групп населения, таких как пожилые люди или больные СД2 с почечной недостаточностью </w:t>
      </w:r>
      <w:r>
        <w:fldChar w:fldCharType="begin"/>
      </w:r>
      <w:r>
        <w:instrText xml:space="preserve"> ADDIN ZOTERO_ITEM CSL_CITATION {"citationID":"O9MzwTAt","properties":{"formattedCitation":"[20,21]","plainCitation":"[20,21]","noteIndex":0},"citationItems":[{"id":3073,"uris":["http://zotero.org/users/5483459/items/KD4JA3AM"],"itemData":{"id":3073,"type":"article-journal","abstract":"Dipeptidyl peptidase-4 (DPP-4) inhibitors or gliptins belong to the class of incretin mimetics. These drugs have been available on the market for the management of type 2 diabetes mellitus (T2DM) for over a decade. Sitagliptin, linagliptin, vildagliptin, saxagliptin and alogliptin are widely available globally, whilst anagliptin, gemigliptin and teneliptin are used mainly in the Asian countries. The glycemic control conferred by DPP-4 inhibitors varies among individual molecules with an average reduction of glycated hemoglobin (HbA1c) ranging between -0.5 to -1.0% with monotherapy. Additive effects on HbA1c reduction may result from combination therapy with other antidiabetics. Weak evidence from various studies suggests that DPP-4 inhibitors may be useful in treating nonalcoholic fatty liver disease (NAFLD) and polycystic ovary syndrome (PCOS). DPP-4 inhibitors safety is not established in pregnancy, and there is only meagre evidence of its use in T2DM among children. In line with the United States Food and Drug Administration (US FDA) recommendations, sitagliptin, linagliptin, saxagliptin and alogliptin have undergone rigorous cardiovascular outcome trials (CVOTs) in recent years, and the safety data for vildagliptin is available through retrospective analysis of various studies in meta-analysis. Small clinical trial, and meta-analysis based data are available for the CV safety of other DPP-4 inhibitors. In general, the CVOTs and other safety data do not reveal serious warning signals except for saxagliptin (higher risk of hospitalization from heart failure [hHF]), although there is no robust data on the risk of hHF among patients with moderate to severe HF at baseline treated with other DPP-4 inhibitors. This review critically appraises the efficacy and cardiovascular safety of DPP-4 inhibitors to empower clinicians to use this class of antidiabetic medications judiciously.","container-title":"Current Drug Safety","DOI":"10.2174/1574886315999200819150544","ISSN":"2212-3911","issue":"2","journalAbbreviation":"Curr Drug Saf","language":"eng","note":"PMID: 32819262","page":"154-164","source":"PubMed","title":"Efficacy and Cardiovascular Safety of DPP-4 Inhibitors","volume":"16","author":[{"family":"Subrahmanyan","given":"Nikhila A."},{"family":"Koshy","given":"Rithika M."},{"family":"Jacob","given":"Koshy"},{"family":"Pappachan","given":"Joseph M."}],"issued":{"date-parts":[["2021"]]}},"label":"page"},{"id":3075,"uris":["http://zotero.org/users/5483459/items/KPT989SS"],"itemData":{"id":3075,"type":"article-journal","abstract":"INTRODUCTION: Dipeptidyl peptidase-4 (DPP-4) inhibitors (gliptins) occupy a growing place in the armamentarium of drugs used for the management of hyperglycemia in type 2 diabetes, although some safety concerns have been raised in recent years.\nAREAS COVERED: An updated review providing an analysis of available safety data (meta-analyses, randomized controlled trials, observational cohort and case-control studies and pharmacovigilance reports) with five commercialized DPP-4 inhibitors (sitagliptin, vildagliptin, saxagliptin, alogliptin, linagliptin). A special focus is given to overall safety profile; pancreatic adverse events (AEs) (acute pancreatitis, pancreatic cancer); overall cardiovascular safety (myocardial infarction and stroke); congestive heart failure concern and finally, safety in special populations (elderly, renal impairment).\nEXPERT OPINION: The good tolerance/safety profile of DPP-4 inhibitors has been largely confirmed, including in more fragile populations (elderly, renal impairment) with almost no increased risk of infection or gastrointestinal AEs, no weight gain and a minimal risk of hypoglycemia. Although an increased risk of acute pancreatitis and pancreatic cancer was suspected, the complete set of available data appears reassuring so far. Cardiovascular safety of DPP-4 inhibitors has been proven but an unexpected increased risk of heart failure has been reported which should be confirmed in ongoing trials and better understood. Further postmarketing surveillance is recommended.","container-title":"Expert Opinion on Drug Safety","DOI":"10.1517/14740338.2015.1006625","ISSN":"1744-764X","issue":"4","journalAbbreviation":"Expert Opin Drug Saf","language":"eng","note":"PMID: 25630605","page":"505-524","source":"PubMed","title":"Safety of dipeptidyl peptidase-4 inhibitors for treating type 2 diabetes","volume":"14","author":[{"family":"Scheen","given":"André J."}],"issued":{"date-parts":[["2015",4]]}},"label":"page"}],"schema":"https://github.com/citation-style-language/schema/raw/master/csl-citation.json"} </w:instrText>
      </w:r>
      <w:r>
        <w:fldChar w:fldCharType="separate"/>
      </w:r>
      <w:r w:rsidRPr="00C05551">
        <w:t>[20,21]</w:t>
      </w:r>
      <w:r>
        <w:fldChar w:fldCharType="end"/>
      </w:r>
      <w:r>
        <w:t xml:space="preserve">. </w:t>
      </w:r>
    </w:p>
    <w:p w14:paraId="199CF76F" w14:textId="65449E66" w:rsidR="004B1452" w:rsidRDefault="004B1452" w:rsidP="00432B8F">
      <w:pPr>
        <w:ind w:firstLine="709"/>
      </w:pPr>
      <w:r>
        <w:t xml:space="preserve">Хотя отчеты по фармаконадзору предполагают более высокий риск острого панкреатита и рака поджелудочной железы, данные из рандомизированных </w:t>
      </w:r>
      <w:r>
        <w:lastRenderedPageBreak/>
        <w:t xml:space="preserve">контролируемых исследований и крупных </w:t>
      </w:r>
      <w:r w:rsidR="00F45663">
        <w:t>на</w:t>
      </w:r>
      <w:r w:rsidR="00CA3463">
        <w:t>блюдательных</w:t>
      </w:r>
      <w:r>
        <w:t xml:space="preserve"> когортных исследований не подтверждают более высокий риск нежелательных явлений со стороны поджелудочной железы при применении ингибиторов ДПП-4 по сравнению с плацебо или активн</w:t>
      </w:r>
      <w:r w:rsidR="00CA3463">
        <w:t xml:space="preserve">ыми препаратами сравнения. </w:t>
      </w:r>
      <w:r>
        <w:t xml:space="preserve">Учитывая хороший баланс эффективности/безопасности, ингибиторы ДПП-4 являются безопасным вариантом для лечение гипергликемии при </w:t>
      </w:r>
      <w:r w:rsidR="00B54840">
        <w:t>СД2</w:t>
      </w:r>
      <w:r>
        <w:t xml:space="preserve"> </w:t>
      </w:r>
      <w:r>
        <w:fldChar w:fldCharType="begin"/>
      </w:r>
      <w:r>
        <w:instrText xml:space="preserve"> ADDIN ZOTERO_ITEM CSL_CITATION {"citationID":"PiOYuYKc","properties":{"formattedCitation":"[20,21]","plainCitation":"[20,21]","noteIndex":0},"citationItems":[{"id":3073,"uris":["http://zotero.org/users/5483459/items/KD4JA3AM"],"itemData":{"id":3073,"type":"article-journal","abstract":"Dipeptidyl peptidase-4 (DPP-4) inhibitors or gliptins belong to the class of incretin mimetics. These drugs have been available on the market for the management of type 2 diabetes mellitus (T2DM) for over a decade. Sitagliptin, linagliptin, vildagliptin, saxagliptin and alogliptin are widely available globally, whilst anagliptin, gemigliptin and teneliptin are used mainly in the Asian countries. The glycemic control conferred by DPP-4 inhibitors varies among individual molecules with an average reduction of glycated hemoglobin (HbA1c) ranging between -0.5 to -1.0% with monotherapy. Additive effects on HbA1c reduction may result from combination therapy with other antidiabetics. Weak evidence from various studies suggests that DPP-4 inhibitors may be useful in treating nonalcoholic fatty liver disease (NAFLD) and polycystic ovary syndrome (PCOS). DPP-4 inhibitors safety is not established in pregnancy, and there is only meagre evidence of its use in T2DM among children. In line with the United States Food and Drug Administration (US FDA) recommendations, sitagliptin, linagliptin, saxagliptin and alogliptin have undergone rigorous cardiovascular outcome trials (CVOTs) in recent years, and the safety data for vildagliptin is available through retrospective analysis of various studies in meta-analysis. Small clinical trial, and meta-analysis based data are available for the CV safety of other DPP-4 inhibitors. In general, the CVOTs and other safety data do not reveal serious warning signals except for saxagliptin (higher risk of hospitalization from heart failure [hHF]), although there is no robust data on the risk of hHF among patients with moderate to severe HF at baseline treated with other DPP-4 inhibitors. This review critically appraises the efficacy and cardiovascular safety of DPP-4 inhibitors to empower clinicians to use this class of antidiabetic medications judiciously.","container-title":"Current Drug Safety","DOI":"10.2174/1574886315999200819150544","ISSN":"2212-3911","issue":"2","journalAbbreviation":"Curr Drug Saf","language":"eng","note":"PMID: 32819262","page":"154-164","source":"PubMed","title":"Efficacy and Cardiovascular Safety of DPP-4 Inhibitors","volume":"16","author":[{"family":"Subrahmanyan","given":"Nikhila A."},{"family":"Koshy","given":"Rithika M."},{"family":"Jacob","given":"Koshy"},{"family":"Pappachan","given":"Joseph M."}],"issued":{"date-parts":[["2021"]]}},"label":"page"},{"id":3075,"uris":["http://zotero.org/users/5483459/items/KPT989SS"],"itemData":{"id":3075,"type":"article-journal","abstract":"INTRODUCTION: Dipeptidyl peptidase-4 (DPP-4) inhibitors (gliptins) occupy a growing place in the armamentarium of drugs used for the management of hyperglycemia in type 2 diabetes, although some safety concerns have been raised in recent years.\nAREAS COVERED: An updated review providing an analysis of available safety data (meta-analyses, randomized controlled trials, observational cohort and case-control studies and pharmacovigilance reports) with five commercialized DPP-4 inhibitors (sitagliptin, vildagliptin, saxagliptin, alogliptin, linagliptin). A special focus is given to overall safety profile; pancreatic adverse events (AEs) (acute pancreatitis, pancreatic cancer); overall cardiovascular safety (myocardial infarction and stroke); congestive heart failure concern and finally, safety in special populations (elderly, renal impairment).\nEXPERT OPINION: The good tolerance/safety profile of DPP-4 inhibitors has been largely confirmed, including in more fragile populations (elderly, renal impairment) with almost no increased risk of infection or gastrointestinal AEs, no weight gain and a minimal risk of hypoglycemia. Although an increased risk of acute pancreatitis and pancreatic cancer was suspected, the complete set of available data appears reassuring so far. Cardiovascular safety of DPP-4 inhibitors has been proven but an unexpected increased risk of heart failure has been reported which should be confirmed in ongoing trials and better understood. Further postmarketing surveillance is recommended.","container-title":"Expert Opinion on Drug Safety","DOI":"10.1517/14740338.2015.1006625","ISSN":"1744-764X","issue":"4","journalAbbreviation":"Expert Opin Drug Saf","language":"eng","note":"PMID: 25630605","page":"505-524","source":"PubMed","title":"Safety of dipeptidyl peptidase-4 inhibitors for treating type 2 diabetes","volume":"14","author":[{"family":"Scheen","given":"André J."}],"issued":{"date-parts":[["2015",4]]}},"label":"page"}],"schema":"https://github.com/citation-style-language/schema/raw/master/csl-citation.json"} </w:instrText>
      </w:r>
      <w:r>
        <w:fldChar w:fldCharType="separate"/>
      </w:r>
      <w:r w:rsidRPr="00C05551">
        <w:t>[20,21]</w:t>
      </w:r>
      <w:r>
        <w:fldChar w:fldCharType="end"/>
      </w:r>
      <w:r>
        <w:t>.</w:t>
      </w:r>
    </w:p>
    <w:p w14:paraId="35CD2123" w14:textId="77777777" w:rsidR="004B1452" w:rsidRDefault="004B1452" w:rsidP="004B1452">
      <w:pPr>
        <w:ind w:firstLine="709"/>
      </w:pPr>
    </w:p>
    <w:p w14:paraId="197CFDF4" w14:textId="6684EFAA" w:rsidR="004B1452" w:rsidRDefault="004B1452" w:rsidP="004B1452">
      <w:pPr>
        <w:rPr>
          <w:b/>
          <w:bCs/>
        </w:rPr>
      </w:pPr>
      <w:r w:rsidRPr="00027CCE">
        <w:rPr>
          <w:b/>
          <w:bCs/>
        </w:rPr>
        <w:t>4</w:t>
      </w:r>
      <w:r w:rsidRPr="00837623">
        <w:rPr>
          <w:b/>
          <w:bCs/>
        </w:rPr>
        <w:t>.3.2.2. Препарат-специфичные эффекты</w:t>
      </w:r>
      <w:r w:rsidR="00BC51AA">
        <w:rPr>
          <w:b/>
          <w:bCs/>
        </w:rPr>
        <w:t xml:space="preserve"> по данным регистрационных исследований</w:t>
      </w:r>
    </w:p>
    <w:p w14:paraId="3DDE2D21" w14:textId="77777777" w:rsidR="00255CCA" w:rsidRDefault="00255CCA" w:rsidP="004B1452">
      <w:pPr>
        <w:rPr>
          <w:b/>
          <w:bCs/>
        </w:rPr>
      </w:pPr>
    </w:p>
    <w:p w14:paraId="0E4F7394" w14:textId="77777777" w:rsidR="00CA3463" w:rsidRDefault="00CA3463" w:rsidP="00CA3463">
      <w:pPr>
        <w:pStyle w:val="OT"/>
        <w:spacing w:after="0"/>
        <w:ind w:firstLine="709"/>
        <w:rPr>
          <w:sz w:val="24"/>
          <w:szCs w:val="24"/>
        </w:rPr>
      </w:pPr>
      <w:bookmarkStart w:id="245" w:name="bookmark45"/>
      <w:bookmarkStart w:id="246" w:name="bookmark44"/>
      <w:bookmarkEnd w:id="243"/>
      <w:bookmarkEnd w:id="245"/>
      <w:bookmarkEnd w:id="246"/>
      <w:r w:rsidRPr="00296518">
        <w:rPr>
          <w:sz w:val="24"/>
          <w:szCs w:val="24"/>
        </w:rPr>
        <w:t>В анализ безопасности включены исследования, которые проводились у пациентов с СД 2</w:t>
      </w:r>
      <w:r>
        <w:rPr>
          <w:sz w:val="24"/>
          <w:szCs w:val="24"/>
        </w:rPr>
        <w:t>. В</w:t>
      </w:r>
      <w:r w:rsidRPr="00C41DF0">
        <w:rPr>
          <w:sz w:val="24"/>
          <w:szCs w:val="24"/>
        </w:rPr>
        <w:t>се исследования у пациентов с сахарным диабетом 2 типа включали в общей сложности 6198 пациентов. Из них 4687</w:t>
      </w:r>
      <w:r>
        <w:rPr>
          <w:sz w:val="24"/>
          <w:szCs w:val="24"/>
        </w:rPr>
        <w:t xml:space="preserve"> </w:t>
      </w:r>
      <w:r w:rsidRPr="00C41DF0">
        <w:rPr>
          <w:sz w:val="24"/>
          <w:szCs w:val="24"/>
        </w:rPr>
        <w:t xml:space="preserve">пациентов получали линаглиптин (в любой дозе), а 4040 пациентов получали линаглиптин в дозе 5 мг </w:t>
      </w:r>
      <w:r>
        <w:rPr>
          <w:sz w:val="24"/>
          <w:szCs w:val="24"/>
        </w:rPr>
        <w:t>один раз в день</w:t>
      </w:r>
      <w:r w:rsidRPr="00C41DF0">
        <w:rPr>
          <w:sz w:val="24"/>
          <w:szCs w:val="24"/>
        </w:rPr>
        <w:t>.</w:t>
      </w:r>
      <w:r>
        <w:rPr>
          <w:sz w:val="24"/>
          <w:szCs w:val="24"/>
        </w:rPr>
        <w:t xml:space="preserve"> </w:t>
      </w:r>
      <w:r w:rsidRPr="00C41DF0">
        <w:rPr>
          <w:sz w:val="24"/>
          <w:szCs w:val="24"/>
        </w:rPr>
        <w:t>Из пациентов, получавших линаглиптин в дозе 5 мг, 3430 пациентов подвергались воздействию в течение 6 месяцев или дольше</w:t>
      </w:r>
      <w:r>
        <w:rPr>
          <w:sz w:val="24"/>
          <w:szCs w:val="24"/>
        </w:rPr>
        <w:t xml:space="preserve">, </w:t>
      </w:r>
      <w:r>
        <w:t xml:space="preserve">2390 </w:t>
      </w:r>
      <w:r w:rsidRPr="00C41DF0">
        <w:rPr>
          <w:sz w:val="24"/>
          <w:szCs w:val="24"/>
        </w:rPr>
        <w:t xml:space="preserve">пациентов в течение 12 месяцев или дольше и 536 пациентов в течение 18 месяцев или дольше. </w:t>
      </w:r>
    </w:p>
    <w:p w14:paraId="1911B116" w14:textId="77777777" w:rsidR="00CA3463" w:rsidRPr="00981CA3" w:rsidRDefault="00CA3463" w:rsidP="00CA3463">
      <w:pPr>
        <w:pStyle w:val="OT"/>
        <w:spacing w:after="0"/>
        <w:ind w:firstLine="709"/>
        <w:rPr>
          <w:sz w:val="24"/>
          <w:szCs w:val="24"/>
        </w:rPr>
      </w:pPr>
      <w:bookmarkStart w:id="247" w:name="_Hlk126453340"/>
      <w:r w:rsidRPr="00981CA3">
        <w:rPr>
          <w:sz w:val="24"/>
          <w:szCs w:val="24"/>
        </w:rPr>
        <w:t>Были проведены клинические исследования по оценке безопасности линаглиптина у пациентов с СД 2 типа и тяжелой почечной недостаточностью</w:t>
      </w:r>
      <w:r>
        <w:rPr>
          <w:sz w:val="24"/>
          <w:szCs w:val="24"/>
        </w:rPr>
        <w:t>,</w:t>
      </w:r>
      <w:r w:rsidRPr="00981CA3">
        <w:rPr>
          <w:sz w:val="24"/>
          <w:szCs w:val="24"/>
        </w:rPr>
        <w:t xml:space="preserve"> у пожилых пациентов с СД 2, у пожилых пациентов с СД 2 </w:t>
      </w:r>
      <w:r>
        <w:rPr>
          <w:sz w:val="24"/>
          <w:szCs w:val="24"/>
        </w:rPr>
        <w:t>и</w:t>
      </w:r>
      <w:r w:rsidRPr="00981CA3">
        <w:rPr>
          <w:sz w:val="24"/>
          <w:szCs w:val="24"/>
        </w:rPr>
        <w:t xml:space="preserve"> сердечно-сосудистым заболеванием и/или заболеванием почек</w:t>
      </w:r>
      <w:r>
        <w:rPr>
          <w:sz w:val="24"/>
          <w:szCs w:val="24"/>
        </w:rPr>
        <w:t>.</w:t>
      </w:r>
      <w:r w:rsidRPr="00981CA3">
        <w:rPr>
          <w:sz w:val="24"/>
          <w:szCs w:val="24"/>
        </w:rPr>
        <w:t xml:space="preserve"> </w:t>
      </w:r>
    </w:p>
    <w:p w14:paraId="56C354EF" w14:textId="77777777" w:rsidR="00CA3463" w:rsidRPr="0068712D" w:rsidRDefault="00CA3463" w:rsidP="00CA3463">
      <w:pPr>
        <w:pStyle w:val="4"/>
        <w:spacing w:after="240"/>
        <w:rPr>
          <w:rFonts w:ascii="Times New Roman" w:hAnsi="Times New Roman"/>
          <w:iCs/>
          <w:sz w:val="24"/>
          <w:szCs w:val="24"/>
        </w:rPr>
      </w:pPr>
      <w:bookmarkStart w:id="248" w:name="_Toc126492031"/>
      <w:bookmarkStart w:id="249" w:name="_Toc139362011"/>
      <w:bookmarkEnd w:id="247"/>
      <w:r w:rsidRPr="0068712D">
        <w:rPr>
          <w:rFonts w:ascii="Times New Roman" w:hAnsi="Times New Roman"/>
          <w:iCs/>
          <w:sz w:val="24"/>
          <w:szCs w:val="24"/>
        </w:rPr>
        <w:t>4.3.2.2.1. Оценка долгосрочной безопасности линаглиптина у пациентов с СД 2 типа и тяжелой почечной недостаточностью</w:t>
      </w:r>
      <w:bookmarkEnd w:id="248"/>
      <w:bookmarkEnd w:id="249"/>
      <w:r w:rsidRPr="0068712D">
        <w:rPr>
          <w:rFonts w:ascii="Times New Roman" w:hAnsi="Times New Roman"/>
          <w:iCs/>
          <w:sz w:val="24"/>
          <w:szCs w:val="24"/>
        </w:rPr>
        <w:t xml:space="preserve"> </w:t>
      </w:r>
    </w:p>
    <w:p w14:paraId="1E9E3AA7" w14:textId="2C99E019" w:rsidR="00CA3463" w:rsidRPr="00B578C0" w:rsidRDefault="003E2D86" w:rsidP="00CA3463">
      <w:pPr>
        <w:ind w:firstLine="709"/>
      </w:pPr>
      <w:bookmarkStart w:id="250" w:name="_Hlk121102531"/>
      <w:r>
        <w:t>П</w:t>
      </w:r>
      <w:r w:rsidR="00CA3463" w:rsidRPr="001B4C32">
        <w:t xml:space="preserve">роведено многоцентровое </w:t>
      </w:r>
      <w:r w:rsidR="00CA3463">
        <w:t>52</w:t>
      </w:r>
      <w:r w:rsidR="00CA3463" w:rsidRPr="001B4C32">
        <w:t xml:space="preserve">-недельное рандомизированное двойное слепое исследование оценки </w:t>
      </w:r>
      <w:r>
        <w:t xml:space="preserve">эффективности </w:t>
      </w:r>
      <w:r w:rsidR="00CA3463" w:rsidRPr="001B4C32">
        <w:t>и безопасности применения линаглиптина у пациентов с СД 2 типа</w:t>
      </w:r>
      <w:r w:rsidR="00CA3463">
        <w:t xml:space="preserve"> и </w:t>
      </w:r>
      <w:r w:rsidR="00CA3463" w:rsidRPr="00894C26">
        <w:t>тяжелой почечной недостаточностью</w:t>
      </w:r>
      <w:r w:rsidR="00CA3463">
        <w:t>.</w:t>
      </w:r>
    </w:p>
    <w:p w14:paraId="373CECBD" w14:textId="77777777" w:rsidR="00CA3463" w:rsidRPr="00894C26" w:rsidRDefault="00CA3463" w:rsidP="00CA3463">
      <w:pPr>
        <w:pStyle w:val="OT"/>
        <w:spacing w:after="0"/>
        <w:ind w:firstLine="709"/>
        <w:rPr>
          <w:sz w:val="24"/>
          <w:szCs w:val="24"/>
        </w:rPr>
      </w:pPr>
      <w:r w:rsidRPr="00894C26">
        <w:rPr>
          <w:sz w:val="24"/>
          <w:szCs w:val="24"/>
        </w:rPr>
        <w:t xml:space="preserve">133 пациента с </w:t>
      </w:r>
      <w:r w:rsidRPr="001B4C32">
        <w:t xml:space="preserve">СД 2 </w:t>
      </w:r>
      <w:r w:rsidRPr="00894C26">
        <w:rPr>
          <w:sz w:val="24"/>
          <w:szCs w:val="24"/>
        </w:rPr>
        <w:t>(HbA1c 7,0–10,0%) и тяжелой почечной недостаточностью (расчетная скорость клубочковой фильтрации [рСКФ] &lt;30 мл/мин/1,73 м</w:t>
      </w:r>
      <w:r w:rsidRPr="00987753">
        <w:rPr>
          <w:sz w:val="24"/>
          <w:szCs w:val="24"/>
          <w:vertAlign w:val="superscript"/>
        </w:rPr>
        <w:t>2</w:t>
      </w:r>
      <w:r w:rsidRPr="00894C26">
        <w:rPr>
          <w:sz w:val="24"/>
          <w:szCs w:val="24"/>
        </w:rPr>
        <w:t>) были рандомизированы в группу линаглиптина 5 мг (n = 68) или плацебо (n = 65) один раз в день</w:t>
      </w:r>
      <w:r>
        <w:rPr>
          <w:sz w:val="24"/>
          <w:szCs w:val="24"/>
        </w:rPr>
        <w:t>,</w:t>
      </w:r>
      <w:r w:rsidRPr="00894C26">
        <w:rPr>
          <w:sz w:val="24"/>
          <w:szCs w:val="24"/>
        </w:rPr>
        <w:t xml:space="preserve"> в дополнение к базовой терапии. </w:t>
      </w:r>
      <w:r>
        <w:rPr>
          <w:sz w:val="24"/>
          <w:szCs w:val="24"/>
        </w:rPr>
        <w:t>После 12 недель лечения пациенты наблюдались с целью оценки безопасности терапии в течение 1 года.</w:t>
      </w:r>
    </w:p>
    <w:p w14:paraId="3752E0DB" w14:textId="77F79630" w:rsidR="00CA3463" w:rsidRPr="00B65A36" w:rsidRDefault="006F474C" w:rsidP="00CA3463">
      <w:pPr>
        <w:pStyle w:val="OT"/>
        <w:spacing w:after="0"/>
        <w:ind w:firstLine="709"/>
        <w:rPr>
          <w:sz w:val="24"/>
          <w:szCs w:val="24"/>
        </w:rPr>
      </w:pPr>
      <w:r>
        <w:rPr>
          <w:sz w:val="24"/>
          <w:szCs w:val="24"/>
        </w:rPr>
        <w:t>О</w:t>
      </w:r>
      <w:r w:rsidR="00CA3463" w:rsidRPr="00894C26">
        <w:rPr>
          <w:sz w:val="24"/>
          <w:szCs w:val="24"/>
        </w:rPr>
        <w:t xml:space="preserve">бщая частота </w:t>
      </w:r>
      <w:r w:rsidR="00CA3463">
        <w:rPr>
          <w:sz w:val="24"/>
          <w:szCs w:val="24"/>
        </w:rPr>
        <w:t>НЯ</w:t>
      </w:r>
      <w:r w:rsidR="00CA3463" w:rsidRPr="00894C26">
        <w:rPr>
          <w:sz w:val="24"/>
          <w:szCs w:val="24"/>
        </w:rPr>
        <w:t xml:space="preserve"> была одинаковой в течение 1 года </w:t>
      </w:r>
      <w:r w:rsidR="00CA3463">
        <w:rPr>
          <w:sz w:val="24"/>
          <w:szCs w:val="24"/>
        </w:rPr>
        <w:t xml:space="preserve">в группе линаглиптина и плацебо </w:t>
      </w:r>
      <w:r w:rsidR="00CA3463" w:rsidRPr="00894C26">
        <w:rPr>
          <w:sz w:val="24"/>
          <w:szCs w:val="24"/>
        </w:rPr>
        <w:t>(94,1 против 92,3%). Частота тяжелой гипогликемии при применении линаглиптина и плацебо была сравнительно низкой (по три пациента в группе). Линаглиптин и плацебо мало влияли на функцию почек (среднее изменение рСКФ -0,8 против -2,2 мл/мин/1,73 м</w:t>
      </w:r>
      <w:r w:rsidR="00CA3463" w:rsidRPr="00C37438">
        <w:rPr>
          <w:sz w:val="24"/>
          <w:szCs w:val="24"/>
          <w:vertAlign w:val="superscript"/>
        </w:rPr>
        <w:t>2</w:t>
      </w:r>
      <w:r w:rsidR="00CA3463" w:rsidRPr="00894C26">
        <w:rPr>
          <w:sz w:val="24"/>
          <w:szCs w:val="24"/>
        </w:rPr>
        <w:t>)</w:t>
      </w:r>
      <w:r w:rsidR="00CA3463">
        <w:rPr>
          <w:sz w:val="24"/>
          <w:szCs w:val="24"/>
        </w:rPr>
        <w:t>.</w:t>
      </w:r>
      <w:r w:rsidR="00CA3463" w:rsidRPr="00894C26">
        <w:rPr>
          <w:sz w:val="24"/>
          <w:szCs w:val="24"/>
        </w:rPr>
        <w:t xml:space="preserve"> </w:t>
      </w:r>
      <w:bookmarkStart w:id="251" w:name="_Hlk126453176"/>
      <w:r w:rsidR="00CA3463" w:rsidRPr="00B65A36">
        <w:rPr>
          <w:sz w:val="24"/>
          <w:szCs w:val="24"/>
        </w:rPr>
        <w:t>У пациентов с СД 2 типа и тяжелой почечной недостаточностью линаглиптин обеспечивал клинически значимое улучшение гликемического контроля с очень низким риском тяжелой гипогликемии, стабильной массой тела и отсутствием случаев почечной недостаточности, связанной с приемом препарата</w:t>
      </w:r>
      <w:bookmarkEnd w:id="251"/>
      <w:r w:rsidR="00CA3463" w:rsidRPr="00B65A36">
        <w:rPr>
          <w:sz w:val="24"/>
          <w:szCs w:val="24"/>
        </w:rPr>
        <w:t xml:space="preserve"> </w:t>
      </w:r>
      <w:r w:rsidR="00CA3463" w:rsidRPr="00B65A36">
        <w:rPr>
          <w:sz w:val="24"/>
          <w:szCs w:val="24"/>
        </w:rPr>
        <w:fldChar w:fldCharType="begin"/>
      </w:r>
      <w:r w:rsidR="00CA3463" w:rsidRPr="00B65A36">
        <w:rPr>
          <w:sz w:val="24"/>
          <w:szCs w:val="24"/>
        </w:rPr>
        <w:instrText xml:space="preserve"> ADDIN ZOTERO_ITEM CSL_CITATION {"citationID":"ruVvUhu3","properties":{"formattedCitation":"[25]","plainCitation":"[25]","noteIndex":0},"citationItems":[{"id":3318,"uris":["http://zotero.org/users/5483459/items/9JCFCFTB"],"itemData":{"id":3318,"type":"article-journal","abstract":"OBJECTIVE\nThis placebo-controlled study assessed long-term efficacy and safety of the dipeptidyl peptidase-4 inhibitor linagliptin in patients with type 2 diabetes and severe renal impairment (RI).\n\nRESEARCH DESIGN AND METHODS\nIn this 1-year, double-blind study, 133 patients with type 2 diabetes (HbA1c 7.0–10.0%) and severe RI (estimated glomerular filtration rate [eGFR] &lt;30 mL/min/1.73 m2) at screening were randomized to linagliptin 5 mg (n = 68) or placebo (n = 65) once daily, added to existing background therapy. The primary efficacy end point was HbA1c change from baseline to week 12. Efficacy and safety end points were assessed after 1 year.\n\nRESULTS\nAt week 12, adjusted mean HbA1c decreased by −0.76% with linagliptin and −0.15% with placebo (treatment difference, −0.60%; 95% CI −0.89 to −0.31; P &lt; 0.0001). HbA1c improvements were sustained with linagliptin (−0.71%) over placebo (0.01%) at 1 year (treatment difference −0.72%, −1.03 to −0.41; P &lt; 0.0001). Mean insulin doses decreased by −6.2 units with linagliptin and −0.3 units with placebo. Overall adverse event incidence was similar over 1 year (94.1 vs. 92.3%). Incidence of severe hypoglycemia with linagliptin and placebo was comparably low (three patients per group). Linagliptin and placebo had little effect on renal function (median change in eGFR, −0.8 vs. −2.2 mL/min/1.73 m2), and no drug-related renal failure occurred.\n\nCONCLUSIONS\nIn patients with type 2 diabetes and severe RI, linagliptin provided clinically meaningful improvements in glycemic control with very low risk of severe hypoglycemia, stable body weight, and no cases of drug-related renal failure. The potential for linagliptin to spare insulin and provide long-term renal safety warrants further investigations.","container-title":"Diabetes Care","DOI":"10.2337/dc12-0706","ISSN":"0149-5992","issue":"2","journalAbbreviation":"Diabetes Care","note":"PMID: 23033241\nPMCID: PMC3554278","page":"237-244","source":"PubMed Central","title":"Long-Term Efficacy and Safety of Linagliptin in Patients With Type 2 Diabetes and Severe Renal Impairment","volume":"36","author":[{"family":"McGill","given":"Janet B."},{"family":"Sloan","given":"Lance"},{"family":"Newman","given":"Jennifer"},{"family":"Patel","given":"Sanjay"},{"family":"Sauce","given":"Christophe"},{"family":"Eynatten","given":"Maximilian","non-dropping-particle":"von"},{"family":"Woerle","given":"Hans-Juergen"}],"issued":{"date-parts":[["2013",2]]}}}],"schema":"https://github.com/citation-style-language/schema/raw/master/csl-citation.json"} </w:instrText>
      </w:r>
      <w:r w:rsidR="00CA3463" w:rsidRPr="00B65A36">
        <w:rPr>
          <w:sz w:val="24"/>
          <w:szCs w:val="24"/>
        </w:rPr>
        <w:fldChar w:fldCharType="separate"/>
      </w:r>
      <w:r w:rsidR="00CA3463" w:rsidRPr="00B65A36">
        <w:rPr>
          <w:sz w:val="24"/>
          <w:szCs w:val="24"/>
        </w:rPr>
        <w:t>[</w:t>
      </w:r>
      <w:r w:rsidR="009113D4" w:rsidRPr="00BE477C">
        <w:rPr>
          <w:sz w:val="24"/>
          <w:szCs w:val="24"/>
        </w:rPr>
        <w:t>1</w:t>
      </w:r>
      <w:r w:rsidR="00CA3463" w:rsidRPr="00B65A36">
        <w:rPr>
          <w:sz w:val="24"/>
          <w:szCs w:val="24"/>
        </w:rPr>
        <w:t>]</w:t>
      </w:r>
      <w:r w:rsidR="00CA3463" w:rsidRPr="00B65A36">
        <w:rPr>
          <w:sz w:val="24"/>
          <w:szCs w:val="24"/>
        </w:rPr>
        <w:fldChar w:fldCharType="end"/>
      </w:r>
      <w:r w:rsidR="00CA3463" w:rsidRPr="00B65A36">
        <w:rPr>
          <w:sz w:val="24"/>
          <w:szCs w:val="24"/>
        </w:rPr>
        <w:t>.</w:t>
      </w:r>
    </w:p>
    <w:p w14:paraId="0189155E" w14:textId="77777777" w:rsidR="00CA3463" w:rsidRPr="0068712D" w:rsidRDefault="00CA3463" w:rsidP="00CA3463">
      <w:pPr>
        <w:pStyle w:val="4"/>
        <w:spacing w:after="240"/>
        <w:rPr>
          <w:rFonts w:ascii="Times New Roman" w:hAnsi="Times New Roman"/>
          <w:iCs/>
          <w:sz w:val="24"/>
          <w:szCs w:val="24"/>
        </w:rPr>
      </w:pPr>
      <w:bookmarkStart w:id="252" w:name="_Toc126492032"/>
      <w:bookmarkStart w:id="253" w:name="_Toc139362012"/>
      <w:r w:rsidRPr="0068712D">
        <w:rPr>
          <w:rFonts w:ascii="Times New Roman" w:hAnsi="Times New Roman"/>
          <w:iCs/>
          <w:sz w:val="24"/>
          <w:szCs w:val="24"/>
        </w:rPr>
        <w:t>4.3.2.2.2. Оценка безопасности линаглиптина у</w:t>
      </w:r>
      <w:r w:rsidRPr="0068712D">
        <w:t xml:space="preserve"> </w:t>
      </w:r>
      <w:r w:rsidRPr="0068712D">
        <w:rPr>
          <w:rFonts w:ascii="Times New Roman" w:hAnsi="Times New Roman"/>
          <w:iCs/>
          <w:sz w:val="24"/>
          <w:szCs w:val="24"/>
        </w:rPr>
        <w:t>пожилых пациентов с СД 2</w:t>
      </w:r>
      <w:bookmarkEnd w:id="252"/>
      <w:bookmarkEnd w:id="253"/>
      <w:r w:rsidRPr="0068712D">
        <w:rPr>
          <w:rFonts w:ascii="Times New Roman" w:hAnsi="Times New Roman"/>
          <w:iCs/>
          <w:sz w:val="24"/>
          <w:szCs w:val="24"/>
        </w:rPr>
        <w:t xml:space="preserve"> </w:t>
      </w:r>
    </w:p>
    <w:p w14:paraId="03056888" w14:textId="010853AB" w:rsidR="00CA3463" w:rsidRPr="00B65A36" w:rsidRDefault="00480BA6" w:rsidP="00CA3463">
      <w:pPr>
        <w:ind w:firstLine="709"/>
      </w:pPr>
      <w:r>
        <w:t>П</w:t>
      </w:r>
      <w:r w:rsidR="00CA3463" w:rsidRPr="00B65A36">
        <w:t>роведено многоцентровое 24-недельное рандомизированное двойное слепое исследование оценки безопасности применения линаглиптина у пожилых пациентов с СД2 типа (ClinicalTrials.gov Identifier: NCT01084005).</w:t>
      </w:r>
    </w:p>
    <w:p w14:paraId="0187D16C" w14:textId="77777777" w:rsidR="00CA3463" w:rsidRPr="00B65A36" w:rsidRDefault="00CA3463" w:rsidP="00CA3463">
      <w:pPr>
        <w:pStyle w:val="OT"/>
        <w:spacing w:after="0"/>
        <w:ind w:firstLine="709"/>
        <w:rPr>
          <w:sz w:val="24"/>
          <w:szCs w:val="24"/>
        </w:rPr>
      </w:pPr>
      <w:r w:rsidRPr="00B65A36">
        <w:rPr>
          <w:sz w:val="24"/>
          <w:szCs w:val="24"/>
        </w:rPr>
        <w:t xml:space="preserve">В исследование были включены пациенты в возрасте 70 лет и старше с СД2 типа, гликированным гемоглобином A1c (HbA1c) 7,0% или более, получавшие метформин, </w:t>
      </w:r>
      <w:r w:rsidRPr="00B65A36">
        <w:rPr>
          <w:sz w:val="24"/>
          <w:szCs w:val="24"/>
        </w:rPr>
        <w:lastRenderedPageBreak/>
        <w:t xml:space="preserve">производные сульфонилмочевины или базальный инсулин или комбинации этих препаратов. Пациенты были рандомизированы в соотношении 2:1 в группу линаглиптина 5 мг или плацебо. </w:t>
      </w:r>
    </w:p>
    <w:p w14:paraId="5279DB0F" w14:textId="74FCC684" w:rsidR="00CA3463" w:rsidRDefault="00CA3463" w:rsidP="00CA3463">
      <w:pPr>
        <w:pStyle w:val="OT"/>
        <w:spacing w:after="0"/>
        <w:ind w:firstLine="709"/>
        <w:rPr>
          <w:sz w:val="24"/>
          <w:szCs w:val="24"/>
        </w:rPr>
      </w:pPr>
      <w:r w:rsidRPr="00B65A36">
        <w:rPr>
          <w:sz w:val="24"/>
          <w:szCs w:val="24"/>
        </w:rPr>
        <w:t xml:space="preserve">Средний возраст пациентов составил 74,9 года (SD 4,3). Среднее значение HbA1c составило 7,8% (стандартное отклонение 0,8). </w:t>
      </w:r>
      <w:r w:rsidR="00480BA6">
        <w:rPr>
          <w:sz w:val="24"/>
          <w:szCs w:val="24"/>
        </w:rPr>
        <w:t>По результатам исследования</w:t>
      </w:r>
      <w:r w:rsidRPr="00B65A36">
        <w:rPr>
          <w:sz w:val="24"/>
          <w:szCs w:val="24"/>
        </w:rPr>
        <w:t>, общая безопасность и</w:t>
      </w:r>
      <w:r w:rsidRPr="00FF2A7A">
        <w:rPr>
          <w:sz w:val="24"/>
          <w:szCs w:val="24"/>
        </w:rPr>
        <w:t xml:space="preserve"> переносимость были практически одинаковыми в группах линаглиптина и плацебо</w:t>
      </w:r>
      <w:r>
        <w:rPr>
          <w:sz w:val="24"/>
          <w:szCs w:val="24"/>
        </w:rPr>
        <w:t>.</w:t>
      </w:r>
      <w:r w:rsidRPr="00FF2A7A">
        <w:rPr>
          <w:sz w:val="24"/>
          <w:szCs w:val="24"/>
        </w:rPr>
        <w:t xml:space="preserve"> </w:t>
      </w:r>
      <w:r>
        <w:rPr>
          <w:sz w:val="24"/>
          <w:szCs w:val="24"/>
        </w:rPr>
        <w:t>НЯ</w:t>
      </w:r>
      <w:r w:rsidRPr="00FF2A7A">
        <w:rPr>
          <w:sz w:val="24"/>
          <w:szCs w:val="24"/>
        </w:rPr>
        <w:t xml:space="preserve"> были отмечены у 75,9% пациентов в обеих группах (линаглиптин n=123, плацебо n=60). </w:t>
      </w:r>
      <w:r>
        <w:rPr>
          <w:sz w:val="24"/>
          <w:szCs w:val="24"/>
        </w:rPr>
        <w:t>СНЯ</w:t>
      </w:r>
      <w:r w:rsidRPr="00FF2A7A">
        <w:rPr>
          <w:sz w:val="24"/>
          <w:szCs w:val="24"/>
        </w:rPr>
        <w:t xml:space="preserve"> наблюдались у 8,6% (14) пациентов в группе линаглиптина и у 6,3% (5) пациентов в группе плацебо</w:t>
      </w:r>
      <w:r>
        <w:rPr>
          <w:sz w:val="24"/>
          <w:szCs w:val="24"/>
        </w:rPr>
        <w:t>,</w:t>
      </w:r>
      <w:r w:rsidRPr="00FF2A7A">
        <w:rPr>
          <w:sz w:val="24"/>
          <w:szCs w:val="24"/>
        </w:rPr>
        <w:t xml:space="preserve"> ни </w:t>
      </w:r>
      <w:r>
        <w:rPr>
          <w:sz w:val="24"/>
          <w:szCs w:val="24"/>
        </w:rPr>
        <w:t>одно СНЯ</w:t>
      </w:r>
      <w:r w:rsidRPr="00FF2A7A">
        <w:rPr>
          <w:sz w:val="24"/>
          <w:szCs w:val="24"/>
        </w:rPr>
        <w:t xml:space="preserve"> не был</w:t>
      </w:r>
      <w:r>
        <w:rPr>
          <w:sz w:val="24"/>
          <w:szCs w:val="24"/>
        </w:rPr>
        <w:t>о</w:t>
      </w:r>
      <w:r w:rsidRPr="00FF2A7A">
        <w:rPr>
          <w:sz w:val="24"/>
          <w:szCs w:val="24"/>
        </w:rPr>
        <w:t xml:space="preserve"> признан</w:t>
      </w:r>
      <w:r>
        <w:rPr>
          <w:sz w:val="24"/>
          <w:szCs w:val="24"/>
        </w:rPr>
        <w:t>о</w:t>
      </w:r>
      <w:r w:rsidRPr="00FF2A7A">
        <w:rPr>
          <w:sz w:val="24"/>
          <w:szCs w:val="24"/>
        </w:rPr>
        <w:t xml:space="preserve"> связанным с исследуемым препаратом. Гипогликемия была наиболее частым </w:t>
      </w:r>
      <w:r>
        <w:rPr>
          <w:sz w:val="24"/>
          <w:szCs w:val="24"/>
        </w:rPr>
        <w:t>НЯ</w:t>
      </w:r>
      <w:r w:rsidRPr="00FF2A7A">
        <w:rPr>
          <w:sz w:val="24"/>
          <w:szCs w:val="24"/>
        </w:rPr>
        <w:t xml:space="preserve"> в обеих группах, но не </w:t>
      </w:r>
      <w:r>
        <w:rPr>
          <w:sz w:val="24"/>
          <w:szCs w:val="24"/>
        </w:rPr>
        <w:t xml:space="preserve">было достоверной разницы между </w:t>
      </w:r>
      <w:r w:rsidRPr="00FF2A7A">
        <w:rPr>
          <w:sz w:val="24"/>
          <w:szCs w:val="24"/>
        </w:rPr>
        <w:t>группами (24,1% [39] в группе линаглиптина, 16,5% [13] в группе плацебо</w:t>
      </w:r>
      <w:r>
        <w:rPr>
          <w:sz w:val="24"/>
          <w:szCs w:val="24"/>
        </w:rPr>
        <w:t>,</w:t>
      </w:r>
      <w:r w:rsidRPr="00FF2A7A">
        <w:rPr>
          <w:sz w:val="24"/>
          <w:szCs w:val="24"/>
        </w:rPr>
        <w:t xml:space="preserve"> </w:t>
      </w:r>
      <w:r>
        <w:rPr>
          <w:sz w:val="24"/>
          <w:szCs w:val="24"/>
        </w:rPr>
        <w:t>ОШ</w:t>
      </w:r>
      <w:r w:rsidRPr="00FF2A7A">
        <w:rPr>
          <w:sz w:val="24"/>
          <w:szCs w:val="24"/>
        </w:rPr>
        <w:t xml:space="preserve"> 1,58, 95% ДИ 0,78–3,78, р=0,2083).</w:t>
      </w:r>
      <w:r>
        <w:rPr>
          <w:sz w:val="24"/>
          <w:szCs w:val="24"/>
        </w:rPr>
        <w:t xml:space="preserve"> </w:t>
      </w:r>
      <w:bookmarkStart w:id="254" w:name="_Hlk126453256"/>
      <w:r>
        <w:rPr>
          <w:sz w:val="24"/>
          <w:szCs w:val="24"/>
        </w:rPr>
        <w:t>У</w:t>
      </w:r>
      <w:r w:rsidRPr="00FF2A7A">
        <w:rPr>
          <w:sz w:val="24"/>
          <w:szCs w:val="24"/>
        </w:rPr>
        <w:t xml:space="preserve"> пожилых пациентов с </w:t>
      </w:r>
      <w:r>
        <w:rPr>
          <w:sz w:val="24"/>
          <w:szCs w:val="24"/>
        </w:rPr>
        <w:t>СД 2</w:t>
      </w:r>
      <w:r w:rsidRPr="00FF2A7A">
        <w:rPr>
          <w:sz w:val="24"/>
          <w:szCs w:val="24"/>
        </w:rPr>
        <w:t xml:space="preserve"> линаглиптин </w:t>
      </w:r>
      <w:r>
        <w:rPr>
          <w:sz w:val="24"/>
          <w:szCs w:val="24"/>
        </w:rPr>
        <w:t xml:space="preserve">в составе комбинированной терапии </w:t>
      </w:r>
      <w:r w:rsidRPr="00FF2A7A">
        <w:rPr>
          <w:sz w:val="24"/>
          <w:szCs w:val="24"/>
        </w:rPr>
        <w:t>эффективно снижал уровень глюкозы</w:t>
      </w:r>
      <w:r>
        <w:rPr>
          <w:sz w:val="24"/>
          <w:szCs w:val="24"/>
        </w:rPr>
        <w:t xml:space="preserve"> </w:t>
      </w:r>
      <w:r w:rsidRPr="00FF2A7A">
        <w:rPr>
          <w:sz w:val="24"/>
          <w:szCs w:val="24"/>
        </w:rPr>
        <w:t xml:space="preserve"> с профилем безопасности, сходным с плацебо</w:t>
      </w:r>
      <w:r>
        <w:rPr>
          <w:sz w:val="24"/>
          <w:szCs w:val="24"/>
        </w:rPr>
        <w:t xml:space="preserve"> </w:t>
      </w:r>
      <w:bookmarkEnd w:id="254"/>
      <w:r>
        <w:rPr>
          <w:sz w:val="24"/>
          <w:szCs w:val="24"/>
        </w:rPr>
        <w:fldChar w:fldCharType="begin"/>
      </w:r>
      <w:r>
        <w:rPr>
          <w:sz w:val="24"/>
          <w:szCs w:val="24"/>
        </w:rPr>
        <w:instrText xml:space="preserve"> ADDIN ZOTERO_ITEM CSL_CITATION {"citationID":"o0Mfr8hs","properties":{"formattedCitation":"[26]","plainCitation":"[26]","noteIndex":0},"citationItems":[{"id":3321,"uris":["http://zotero.org/users/5483459/items/3647CJL5"],"itemData":{"id":3321,"type":"article-journal","abstract":"BACKGROUND: A substantial proportion of patients with type 2 diabetes are elderly (≥65 years) but this group has been largely excluded from clinical studies of glucose-lowering drugs. We aimed to assess the effectiveness of linagliptin, a dipeptidyl peptidase-4 inhibitor, in elderly patients with type 2 diabetes.\nMETHODS: In this randomised, double-blind, parallel-group, multinational phase 3 study, patients aged 70 years or older with type 2 diabetes, glycated haemoglobin A1c (HbA1c) of 7·0% or more, receiving metformin, sulfonylureas, or basal insulin, or combinations of these drugs, were randomised (by computer-generated randomisation sequence, concealed with a voice-response system, stratified by HbA1c level [&lt;8·5% vs ≥8·5%] and insulin use [yes vs no], block size four) in a 2:1 ratio to once-daily oral treatment with linagliptin 5 mg or matching placebo for 24 weeks. Investigators and participants were masked to assignment throughout the study. The primary endpoint was change in HbA1c from baseline to week 24. This trial is registered with ClinicalTrials.gov, number NCT01084005.\nFINDINGS: 241 community-living outpatients were randomised (162 linagliptin, 79 placebo). Mean age was 74·9 years (SD 4·3). Mean HbA1c was 7·8% (SD 0·8). At week 24, placebo-adjusted mean change in HbA1c with linagliptin was -0·64% (95% CI -0·81 to -0·48, p&lt;0·0001). Overall safety and tolerability were much the same between the linagliptin and placebo groups; 75·9% of patients in both groups had an adverse event (linagliptin n=123, placebo n=60). No deaths occurred. Serious adverse events occurred in 8·6% (14) of patients in the linagliptin group and 6·3% (five) patients in the placebo group; none were deemed related to study drug. Hypoglycaemia was the most common adverse event in both groups, but did not differ between groups (24·1% [39] in the linagliptin group, 16·5% [13] in the placebo group; odds ratio 1·58, 95% CI 0·78-3·78, p=0·2083).\nINTERPRETATION: In elderly patients with type 2 diabetes linagliptin was efficacious in lowering glucose with a safety profile similar to placebo. These findings could inform treatment decisions for achieving individualised glycaemic goals with minimal risk in this important population of patients.\nFUNDING: Boehringer Ingelheim.","container-title":"Lancet (London, England)","DOI":"10.1016/S0140-6736(13)61500-7","ISSN":"1474-547X","issue":"9902","journalAbbreviation":"Lancet","language":"eng","note":"PMID: 23948125","page":"1413-1423","source":"PubMed","title":"Linagliptin for patients aged 70 years or older with type 2 diabetes inadequately controlled with common antidiabetes treatments: a randomised, double-blind, placebo-controlled trial","title-short":"Linagliptin for patients aged 70 years or older with type 2 diabetes inadequately controlled with common antidiabetes treatments","volume":"382","author":[{"family":"Barnett","given":"Anthony H."},{"family":"Huisman","given":"Holger"},{"family":"Jones","given":"Russell"},{"family":"Eynatten","given":"Maximilian","non-dropping-particle":"von"},{"family":"Patel","given":"Sanjay"},{"family":"Woerle","given":"Hans-Juergen"}],"issued":{"date-parts":[["2013",10,26]]}}}],"schema":"https://github.com/citation-style-language/schema/raw/master/csl-citation.json"} </w:instrText>
      </w:r>
      <w:r>
        <w:rPr>
          <w:sz w:val="24"/>
          <w:szCs w:val="24"/>
        </w:rPr>
        <w:fldChar w:fldCharType="separate"/>
      </w:r>
      <w:r w:rsidRPr="000F337C">
        <w:rPr>
          <w:sz w:val="24"/>
        </w:rPr>
        <w:t>[</w:t>
      </w:r>
      <w:r w:rsidR="0071208E" w:rsidRPr="00BE477C">
        <w:rPr>
          <w:sz w:val="24"/>
        </w:rPr>
        <w:t>1</w:t>
      </w:r>
      <w:r w:rsidRPr="000F337C">
        <w:rPr>
          <w:sz w:val="24"/>
        </w:rPr>
        <w:t>]</w:t>
      </w:r>
      <w:r>
        <w:rPr>
          <w:sz w:val="24"/>
          <w:szCs w:val="24"/>
        </w:rPr>
        <w:fldChar w:fldCharType="end"/>
      </w:r>
      <w:r>
        <w:rPr>
          <w:sz w:val="24"/>
          <w:szCs w:val="24"/>
        </w:rPr>
        <w:t>.</w:t>
      </w:r>
    </w:p>
    <w:p w14:paraId="27D5B034" w14:textId="77777777" w:rsidR="00CA3463" w:rsidRPr="0068712D" w:rsidRDefault="00CA3463" w:rsidP="00CA3463">
      <w:pPr>
        <w:pStyle w:val="4"/>
        <w:spacing w:after="240"/>
        <w:rPr>
          <w:rFonts w:ascii="Times New Roman" w:hAnsi="Times New Roman"/>
          <w:iCs/>
          <w:sz w:val="24"/>
          <w:szCs w:val="24"/>
        </w:rPr>
      </w:pPr>
      <w:bookmarkStart w:id="255" w:name="_Toc126492033"/>
      <w:bookmarkStart w:id="256" w:name="_Toc139362013"/>
      <w:r w:rsidRPr="0068712D">
        <w:rPr>
          <w:rFonts w:ascii="Times New Roman" w:hAnsi="Times New Roman"/>
          <w:iCs/>
          <w:sz w:val="24"/>
          <w:szCs w:val="24"/>
        </w:rPr>
        <w:t>4.3.2.2.3. Оценка долгосрочной безопасности линаглиптина у пожилых пациентов с СД 2 с сердечно-сосудистым заболеванием и/или заболеванием почек</w:t>
      </w:r>
      <w:bookmarkEnd w:id="255"/>
      <w:bookmarkEnd w:id="256"/>
      <w:r w:rsidRPr="0068712D">
        <w:rPr>
          <w:rFonts w:ascii="Times New Roman" w:hAnsi="Times New Roman"/>
          <w:iCs/>
          <w:sz w:val="24"/>
          <w:szCs w:val="24"/>
        </w:rPr>
        <w:t xml:space="preserve"> </w:t>
      </w:r>
    </w:p>
    <w:p w14:paraId="2AFFD868" w14:textId="34869C38" w:rsidR="00734AC8" w:rsidRPr="00734AC8" w:rsidRDefault="009B7AB3" w:rsidP="00C2163C">
      <w:pPr>
        <w:pStyle w:val="OT"/>
        <w:spacing w:after="0"/>
        <w:ind w:firstLine="709"/>
        <w:rPr>
          <w:sz w:val="24"/>
          <w:szCs w:val="24"/>
        </w:rPr>
      </w:pPr>
      <w:r>
        <w:rPr>
          <w:sz w:val="24"/>
          <w:szCs w:val="24"/>
        </w:rPr>
        <w:t>П</w:t>
      </w:r>
      <w:r w:rsidR="00CA3463" w:rsidRPr="00837C27">
        <w:rPr>
          <w:sz w:val="24"/>
          <w:szCs w:val="24"/>
        </w:rPr>
        <w:t>роведено многоцентровое 24-недельное рандомизированное двойное слепое исследование оценки безопасности применения линаглиптина у пожилых пациентов с СД2 с сердечно-сосудистым заболеванием и/или заболеванием почек</w:t>
      </w:r>
      <w:r w:rsidR="00CA3463">
        <w:rPr>
          <w:sz w:val="24"/>
          <w:szCs w:val="24"/>
        </w:rPr>
        <w:t xml:space="preserve"> (</w:t>
      </w:r>
      <w:r w:rsidR="00CA3463" w:rsidRPr="00165627">
        <w:rPr>
          <w:sz w:val="24"/>
          <w:szCs w:val="24"/>
        </w:rPr>
        <w:t>ClinicalTrials.gov Identifier: NCT01897532</w:t>
      </w:r>
      <w:r w:rsidR="00734AC8">
        <w:rPr>
          <w:sz w:val="24"/>
          <w:szCs w:val="24"/>
        </w:rPr>
        <w:t xml:space="preserve">, </w:t>
      </w:r>
      <w:r w:rsidR="00734AC8">
        <w:rPr>
          <w:sz w:val="24"/>
          <w:szCs w:val="24"/>
          <w:lang w:val="en-US"/>
        </w:rPr>
        <w:t>CARMELINA</w:t>
      </w:r>
      <w:r w:rsidR="00CA3463">
        <w:rPr>
          <w:sz w:val="24"/>
          <w:szCs w:val="24"/>
        </w:rPr>
        <w:t xml:space="preserve">). </w:t>
      </w:r>
      <w:r w:rsidR="00734AC8">
        <w:rPr>
          <w:sz w:val="24"/>
          <w:szCs w:val="24"/>
        </w:rPr>
        <w:t xml:space="preserve">Всего в исследование включено 6979 пациентов, которым назначали линаглиптин в дозе </w:t>
      </w:r>
      <w:r w:rsidR="00734AC8" w:rsidRPr="00734AC8">
        <w:rPr>
          <w:sz w:val="24"/>
          <w:szCs w:val="24"/>
        </w:rPr>
        <w:t xml:space="preserve">5 мг (3494) или плацебо (3485) </w:t>
      </w:r>
      <w:r w:rsidR="00734AC8">
        <w:rPr>
          <w:sz w:val="24"/>
          <w:szCs w:val="24"/>
        </w:rPr>
        <w:t>в качестве дополнительной терапии к</w:t>
      </w:r>
      <w:r w:rsidR="00734AC8" w:rsidRPr="00734AC8">
        <w:rPr>
          <w:sz w:val="24"/>
          <w:szCs w:val="24"/>
        </w:rPr>
        <w:t xml:space="preserve"> </w:t>
      </w:r>
      <w:r w:rsidR="006F1F5A">
        <w:rPr>
          <w:sz w:val="24"/>
          <w:szCs w:val="24"/>
        </w:rPr>
        <w:t>препаратам, ранее назначенным согласно региональным стандартам при</w:t>
      </w:r>
      <w:r w:rsidR="00734AC8" w:rsidRPr="00734AC8">
        <w:rPr>
          <w:sz w:val="24"/>
          <w:szCs w:val="24"/>
        </w:rPr>
        <w:t xml:space="preserve"> </w:t>
      </w:r>
      <w:r w:rsidR="00285EDC">
        <w:rPr>
          <w:sz w:val="24"/>
          <w:szCs w:val="24"/>
        </w:rPr>
        <w:t>повышенном</w:t>
      </w:r>
      <w:r w:rsidR="00734AC8" w:rsidRPr="00734AC8">
        <w:rPr>
          <w:sz w:val="24"/>
          <w:szCs w:val="24"/>
        </w:rPr>
        <w:t xml:space="preserve"> HbA1c</w:t>
      </w:r>
      <w:r w:rsidR="00285EDC">
        <w:rPr>
          <w:sz w:val="24"/>
          <w:szCs w:val="24"/>
        </w:rPr>
        <w:t xml:space="preserve">, наличии факторов риска сердечно-сосудистых заболеваний или </w:t>
      </w:r>
      <w:r w:rsidR="00734AC8" w:rsidRPr="00734AC8">
        <w:rPr>
          <w:sz w:val="24"/>
          <w:szCs w:val="24"/>
        </w:rPr>
        <w:t>почечн</w:t>
      </w:r>
      <w:r w:rsidR="00285EDC">
        <w:rPr>
          <w:sz w:val="24"/>
          <w:szCs w:val="24"/>
        </w:rPr>
        <w:t>ой</w:t>
      </w:r>
      <w:r w:rsidR="00734AC8" w:rsidRPr="00734AC8">
        <w:rPr>
          <w:sz w:val="24"/>
          <w:szCs w:val="24"/>
        </w:rPr>
        <w:t xml:space="preserve"> недостаточност</w:t>
      </w:r>
      <w:r w:rsidR="00285EDC">
        <w:rPr>
          <w:sz w:val="24"/>
          <w:szCs w:val="24"/>
        </w:rPr>
        <w:t>и</w:t>
      </w:r>
      <w:r w:rsidR="00734AC8" w:rsidRPr="00734AC8">
        <w:rPr>
          <w:sz w:val="24"/>
          <w:szCs w:val="24"/>
        </w:rPr>
        <w:t>. Исследуемая популяция включала 1211 (17,4%</w:t>
      </w:r>
      <w:r w:rsidR="00285EDC">
        <w:rPr>
          <w:sz w:val="24"/>
          <w:szCs w:val="24"/>
        </w:rPr>
        <w:t xml:space="preserve">) пациентов в возрасте ≥ 75 лет </w:t>
      </w:r>
      <w:r w:rsidR="00734AC8" w:rsidRPr="00734AC8">
        <w:rPr>
          <w:sz w:val="24"/>
          <w:szCs w:val="24"/>
        </w:rPr>
        <w:t xml:space="preserve">и 4348 (62,3%) пациентов с почечной недостаточностью. Приблизительно </w:t>
      </w:r>
      <w:r w:rsidR="00C2163C">
        <w:rPr>
          <w:sz w:val="24"/>
          <w:szCs w:val="24"/>
        </w:rPr>
        <w:t xml:space="preserve">у </w:t>
      </w:r>
      <w:r w:rsidR="00734AC8" w:rsidRPr="00734AC8">
        <w:rPr>
          <w:sz w:val="24"/>
          <w:szCs w:val="24"/>
        </w:rPr>
        <w:t xml:space="preserve">19% </w:t>
      </w:r>
      <w:r w:rsidR="00285EDC">
        <w:rPr>
          <w:sz w:val="24"/>
          <w:szCs w:val="24"/>
        </w:rPr>
        <w:t>включенных пациентов</w:t>
      </w:r>
      <w:r w:rsidR="00734AC8" w:rsidRPr="00734AC8">
        <w:rPr>
          <w:sz w:val="24"/>
          <w:szCs w:val="24"/>
        </w:rPr>
        <w:t xml:space="preserve"> </w:t>
      </w:r>
      <w:r w:rsidR="00C2163C">
        <w:rPr>
          <w:sz w:val="24"/>
          <w:szCs w:val="24"/>
        </w:rPr>
        <w:t xml:space="preserve">значение рСКФ </w:t>
      </w:r>
      <w:r w:rsidR="00734AC8" w:rsidRPr="00734AC8">
        <w:rPr>
          <w:sz w:val="24"/>
          <w:szCs w:val="24"/>
        </w:rPr>
        <w:t>≥45 до &lt;60 мл/мин/1,73 м</w:t>
      </w:r>
      <w:r w:rsidR="00734AC8" w:rsidRPr="00C2163C">
        <w:rPr>
          <w:sz w:val="24"/>
          <w:szCs w:val="24"/>
          <w:vertAlign w:val="superscript"/>
        </w:rPr>
        <w:t>2</w:t>
      </w:r>
      <w:r w:rsidR="00C2163C">
        <w:rPr>
          <w:sz w:val="24"/>
          <w:szCs w:val="24"/>
        </w:rPr>
        <w:t xml:space="preserve">, у </w:t>
      </w:r>
      <w:r w:rsidR="00734AC8" w:rsidRPr="00734AC8">
        <w:rPr>
          <w:sz w:val="24"/>
          <w:szCs w:val="24"/>
        </w:rPr>
        <w:t>28% рСКФ от ≥30 до &lt;45 мл/мин/1,73 м</w:t>
      </w:r>
      <w:r w:rsidR="00734AC8" w:rsidRPr="00C2163C">
        <w:rPr>
          <w:sz w:val="24"/>
          <w:szCs w:val="24"/>
          <w:vertAlign w:val="superscript"/>
        </w:rPr>
        <w:t>2</w:t>
      </w:r>
      <w:r w:rsidR="00C2163C">
        <w:rPr>
          <w:sz w:val="24"/>
          <w:szCs w:val="24"/>
        </w:rPr>
        <w:t xml:space="preserve">, </w:t>
      </w:r>
      <w:r w:rsidR="00734AC8" w:rsidRPr="00734AC8">
        <w:rPr>
          <w:sz w:val="24"/>
          <w:szCs w:val="24"/>
        </w:rPr>
        <w:t xml:space="preserve">и </w:t>
      </w:r>
      <w:r w:rsidR="00C2163C">
        <w:rPr>
          <w:sz w:val="24"/>
          <w:szCs w:val="24"/>
        </w:rPr>
        <w:t>у 15% рСКФ &lt;</w:t>
      </w:r>
      <w:r w:rsidR="00734AC8" w:rsidRPr="00734AC8">
        <w:rPr>
          <w:sz w:val="24"/>
          <w:szCs w:val="24"/>
        </w:rPr>
        <w:t>30 мл/мин/1,73 м</w:t>
      </w:r>
      <w:r w:rsidR="00734AC8" w:rsidRPr="00C2163C">
        <w:rPr>
          <w:sz w:val="24"/>
          <w:szCs w:val="24"/>
          <w:vertAlign w:val="superscript"/>
        </w:rPr>
        <w:t>2</w:t>
      </w:r>
      <w:r w:rsidR="00C2163C">
        <w:rPr>
          <w:sz w:val="24"/>
          <w:szCs w:val="24"/>
        </w:rPr>
        <w:t xml:space="preserve">. </w:t>
      </w:r>
      <w:r w:rsidR="00734AC8" w:rsidRPr="00734AC8">
        <w:rPr>
          <w:sz w:val="24"/>
          <w:szCs w:val="24"/>
        </w:rPr>
        <w:t>Среднее значение HbA1c на исходном уровне составляло 8,0%.</w:t>
      </w:r>
    </w:p>
    <w:p w14:paraId="727F1118" w14:textId="615A6308" w:rsidR="00734AC8" w:rsidRPr="00734AC8" w:rsidRDefault="00734AC8" w:rsidP="00CE10F1">
      <w:pPr>
        <w:pStyle w:val="OT"/>
        <w:spacing w:after="0"/>
        <w:ind w:firstLine="709"/>
        <w:rPr>
          <w:sz w:val="24"/>
          <w:szCs w:val="24"/>
        </w:rPr>
      </w:pPr>
      <w:r w:rsidRPr="00734AC8">
        <w:rPr>
          <w:sz w:val="24"/>
          <w:szCs w:val="24"/>
        </w:rPr>
        <w:t xml:space="preserve">Исследование было разработано для демонстрации не меньшей эффективности в отношении </w:t>
      </w:r>
      <w:r w:rsidR="00D04CA4">
        <w:rPr>
          <w:sz w:val="24"/>
          <w:szCs w:val="24"/>
        </w:rPr>
        <w:t xml:space="preserve">комбинированной </w:t>
      </w:r>
      <w:r w:rsidRPr="00734AC8">
        <w:rPr>
          <w:sz w:val="24"/>
          <w:szCs w:val="24"/>
        </w:rPr>
        <w:t>первичной конечной точки</w:t>
      </w:r>
      <w:r w:rsidR="00D04CA4">
        <w:rPr>
          <w:sz w:val="24"/>
          <w:szCs w:val="24"/>
        </w:rPr>
        <w:t xml:space="preserve"> по сердечно-сосудистым </w:t>
      </w:r>
      <w:r w:rsidR="00CE10F1">
        <w:rPr>
          <w:sz w:val="24"/>
          <w:szCs w:val="24"/>
        </w:rPr>
        <w:t>событиям</w:t>
      </w:r>
      <w:r w:rsidR="00D04CA4">
        <w:rPr>
          <w:sz w:val="24"/>
          <w:szCs w:val="24"/>
        </w:rPr>
        <w:t>, которая включала следующие события: первый случай</w:t>
      </w:r>
      <w:r w:rsidRPr="00734AC8">
        <w:rPr>
          <w:sz w:val="24"/>
          <w:szCs w:val="24"/>
        </w:rPr>
        <w:t xml:space="preserve"> смерти от сердечно-сосудистых заболеваний или нефатального инфаркта миокарда</w:t>
      </w:r>
      <w:r w:rsidR="002E0001">
        <w:rPr>
          <w:sz w:val="24"/>
          <w:szCs w:val="24"/>
        </w:rPr>
        <w:t xml:space="preserve"> </w:t>
      </w:r>
      <w:r w:rsidRPr="00734AC8">
        <w:rPr>
          <w:sz w:val="24"/>
          <w:szCs w:val="24"/>
        </w:rPr>
        <w:t>(ИМ) или несм</w:t>
      </w:r>
      <w:r w:rsidR="002E0001">
        <w:rPr>
          <w:sz w:val="24"/>
          <w:szCs w:val="24"/>
        </w:rPr>
        <w:t xml:space="preserve">ертельного инсульта. Комбинированная </w:t>
      </w:r>
      <w:r w:rsidR="002E0001" w:rsidRPr="00734AC8">
        <w:rPr>
          <w:sz w:val="24"/>
          <w:szCs w:val="24"/>
        </w:rPr>
        <w:t>первичн</w:t>
      </w:r>
      <w:r w:rsidR="002E0001">
        <w:rPr>
          <w:sz w:val="24"/>
          <w:szCs w:val="24"/>
        </w:rPr>
        <w:t>ая</w:t>
      </w:r>
      <w:r w:rsidR="002E0001" w:rsidRPr="00734AC8">
        <w:rPr>
          <w:sz w:val="24"/>
          <w:szCs w:val="24"/>
        </w:rPr>
        <w:t xml:space="preserve"> конечн</w:t>
      </w:r>
      <w:r w:rsidR="002E0001">
        <w:rPr>
          <w:sz w:val="24"/>
          <w:szCs w:val="24"/>
        </w:rPr>
        <w:t>ая</w:t>
      </w:r>
      <w:r w:rsidR="002E0001" w:rsidRPr="00734AC8">
        <w:rPr>
          <w:sz w:val="24"/>
          <w:szCs w:val="24"/>
        </w:rPr>
        <w:t xml:space="preserve"> точк</w:t>
      </w:r>
      <w:r w:rsidR="002E0001">
        <w:rPr>
          <w:sz w:val="24"/>
          <w:szCs w:val="24"/>
        </w:rPr>
        <w:t xml:space="preserve">а по </w:t>
      </w:r>
      <w:r w:rsidR="00CE10F1">
        <w:rPr>
          <w:sz w:val="24"/>
          <w:szCs w:val="24"/>
        </w:rPr>
        <w:t>почечным событиям определялась</w:t>
      </w:r>
      <w:r w:rsidRPr="00734AC8">
        <w:rPr>
          <w:sz w:val="24"/>
          <w:szCs w:val="24"/>
        </w:rPr>
        <w:t xml:space="preserve"> как почечная смерть или</w:t>
      </w:r>
      <w:r w:rsidR="00CE10F1">
        <w:rPr>
          <w:sz w:val="24"/>
          <w:szCs w:val="24"/>
        </w:rPr>
        <w:t xml:space="preserve"> </w:t>
      </w:r>
      <w:r w:rsidRPr="00734AC8">
        <w:rPr>
          <w:sz w:val="24"/>
          <w:szCs w:val="24"/>
        </w:rPr>
        <w:t>устойчивая терминальная стадия почечной недостаточности или устойчивое снижение рСКФ на 40% и более.</w:t>
      </w:r>
    </w:p>
    <w:p w14:paraId="2C537561" w14:textId="41BECBB2" w:rsidR="00734AC8" w:rsidRDefault="00734AC8" w:rsidP="00041586">
      <w:pPr>
        <w:pStyle w:val="OT"/>
        <w:spacing w:after="0"/>
        <w:ind w:firstLine="709"/>
        <w:rPr>
          <w:sz w:val="24"/>
          <w:szCs w:val="24"/>
        </w:rPr>
      </w:pPr>
      <w:r w:rsidRPr="00734AC8">
        <w:rPr>
          <w:sz w:val="24"/>
          <w:szCs w:val="24"/>
        </w:rPr>
        <w:t xml:space="preserve">При медиане наблюдения 2,2 года линаглиптин при добавлении к </w:t>
      </w:r>
      <w:r w:rsidR="0064593E">
        <w:rPr>
          <w:sz w:val="24"/>
          <w:szCs w:val="24"/>
        </w:rPr>
        <w:t xml:space="preserve">стандартной терапии не увеличивал риск </w:t>
      </w:r>
      <w:r w:rsidRPr="00734AC8">
        <w:rPr>
          <w:sz w:val="24"/>
          <w:szCs w:val="24"/>
        </w:rPr>
        <w:t xml:space="preserve">серьезных неблагоприятных сердечно-сосудистых событий или почечных исходов. Не </w:t>
      </w:r>
      <w:r w:rsidR="0064593E">
        <w:rPr>
          <w:sz w:val="24"/>
          <w:szCs w:val="24"/>
        </w:rPr>
        <w:t xml:space="preserve">отмечалось повышенного риска </w:t>
      </w:r>
      <w:r w:rsidRPr="00734AC8">
        <w:rPr>
          <w:sz w:val="24"/>
          <w:szCs w:val="24"/>
        </w:rPr>
        <w:t>госпитализаци</w:t>
      </w:r>
      <w:r w:rsidR="0064593E">
        <w:rPr>
          <w:sz w:val="24"/>
          <w:szCs w:val="24"/>
        </w:rPr>
        <w:t>и</w:t>
      </w:r>
      <w:r w:rsidRPr="00734AC8">
        <w:rPr>
          <w:sz w:val="24"/>
          <w:szCs w:val="24"/>
        </w:rPr>
        <w:t xml:space="preserve"> по поводу сердечной недостаточности, которая была дополнительной оцениваемой конечной точкой</w:t>
      </w:r>
      <w:r w:rsidR="0064593E">
        <w:rPr>
          <w:sz w:val="24"/>
          <w:szCs w:val="24"/>
        </w:rPr>
        <w:t>,</w:t>
      </w:r>
      <w:r w:rsidRPr="00734AC8">
        <w:rPr>
          <w:sz w:val="24"/>
          <w:szCs w:val="24"/>
        </w:rPr>
        <w:t xml:space="preserve"> по сравнению с</w:t>
      </w:r>
      <w:r w:rsidR="0064593E">
        <w:rPr>
          <w:sz w:val="24"/>
          <w:szCs w:val="24"/>
        </w:rPr>
        <w:t xml:space="preserve"> </w:t>
      </w:r>
      <w:r w:rsidRPr="00734AC8">
        <w:rPr>
          <w:sz w:val="24"/>
          <w:szCs w:val="24"/>
        </w:rPr>
        <w:t>пациент</w:t>
      </w:r>
      <w:r w:rsidR="0064593E">
        <w:rPr>
          <w:sz w:val="24"/>
          <w:szCs w:val="24"/>
        </w:rPr>
        <w:t>ами</w:t>
      </w:r>
      <w:r w:rsidR="00C878FE">
        <w:rPr>
          <w:sz w:val="24"/>
          <w:szCs w:val="24"/>
        </w:rPr>
        <w:t xml:space="preserve"> с сахарным диабетом 2 типа, которым линаглиптин не назначался </w:t>
      </w:r>
      <w:r w:rsidRPr="00734AC8">
        <w:rPr>
          <w:sz w:val="24"/>
          <w:szCs w:val="24"/>
        </w:rPr>
        <w:t xml:space="preserve">(см. таблицу </w:t>
      </w:r>
      <w:r w:rsidR="00865DA0">
        <w:rPr>
          <w:sz w:val="24"/>
          <w:szCs w:val="24"/>
        </w:rPr>
        <w:t>4-</w:t>
      </w:r>
      <w:r w:rsidRPr="00734AC8">
        <w:rPr>
          <w:sz w:val="24"/>
          <w:szCs w:val="24"/>
        </w:rPr>
        <w:t>2)</w:t>
      </w:r>
      <w:r w:rsidR="0068712D">
        <w:rPr>
          <w:sz w:val="24"/>
          <w:szCs w:val="24"/>
        </w:rPr>
        <w:t xml:space="preserve"> </w:t>
      </w:r>
      <w:r w:rsidR="0068712D" w:rsidRPr="0068712D">
        <w:rPr>
          <w:sz w:val="24"/>
          <w:szCs w:val="24"/>
        </w:rPr>
        <w:t>[1]</w:t>
      </w:r>
      <w:r w:rsidRPr="00734AC8">
        <w:rPr>
          <w:sz w:val="24"/>
          <w:szCs w:val="24"/>
        </w:rPr>
        <w:t>.</w:t>
      </w:r>
    </w:p>
    <w:p w14:paraId="3900B2D8" w14:textId="77777777" w:rsidR="00041586" w:rsidRPr="00734AC8" w:rsidRDefault="00041586" w:rsidP="00041586">
      <w:pPr>
        <w:pStyle w:val="OT"/>
        <w:spacing w:after="0"/>
        <w:ind w:firstLine="709"/>
        <w:rPr>
          <w:sz w:val="24"/>
          <w:szCs w:val="24"/>
        </w:rPr>
      </w:pPr>
    </w:p>
    <w:p w14:paraId="51A3ADB2" w14:textId="77777777" w:rsidR="00041586" w:rsidRDefault="00041586">
      <w:pPr>
        <w:rPr>
          <w:rFonts w:eastAsia="Times New Roman"/>
          <w:b/>
          <w:snapToGrid w:val="0"/>
          <w:lang w:eastAsia="ru-RU"/>
        </w:rPr>
      </w:pPr>
      <w:r>
        <w:rPr>
          <w:b/>
        </w:rPr>
        <w:br w:type="page"/>
      </w:r>
    </w:p>
    <w:p w14:paraId="4FB43B0E" w14:textId="7E291F57" w:rsidR="00BE34EC" w:rsidRDefault="00734AC8" w:rsidP="00041586">
      <w:pPr>
        <w:pStyle w:val="OT"/>
        <w:spacing w:after="0"/>
        <w:rPr>
          <w:sz w:val="24"/>
          <w:szCs w:val="24"/>
        </w:rPr>
      </w:pPr>
      <w:r w:rsidRPr="00041586">
        <w:rPr>
          <w:b/>
          <w:sz w:val="24"/>
          <w:szCs w:val="24"/>
        </w:rPr>
        <w:lastRenderedPageBreak/>
        <w:t xml:space="preserve">Таблица </w:t>
      </w:r>
      <w:r w:rsidR="00041586" w:rsidRPr="00041586">
        <w:rPr>
          <w:b/>
          <w:sz w:val="24"/>
          <w:szCs w:val="24"/>
        </w:rPr>
        <w:t>4-</w:t>
      </w:r>
      <w:r w:rsidRPr="00041586">
        <w:rPr>
          <w:b/>
          <w:sz w:val="24"/>
          <w:szCs w:val="24"/>
        </w:rPr>
        <w:t>2.</w:t>
      </w:r>
      <w:r w:rsidRPr="00734AC8">
        <w:rPr>
          <w:sz w:val="24"/>
          <w:szCs w:val="24"/>
        </w:rPr>
        <w:t xml:space="preserve"> Сердечно-сосудистые и почечные исходы в зависимости от группы лечения в исследовании CARMELINA</w:t>
      </w:r>
      <w:r w:rsidR="0068712D" w:rsidRPr="0068712D">
        <w:rPr>
          <w:sz w:val="24"/>
          <w:szCs w:val="24"/>
        </w:rPr>
        <w:t xml:space="preserve"> [1]</w:t>
      </w:r>
      <w:r w:rsidR="00BE34EC">
        <w:rPr>
          <w:sz w:val="24"/>
          <w:szCs w:val="24"/>
        </w:rPr>
        <w:t>.</w:t>
      </w:r>
    </w:p>
    <w:tbl>
      <w:tblPr>
        <w:tblStyle w:val="a8"/>
        <w:tblW w:w="0" w:type="auto"/>
        <w:tblLook w:val="04A0" w:firstRow="1" w:lastRow="0" w:firstColumn="1" w:lastColumn="0" w:noHBand="0" w:noVBand="1"/>
      </w:tblPr>
      <w:tblGrid>
        <w:gridCol w:w="1896"/>
        <w:gridCol w:w="1222"/>
        <w:gridCol w:w="1785"/>
        <w:gridCol w:w="1222"/>
        <w:gridCol w:w="1785"/>
        <w:gridCol w:w="1436"/>
      </w:tblGrid>
      <w:tr w:rsidR="001C426B" w:rsidRPr="0049695C" w14:paraId="2BA82ACC" w14:textId="77777777" w:rsidTr="0068712D">
        <w:tc>
          <w:tcPr>
            <w:tcW w:w="1911" w:type="dxa"/>
            <w:vMerge w:val="restart"/>
            <w:shd w:val="clear" w:color="auto" w:fill="D9D9D9" w:themeFill="background1" w:themeFillShade="D9"/>
            <w:vAlign w:val="center"/>
          </w:tcPr>
          <w:p w14:paraId="65E51DFB" w14:textId="3F0835D6" w:rsidR="00A65F2B" w:rsidRPr="0049695C" w:rsidRDefault="0049695C" w:rsidP="00C74953">
            <w:pPr>
              <w:pStyle w:val="OT"/>
              <w:spacing w:after="0"/>
              <w:jc w:val="center"/>
              <w:rPr>
                <w:b/>
                <w:sz w:val="24"/>
                <w:szCs w:val="24"/>
              </w:rPr>
            </w:pPr>
            <w:r w:rsidRPr="0049695C">
              <w:rPr>
                <w:b/>
                <w:sz w:val="24"/>
                <w:szCs w:val="24"/>
              </w:rPr>
              <w:t>Параметр</w:t>
            </w:r>
          </w:p>
        </w:tc>
        <w:tc>
          <w:tcPr>
            <w:tcW w:w="3030" w:type="dxa"/>
            <w:gridSpan w:val="2"/>
            <w:shd w:val="clear" w:color="auto" w:fill="D9D9D9" w:themeFill="background1" w:themeFillShade="D9"/>
            <w:vAlign w:val="center"/>
          </w:tcPr>
          <w:p w14:paraId="45484D1E" w14:textId="2C1A52F1" w:rsidR="00A65F2B" w:rsidRPr="0049695C" w:rsidRDefault="00A65F2B" w:rsidP="00C74953">
            <w:pPr>
              <w:pStyle w:val="OT"/>
              <w:spacing w:after="0"/>
              <w:jc w:val="center"/>
              <w:rPr>
                <w:b/>
                <w:sz w:val="24"/>
                <w:szCs w:val="24"/>
              </w:rPr>
            </w:pPr>
            <w:r w:rsidRPr="0049695C">
              <w:rPr>
                <w:b/>
                <w:sz w:val="24"/>
                <w:szCs w:val="24"/>
              </w:rPr>
              <w:t>Линаглиптин 5 мг</w:t>
            </w:r>
          </w:p>
        </w:tc>
        <w:tc>
          <w:tcPr>
            <w:tcW w:w="3030" w:type="dxa"/>
            <w:gridSpan w:val="2"/>
            <w:shd w:val="clear" w:color="auto" w:fill="D9D9D9" w:themeFill="background1" w:themeFillShade="D9"/>
            <w:vAlign w:val="center"/>
          </w:tcPr>
          <w:p w14:paraId="3D8DEC8C" w14:textId="61E35E69" w:rsidR="00A65F2B" w:rsidRPr="0049695C" w:rsidRDefault="00A65F2B" w:rsidP="00C74953">
            <w:pPr>
              <w:pStyle w:val="OT"/>
              <w:spacing w:after="0"/>
              <w:jc w:val="center"/>
              <w:rPr>
                <w:b/>
                <w:sz w:val="24"/>
                <w:szCs w:val="24"/>
              </w:rPr>
            </w:pPr>
            <w:r w:rsidRPr="0049695C">
              <w:rPr>
                <w:b/>
                <w:sz w:val="24"/>
                <w:szCs w:val="24"/>
              </w:rPr>
              <w:t>Плацебо</w:t>
            </w:r>
          </w:p>
        </w:tc>
        <w:tc>
          <w:tcPr>
            <w:tcW w:w="1375" w:type="dxa"/>
            <w:shd w:val="clear" w:color="auto" w:fill="D9D9D9" w:themeFill="background1" w:themeFillShade="D9"/>
            <w:vAlign w:val="center"/>
          </w:tcPr>
          <w:p w14:paraId="08B8913B" w14:textId="5D4AC90C" w:rsidR="00A65F2B" w:rsidRPr="0049695C" w:rsidRDefault="00A65F2B" w:rsidP="00C74953">
            <w:pPr>
              <w:pStyle w:val="OT"/>
              <w:spacing w:after="0"/>
              <w:jc w:val="center"/>
              <w:rPr>
                <w:b/>
                <w:sz w:val="24"/>
                <w:szCs w:val="24"/>
              </w:rPr>
            </w:pPr>
            <w:r w:rsidRPr="0049695C">
              <w:rPr>
                <w:b/>
                <w:sz w:val="24"/>
                <w:szCs w:val="24"/>
              </w:rPr>
              <w:t>Отношение рисков</w:t>
            </w:r>
          </w:p>
        </w:tc>
      </w:tr>
      <w:tr w:rsidR="00DB6EF1" w:rsidRPr="0049695C" w14:paraId="5B0823B6" w14:textId="77777777" w:rsidTr="0068712D">
        <w:tc>
          <w:tcPr>
            <w:tcW w:w="1911" w:type="dxa"/>
            <w:vMerge/>
            <w:shd w:val="clear" w:color="auto" w:fill="D9D9D9" w:themeFill="background1" w:themeFillShade="D9"/>
            <w:vAlign w:val="center"/>
          </w:tcPr>
          <w:p w14:paraId="6D7EADF2" w14:textId="77777777" w:rsidR="00281EE8" w:rsidRPr="0049695C" w:rsidRDefault="00281EE8" w:rsidP="00281EE8">
            <w:pPr>
              <w:pStyle w:val="OT"/>
              <w:spacing w:after="0"/>
              <w:jc w:val="center"/>
              <w:rPr>
                <w:sz w:val="24"/>
                <w:szCs w:val="24"/>
              </w:rPr>
            </w:pPr>
          </w:p>
        </w:tc>
        <w:tc>
          <w:tcPr>
            <w:tcW w:w="1231" w:type="dxa"/>
            <w:shd w:val="clear" w:color="auto" w:fill="D9D9D9" w:themeFill="background1" w:themeFillShade="D9"/>
            <w:vAlign w:val="center"/>
          </w:tcPr>
          <w:p w14:paraId="2FE414F3" w14:textId="7F2BBD5A" w:rsidR="00281EE8" w:rsidRPr="0049695C" w:rsidRDefault="00281EE8" w:rsidP="00281EE8">
            <w:pPr>
              <w:pStyle w:val="OT"/>
              <w:spacing w:after="0"/>
              <w:jc w:val="center"/>
              <w:rPr>
                <w:sz w:val="24"/>
                <w:szCs w:val="24"/>
              </w:rPr>
            </w:pPr>
            <w:r w:rsidRPr="0049695C">
              <w:rPr>
                <w:sz w:val="24"/>
                <w:szCs w:val="24"/>
              </w:rPr>
              <w:t>Число субъектов (%)</w:t>
            </w:r>
          </w:p>
        </w:tc>
        <w:tc>
          <w:tcPr>
            <w:tcW w:w="1799" w:type="dxa"/>
            <w:shd w:val="clear" w:color="auto" w:fill="D9D9D9" w:themeFill="background1" w:themeFillShade="D9"/>
            <w:vAlign w:val="center"/>
          </w:tcPr>
          <w:p w14:paraId="5C0487D1" w14:textId="6846E2CF" w:rsidR="00281EE8" w:rsidRPr="0049695C" w:rsidRDefault="00281EE8" w:rsidP="00281EE8">
            <w:pPr>
              <w:pStyle w:val="OT"/>
              <w:spacing w:after="0"/>
              <w:jc w:val="center"/>
              <w:rPr>
                <w:sz w:val="24"/>
                <w:szCs w:val="24"/>
              </w:rPr>
            </w:pPr>
            <w:r w:rsidRPr="0049695C">
              <w:rPr>
                <w:sz w:val="24"/>
                <w:szCs w:val="24"/>
              </w:rPr>
              <w:t>Заболеваемость (частота на 1000 пациенто-лет)</w:t>
            </w:r>
          </w:p>
        </w:tc>
        <w:tc>
          <w:tcPr>
            <w:tcW w:w="1231" w:type="dxa"/>
            <w:shd w:val="clear" w:color="auto" w:fill="D9D9D9" w:themeFill="background1" w:themeFillShade="D9"/>
            <w:vAlign w:val="center"/>
          </w:tcPr>
          <w:p w14:paraId="34DB3917" w14:textId="1624E606" w:rsidR="00281EE8" w:rsidRPr="0049695C" w:rsidRDefault="00281EE8" w:rsidP="00281EE8">
            <w:pPr>
              <w:pStyle w:val="OT"/>
              <w:spacing w:after="0"/>
              <w:jc w:val="center"/>
              <w:rPr>
                <w:sz w:val="24"/>
                <w:szCs w:val="24"/>
              </w:rPr>
            </w:pPr>
            <w:r w:rsidRPr="0049695C">
              <w:rPr>
                <w:sz w:val="24"/>
                <w:szCs w:val="24"/>
              </w:rPr>
              <w:t>Число субъектов (%)</w:t>
            </w:r>
          </w:p>
        </w:tc>
        <w:tc>
          <w:tcPr>
            <w:tcW w:w="1799" w:type="dxa"/>
            <w:shd w:val="clear" w:color="auto" w:fill="D9D9D9" w:themeFill="background1" w:themeFillShade="D9"/>
            <w:vAlign w:val="center"/>
          </w:tcPr>
          <w:p w14:paraId="5929EADD" w14:textId="20994029" w:rsidR="00281EE8" w:rsidRPr="0049695C" w:rsidRDefault="00281EE8" w:rsidP="00281EE8">
            <w:pPr>
              <w:pStyle w:val="OT"/>
              <w:spacing w:after="0"/>
              <w:jc w:val="center"/>
              <w:rPr>
                <w:sz w:val="24"/>
                <w:szCs w:val="24"/>
              </w:rPr>
            </w:pPr>
            <w:r w:rsidRPr="0049695C">
              <w:rPr>
                <w:sz w:val="24"/>
                <w:szCs w:val="24"/>
              </w:rPr>
              <w:t>Заболеваемость (частота на 1000 пациенто-лет)</w:t>
            </w:r>
          </w:p>
        </w:tc>
        <w:tc>
          <w:tcPr>
            <w:tcW w:w="1375" w:type="dxa"/>
            <w:shd w:val="clear" w:color="auto" w:fill="D9D9D9" w:themeFill="background1" w:themeFillShade="D9"/>
            <w:vAlign w:val="center"/>
          </w:tcPr>
          <w:p w14:paraId="38241360" w14:textId="1DC27D07" w:rsidR="00281EE8" w:rsidRPr="0049695C" w:rsidRDefault="004A790A" w:rsidP="00281EE8">
            <w:pPr>
              <w:pStyle w:val="OT"/>
              <w:spacing w:after="0"/>
              <w:jc w:val="center"/>
              <w:rPr>
                <w:sz w:val="24"/>
                <w:szCs w:val="24"/>
              </w:rPr>
            </w:pPr>
            <w:r w:rsidRPr="0049695C">
              <w:rPr>
                <w:sz w:val="24"/>
                <w:szCs w:val="24"/>
              </w:rPr>
              <w:t>95% ДИ</w:t>
            </w:r>
          </w:p>
        </w:tc>
      </w:tr>
      <w:tr w:rsidR="00DB6EF1" w:rsidRPr="0049695C" w14:paraId="6D66FE4E" w14:textId="77777777" w:rsidTr="005148B9">
        <w:tc>
          <w:tcPr>
            <w:tcW w:w="1911" w:type="dxa"/>
          </w:tcPr>
          <w:p w14:paraId="624EF527" w14:textId="43A1A238" w:rsidR="00C74953" w:rsidRPr="0049695C" w:rsidRDefault="004A790A" w:rsidP="00C74953">
            <w:pPr>
              <w:pStyle w:val="OT"/>
              <w:spacing w:after="0"/>
              <w:jc w:val="center"/>
              <w:rPr>
                <w:sz w:val="24"/>
                <w:szCs w:val="24"/>
              </w:rPr>
            </w:pPr>
            <w:r w:rsidRPr="0049695C">
              <w:rPr>
                <w:sz w:val="24"/>
                <w:szCs w:val="24"/>
              </w:rPr>
              <w:t>Число пациентов</w:t>
            </w:r>
          </w:p>
        </w:tc>
        <w:tc>
          <w:tcPr>
            <w:tcW w:w="1231" w:type="dxa"/>
            <w:vAlign w:val="center"/>
          </w:tcPr>
          <w:p w14:paraId="0A1FB290" w14:textId="381C71E7" w:rsidR="00C74953" w:rsidRPr="0049695C" w:rsidRDefault="005148B9" w:rsidP="00C74953">
            <w:pPr>
              <w:pStyle w:val="OT"/>
              <w:spacing w:after="0"/>
              <w:jc w:val="center"/>
              <w:rPr>
                <w:sz w:val="24"/>
                <w:szCs w:val="24"/>
              </w:rPr>
            </w:pPr>
            <w:r w:rsidRPr="0049695C">
              <w:rPr>
                <w:sz w:val="24"/>
                <w:szCs w:val="24"/>
              </w:rPr>
              <w:t>3494</w:t>
            </w:r>
          </w:p>
        </w:tc>
        <w:tc>
          <w:tcPr>
            <w:tcW w:w="1799" w:type="dxa"/>
            <w:vAlign w:val="center"/>
          </w:tcPr>
          <w:p w14:paraId="7D11E62C" w14:textId="77777777" w:rsidR="00C74953" w:rsidRPr="0049695C" w:rsidRDefault="00C74953" w:rsidP="00C74953">
            <w:pPr>
              <w:pStyle w:val="OT"/>
              <w:spacing w:after="0"/>
              <w:jc w:val="center"/>
              <w:rPr>
                <w:sz w:val="24"/>
                <w:szCs w:val="24"/>
              </w:rPr>
            </w:pPr>
          </w:p>
        </w:tc>
        <w:tc>
          <w:tcPr>
            <w:tcW w:w="1231" w:type="dxa"/>
            <w:vAlign w:val="center"/>
          </w:tcPr>
          <w:p w14:paraId="32B8181A" w14:textId="67489D2E" w:rsidR="00C74953" w:rsidRPr="0049695C" w:rsidRDefault="005148B9" w:rsidP="00C74953">
            <w:pPr>
              <w:pStyle w:val="OT"/>
              <w:spacing w:after="0"/>
              <w:jc w:val="center"/>
              <w:rPr>
                <w:sz w:val="24"/>
                <w:szCs w:val="24"/>
              </w:rPr>
            </w:pPr>
            <w:r w:rsidRPr="0049695C">
              <w:rPr>
                <w:sz w:val="24"/>
                <w:szCs w:val="24"/>
              </w:rPr>
              <w:t>3485</w:t>
            </w:r>
          </w:p>
        </w:tc>
        <w:tc>
          <w:tcPr>
            <w:tcW w:w="1799" w:type="dxa"/>
            <w:vAlign w:val="center"/>
          </w:tcPr>
          <w:p w14:paraId="5B81697F" w14:textId="77777777" w:rsidR="00C74953" w:rsidRPr="0049695C" w:rsidRDefault="00C74953" w:rsidP="00C74953">
            <w:pPr>
              <w:pStyle w:val="OT"/>
              <w:spacing w:after="0"/>
              <w:jc w:val="center"/>
              <w:rPr>
                <w:sz w:val="24"/>
                <w:szCs w:val="24"/>
              </w:rPr>
            </w:pPr>
          </w:p>
        </w:tc>
        <w:tc>
          <w:tcPr>
            <w:tcW w:w="1375" w:type="dxa"/>
            <w:vAlign w:val="center"/>
          </w:tcPr>
          <w:p w14:paraId="0EB914FE" w14:textId="77777777" w:rsidR="00C74953" w:rsidRPr="0049695C" w:rsidRDefault="00C74953" w:rsidP="00C74953">
            <w:pPr>
              <w:pStyle w:val="OT"/>
              <w:spacing w:after="0"/>
              <w:jc w:val="center"/>
              <w:rPr>
                <w:sz w:val="24"/>
                <w:szCs w:val="24"/>
              </w:rPr>
            </w:pPr>
          </w:p>
        </w:tc>
      </w:tr>
      <w:tr w:rsidR="00DB6EF1" w:rsidRPr="0049695C" w14:paraId="4D10F3D8" w14:textId="77777777" w:rsidTr="005148B9">
        <w:tc>
          <w:tcPr>
            <w:tcW w:w="1911" w:type="dxa"/>
          </w:tcPr>
          <w:p w14:paraId="2336F2B8" w14:textId="3535E591" w:rsidR="00C74953" w:rsidRPr="0049695C" w:rsidRDefault="00DB6EF1" w:rsidP="00C74953">
            <w:pPr>
              <w:pStyle w:val="OT"/>
              <w:spacing w:after="0"/>
              <w:jc w:val="center"/>
              <w:rPr>
                <w:sz w:val="24"/>
                <w:szCs w:val="24"/>
              </w:rPr>
            </w:pPr>
            <w:r w:rsidRPr="0049695C">
              <w:rPr>
                <w:sz w:val="24"/>
                <w:szCs w:val="24"/>
              </w:rPr>
              <w:t>Композитная первичная конечная точка (по сердечно-сосудистым событиям)</w:t>
            </w:r>
          </w:p>
        </w:tc>
        <w:tc>
          <w:tcPr>
            <w:tcW w:w="1231" w:type="dxa"/>
            <w:vAlign w:val="center"/>
          </w:tcPr>
          <w:p w14:paraId="0E0A4467" w14:textId="2F2037AC" w:rsidR="00C74953" w:rsidRPr="0049695C" w:rsidRDefault="005148B9" w:rsidP="00C74953">
            <w:pPr>
              <w:pStyle w:val="OT"/>
              <w:spacing w:after="0"/>
              <w:jc w:val="center"/>
              <w:rPr>
                <w:sz w:val="24"/>
                <w:szCs w:val="24"/>
              </w:rPr>
            </w:pPr>
            <w:r w:rsidRPr="0049695C">
              <w:rPr>
                <w:sz w:val="24"/>
                <w:szCs w:val="24"/>
              </w:rPr>
              <w:t>434 (12,4)</w:t>
            </w:r>
          </w:p>
        </w:tc>
        <w:tc>
          <w:tcPr>
            <w:tcW w:w="1799" w:type="dxa"/>
            <w:vAlign w:val="center"/>
          </w:tcPr>
          <w:p w14:paraId="3AEEE8CD" w14:textId="005A5E75" w:rsidR="00C74953" w:rsidRPr="0049695C" w:rsidRDefault="00911D2D" w:rsidP="00C74953">
            <w:pPr>
              <w:pStyle w:val="OT"/>
              <w:spacing w:after="0"/>
              <w:jc w:val="center"/>
              <w:rPr>
                <w:sz w:val="24"/>
                <w:szCs w:val="24"/>
              </w:rPr>
            </w:pPr>
            <w:r w:rsidRPr="0049695C">
              <w:rPr>
                <w:sz w:val="24"/>
                <w:szCs w:val="24"/>
              </w:rPr>
              <w:t>57,7</w:t>
            </w:r>
          </w:p>
        </w:tc>
        <w:tc>
          <w:tcPr>
            <w:tcW w:w="1231" w:type="dxa"/>
            <w:vAlign w:val="center"/>
          </w:tcPr>
          <w:p w14:paraId="7A65E1F3" w14:textId="3DEA62E3" w:rsidR="00C74953" w:rsidRPr="0049695C" w:rsidRDefault="00911D2D" w:rsidP="00C74953">
            <w:pPr>
              <w:pStyle w:val="OT"/>
              <w:spacing w:after="0"/>
              <w:jc w:val="center"/>
              <w:rPr>
                <w:sz w:val="24"/>
                <w:szCs w:val="24"/>
              </w:rPr>
            </w:pPr>
            <w:r w:rsidRPr="0049695C">
              <w:rPr>
                <w:sz w:val="24"/>
                <w:szCs w:val="24"/>
              </w:rPr>
              <w:t>420 (12,1)</w:t>
            </w:r>
          </w:p>
        </w:tc>
        <w:tc>
          <w:tcPr>
            <w:tcW w:w="1799" w:type="dxa"/>
            <w:vAlign w:val="center"/>
          </w:tcPr>
          <w:p w14:paraId="319A338B" w14:textId="16117041" w:rsidR="00C74953" w:rsidRPr="0049695C" w:rsidRDefault="00911D2D" w:rsidP="00C74953">
            <w:pPr>
              <w:pStyle w:val="OT"/>
              <w:spacing w:after="0"/>
              <w:jc w:val="center"/>
              <w:rPr>
                <w:sz w:val="24"/>
                <w:szCs w:val="24"/>
              </w:rPr>
            </w:pPr>
            <w:r w:rsidRPr="0049695C">
              <w:rPr>
                <w:sz w:val="24"/>
                <w:szCs w:val="24"/>
              </w:rPr>
              <w:t>56,3</w:t>
            </w:r>
          </w:p>
        </w:tc>
        <w:tc>
          <w:tcPr>
            <w:tcW w:w="1375" w:type="dxa"/>
            <w:vAlign w:val="center"/>
          </w:tcPr>
          <w:p w14:paraId="3036C3D3" w14:textId="77777777" w:rsidR="00791CA5" w:rsidRPr="0049695C" w:rsidRDefault="00911D2D" w:rsidP="00C74953">
            <w:pPr>
              <w:pStyle w:val="OT"/>
              <w:spacing w:after="0"/>
              <w:jc w:val="center"/>
              <w:rPr>
                <w:sz w:val="24"/>
                <w:szCs w:val="24"/>
              </w:rPr>
            </w:pPr>
            <w:r w:rsidRPr="0049695C">
              <w:rPr>
                <w:sz w:val="24"/>
                <w:szCs w:val="24"/>
              </w:rPr>
              <w:t xml:space="preserve">1,02 </w:t>
            </w:r>
          </w:p>
          <w:p w14:paraId="03B8368A" w14:textId="2D4E4EEE" w:rsidR="00C74953" w:rsidRPr="0049695C" w:rsidRDefault="00911D2D" w:rsidP="00C74953">
            <w:pPr>
              <w:pStyle w:val="OT"/>
              <w:spacing w:after="0"/>
              <w:jc w:val="center"/>
              <w:rPr>
                <w:sz w:val="24"/>
                <w:szCs w:val="24"/>
              </w:rPr>
            </w:pPr>
            <w:r w:rsidRPr="0049695C">
              <w:rPr>
                <w:sz w:val="24"/>
                <w:szCs w:val="24"/>
              </w:rPr>
              <w:t>(0,89; 1,17)*</w:t>
            </w:r>
          </w:p>
        </w:tc>
      </w:tr>
      <w:tr w:rsidR="00DB6EF1" w:rsidRPr="0049695C" w14:paraId="2C993C47" w14:textId="77777777" w:rsidTr="005148B9">
        <w:tc>
          <w:tcPr>
            <w:tcW w:w="1911" w:type="dxa"/>
          </w:tcPr>
          <w:p w14:paraId="1E6789A6" w14:textId="306FF96C" w:rsidR="00C74953" w:rsidRPr="0049695C" w:rsidRDefault="00DB6EF1" w:rsidP="00DB6EF1">
            <w:pPr>
              <w:pStyle w:val="OT"/>
              <w:spacing w:after="0"/>
              <w:jc w:val="center"/>
              <w:rPr>
                <w:sz w:val="24"/>
                <w:szCs w:val="24"/>
              </w:rPr>
            </w:pPr>
            <w:r w:rsidRPr="0049695C">
              <w:rPr>
                <w:sz w:val="24"/>
                <w:szCs w:val="24"/>
              </w:rPr>
              <w:t>Композитная вторичная конечная точка (по почечным событиям)</w:t>
            </w:r>
          </w:p>
        </w:tc>
        <w:tc>
          <w:tcPr>
            <w:tcW w:w="1231" w:type="dxa"/>
            <w:vAlign w:val="center"/>
          </w:tcPr>
          <w:p w14:paraId="05187987" w14:textId="5E491534" w:rsidR="00C74953" w:rsidRPr="0049695C" w:rsidRDefault="00A73ED2" w:rsidP="00C74953">
            <w:pPr>
              <w:pStyle w:val="OT"/>
              <w:spacing w:after="0"/>
              <w:jc w:val="center"/>
              <w:rPr>
                <w:sz w:val="24"/>
                <w:szCs w:val="24"/>
              </w:rPr>
            </w:pPr>
            <w:r w:rsidRPr="0049695C">
              <w:rPr>
                <w:sz w:val="24"/>
                <w:szCs w:val="24"/>
              </w:rPr>
              <w:t>327 (9,4)</w:t>
            </w:r>
          </w:p>
        </w:tc>
        <w:tc>
          <w:tcPr>
            <w:tcW w:w="1799" w:type="dxa"/>
            <w:vAlign w:val="center"/>
          </w:tcPr>
          <w:p w14:paraId="16FAE9D1" w14:textId="42907F7C" w:rsidR="00C74953" w:rsidRPr="0049695C" w:rsidRDefault="00A73ED2" w:rsidP="00C74953">
            <w:pPr>
              <w:pStyle w:val="OT"/>
              <w:spacing w:after="0"/>
              <w:jc w:val="center"/>
              <w:rPr>
                <w:sz w:val="24"/>
                <w:szCs w:val="24"/>
              </w:rPr>
            </w:pPr>
            <w:r w:rsidRPr="0049695C">
              <w:rPr>
                <w:sz w:val="24"/>
                <w:szCs w:val="24"/>
              </w:rPr>
              <w:t>48,9</w:t>
            </w:r>
          </w:p>
        </w:tc>
        <w:tc>
          <w:tcPr>
            <w:tcW w:w="1231" w:type="dxa"/>
            <w:vAlign w:val="center"/>
          </w:tcPr>
          <w:p w14:paraId="32E8AC20" w14:textId="200FC789" w:rsidR="00C74953" w:rsidRPr="0049695C" w:rsidRDefault="00A73ED2" w:rsidP="00C74953">
            <w:pPr>
              <w:pStyle w:val="OT"/>
              <w:spacing w:after="0"/>
              <w:jc w:val="center"/>
              <w:rPr>
                <w:sz w:val="24"/>
                <w:szCs w:val="24"/>
              </w:rPr>
            </w:pPr>
            <w:r w:rsidRPr="0049695C">
              <w:rPr>
                <w:sz w:val="24"/>
                <w:szCs w:val="24"/>
              </w:rPr>
              <w:t>306 (8,8)</w:t>
            </w:r>
          </w:p>
        </w:tc>
        <w:tc>
          <w:tcPr>
            <w:tcW w:w="1799" w:type="dxa"/>
            <w:vAlign w:val="center"/>
          </w:tcPr>
          <w:p w14:paraId="2320201E" w14:textId="02792918" w:rsidR="00C74953" w:rsidRPr="0049695C" w:rsidRDefault="00A73ED2" w:rsidP="00C74953">
            <w:pPr>
              <w:pStyle w:val="OT"/>
              <w:spacing w:after="0"/>
              <w:jc w:val="center"/>
              <w:rPr>
                <w:sz w:val="24"/>
                <w:szCs w:val="24"/>
              </w:rPr>
            </w:pPr>
            <w:r w:rsidRPr="0049695C">
              <w:rPr>
                <w:sz w:val="24"/>
                <w:szCs w:val="24"/>
              </w:rPr>
              <w:t>46,6</w:t>
            </w:r>
          </w:p>
        </w:tc>
        <w:tc>
          <w:tcPr>
            <w:tcW w:w="1375" w:type="dxa"/>
            <w:vAlign w:val="center"/>
          </w:tcPr>
          <w:p w14:paraId="4C2D29DC" w14:textId="77777777" w:rsidR="00791CA5" w:rsidRPr="0049695C" w:rsidRDefault="00A73ED2" w:rsidP="00C74953">
            <w:pPr>
              <w:pStyle w:val="OT"/>
              <w:spacing w:after="0"/>
              <w:jc w:val="center"/>
              <w:rPr>
                <w:sz w:val="24"/>
                <w:szCs w:val="24"/>
              </w:rPr>
            </w:pPr>
            <w:r w:rsidRPr="0049695C">
              <w:rPr>
                <w:sz w:val="24"/>
                <w:szCs w:val="24"/>
              </w:rPr>
              <w:t xml:space="preserve">1,04 </w:t>
            </w:r>
          </w:p>
          <w:p w14:paraId="227CE63B" w14:textId="2C657B05" w:rsidR="00C74953" w:rsidRPr="0049695C" w:rsidRDefault="00A73ED2" w:rsidP="00C74953">
            <w:pPr>
              <w:pStyle w:val="OT"/>
              <w:spacing w:after="0"/>
              <w:jc w:val="center"/>
              <w:rPr>
                <w:sz w:val="24"/>
                <w:szCs w:val="24"/>
              </w:rPr>
            </w:pPr>
            <w:r w:rsidRPr="0049695C">
              <w:rPr>
                <w:sz w:val="24"/>
                <w:szCs w:val="24"/>
              </w:rPr>
              <w:t>(0,89; 1,22)</w:t>
            </w:r>
          </w:p>
        </w:tc>
      </w:tr>
      <w:tr w:rsidR="00DB6EF1" w:rsidRPr="0049695C" w14:paraId="6B95F339" w14:textId="77777777" w:rsidTr="005148B9">
        <w:tc>
          <w:tcPr>
            <w:tcW w:w="1911" w:type="dxa"/>
          </w:tcPr>
          <w:p w14:paraId="0DAA3747" w14:textId="1D8AB2AC" w:rsidR="00C74953" w:rsidRPr="0049695C" w:rsidRDefault="00DB6EF1" w:rsidP="00C74953">
            <w:pPr>
              <w:pStyle w:val="OT"/>
              <w:spacing w:after="0"/>
              <w:jc w:val="center"/>
              <w:rPr>
                <w:sz w:val="24"/>
                <w:szCs w:val="24"/>
              </w:rPr>
            </w:pPr>
            <w:r w:rsidRPr="0049695C">
              <w:rPr>
                <w:sz w:val="24"/>
                <w:szCs w:val="24"/>
              </w:rPr>
              <w:t>Смертность по любым причинам</w:t>
            </w:r>
          </w:p>
        </w:tc>
        <w:tc>
          <w:tcPr>
            <w:tcW w:w="1231" w:type="dxa"/>
            <w:vAlign w:val="center"/>
          </w:tcPr>
          <w:p w14:paraId="56175D35" w14:textId="7BD27D41" w:rsidR="00C74953" w:rsidRPr="0049695C" w:rsidRDefault="00A73ED2" w:rsidP="00C74953">
            <w:pPr>
              <w:pStyle w:val="OT"/>
              <w:spacing w:after="0"/>
              <w:jc w:val="center"/>
              <w:rPr>
                <w:sz w:val="24"/>
                <w:szCs w:val="24"/>
              </w:rPr>
            </w:pPr>
            <w:r w:rsidRPr="0049695C">
              <w:rPr>
                <w:sz w:val="24"/>
                <w:szCs w:val="24"/>
              </w:rPr>
              <w:t>367 (10,5)</w:t>
            </w:r>
          </w:p>
        </w:tc>
        <w:tc>
          <w:tcPr>
            <w:tcW w:w="1799" w:type="dxa"/>
            <w:vAlign w:val="center"/>
          </w:tcPr>
          <w:p w14:paraId="595F9FDB" w14:textId="5CE522B5" w:rsidR="00C74953" w:rsidRPr="0049695C" w:rsidRDefault="00A73ED2" w:rsidP="00C74953">
            <w:pPr>
              <w:pStyle w:val="OT"/>
              <w:spacing w:after="0"/>
              <w:jc w:val="center"/>
              <w:rPr>
                <w:sz w:val="24"/>
                <w:szCs w:val="24"/>
              </w:rPr>
            </w:pPr>
            <w:r w:rsidRPr="0049695C">
              <w:rPr>
                <w:sz w:val="24"/>
                <w:szCs w:val="24"/>
              </w:rPr>
              <w:t>46,9</w:t>
            </w:r>
          </w:p>
        </w:tc>
        <w:tc>
          <w:tcPr>
            <w:tcW w:w="1231" w:type="dxa"/>
            <w:vAlign w:val="center"/>
          </w:tcPr>
          <w:p w14:paraId="44847A16" w14:textId="0F415959" w:rsidR="00C74953" w:rsidRPr="0049695C" w:rsidRDefault="00A73ED2" w:rsidP="00C74953">
            <w:pPr>
              <w:pStyle w:val="OT"/>
              <w:spacing w:after="0"/>
              <w:jc w:val="center"/>
              <w:rPr>
                <w:sz w:val="24"/>
                <w:szCs w:val="24"/>
              </w:rPr>
            </w:pPr>
            <w:r w:rsidRPr="0049695C">
              <w:rPr>
                <w:sz w:val="24"/>
                <w:szCs w:val="24"/>
              </w:rPr>
              <w:t>373 (10,7)</w:t>
            </w:r>
          </w:p>
        </w:tc>
        <w:tc>
          <w:tcPr>
            <w:tcW w:w="1799" w:type="dxa"/>
            <w:vAlign w:val="center"/>
          </w:tcPr>
          <w:p w14:paraId="294C7C8E" w14:textId="3FE7BE68" w:rsidR="00C74953" w:rsidRPr="0049695C" w:rsidRDefault="00A73ED2" w:rsidP="00C74953">
            <w:pPr>
              <w:pStyle w:val="OT"/>
              <w:spacing w:after="0"/>
              <w:jc w:val="center"/>
              <w:rPr>
                <w:sz w:val="24"/>
                <w:szCs w:val="24"/>
              </w:rPr>
            </w:pPr>
            <w:r w:rsidRPr="0049695C">
              <w:rPr>
                <w:sz w:val="24"/>
                <w:szCs w:val="24"/>
              </w:rPr>
              <w:t>48,0</w:t>
            </w:r>
          </w:p>
        </w:tc>
        <w:tc>
          <w:tcPr>
            <w:tcW w:w="1375" w:type="dxa"/>
            <w:vAlign w:val="center"/>
          </w:tcPr>
          <w:p w14:paraId="190C329B" w14:textId="77777777" w:rsidR="00791CA5" w:rsidRPr="0049695C" w:rsidRDefault="00A73ED2" w:rsidP="00C74953">
            <w:pPr>
              <w:pStyle w:val="OT"/>
              <w:spacing w:after="0"/>
              <w:jc w:val="center"/>
              <w:rPr>
                <w:sz w:val="24"/>
                <w:szCs w:val="24"/>
              </w:rPr>
            </w:pPr>
            <w:r w:rsidRPr="0049695C">
              <w:rPr>
                <w:sz w:val="24"/>
                <w:szCs w:val="24"/>
              </w:rPr>
              <w:t xml:space="preserve">0,98 </w:t>
            </w:r>
          </w:p>
          <w:p w14:paraId="76530FE6" w14:textId="0FAA730B" w:rsidR="00C74953" w:rsidRPr="0049695C" w:rsidRDefault="00A73ED2" w:rsidP="00C74953">
            <w:pPr>
              <w:pStyle w:val="OT"/>
              <w:spacing w:after="0"/>
              <w:jc w:val="center"/>
              <w:rPr>
                <w:sz w:val="24"/>
                <w:szCs w:val="24"/>
              </w:rPr>
            </w:pPr>
            <w:r w:rsidRPr="0049695C">
              <w:rPr>
                <w:sz w:val="24"/>
                <w:szCs w:val="24"/>
              </w:rPr>
              <w:t>(0,84; 1,13)</w:t>
            </w:r>
          </w:p>
        </w:tc>
      </w:tr>
      <w:tr w:rsidR="00DB6EF1" w:rsidRPr="0049695C" w14:paraId="54A0BBE8" w14:textId="77777777" w:rsidTr="005148B9">
        <w:tc>
          <w:tcPr>
            <w:tcW w:w="1911" w:type="dxa"/>
          </w:tcPr>
          <w:p w14:paraId="72A0B788" w14:textId="44937D39" w:rsidR="00C74953" w:rsidRPr="0049695C" w:rsidRDefault="00DB6EF1" w:rsidP="00114668">
            <w:pPr>
              <w:pStyle w:val="OT"/>
              <w:spacing w:after="0"/>
              <w:jc w:val="center"/>
              <w:rPr>
                <w:sz w:val="24"/>
                <w:szCs w:val="24"/>
              </w:rPr>
            </w:pPr>
            <w:r w:rsidRPr="0049695C">
              <w:rPr>
                <w:sz w:val="24"/>
                <w:szCs w:val="24"/>
              </w:rPr>
              <w:t>Смертность по серд</w:t>
            </w:r>
            <w:r w:rsidR="00114668" w:rsidRPr="0049695C">
              <w:rPr>
                <w:sz w:val="24"/>
                <w:szCs w:val="24"/>
              </w:rPr>
              <w:t>е</w:t>
            </w:r>
            <w:r w:rsidRPr="0049695C">
              <w:rPr>
                <w:sz w:val="24"/>
                <w:szCs w:val="24"/>
              </w:rPr>
              <w:t xml:space="preserve">чно-сосудистым </w:t>
            </w:r>
            <w:r w:rsidR="00114668" w:rsidRPr="0049695C">
              <w:rPr>
                <w:sz w:val="24"/>
                <w:szCs w:val="24"/>
              </w:rPr>
              <w:t>причинам</w:t>
            </w:r>
          </w:p>
        </w:tc>
        <w:tc>
          <w:tcPr>
            <w:tcW w:w="1231" w:type="dxa"/>
            <w:vAlign w:val="center"/>
          </w:tcPr>
          <w:p w14:paraId="1AADD6EB" w14:textId="17DF339E" w:rsidR="00C74953" w:rsidRPr="0049695C" w:rsidRDefault="00A73ED2" w:rsidP="00C74953">
            <w:pPr>
              <w:pStyle w:val="OT"/>
              <w:spacing w:after="0"/>
              <w:jc w:val="center"/>
              <w:rPr>
                <w:sz w:val="24"/>
                <w:szCs w:val="24"/>
              </w:rPr>
            </w:pPr>
            <w:r w:rsidRPr="0049695C">
              <w:rPr>
                <w:sz w:val="24"/>
                <w:szCs w:val="24"/>
              </w:rPr>
              <w:t>255 (7,3)</w:t>
            </w:r>
          </w:p>
        </w:tc>
        <w:tc>
          <w:tcPr>
            <w:tcW w:w="1799" w:type="dxa"/>
            <w:vAlign w:val="center"/>
          </w:tcPr>
          <w:p w14:paraId="1A1AA840" w14:textId="1C54921B" w:rsidR="00C74953" w:rsidRPr="0049695C" w:rsidRDefault="00A73ED2" w:rsidP="00C74953">
            <w:pPr>
              <w:pStyle w:val="OT"/>
              <w:spacing w:after="0"/>
              <w:jc w:val="center"/>
              <w:rPr>
                <w:sz w:val="24"/>
                <w:szCs w:val="24"/>
              </w:rPr>
            </w:pPr>
            <w:r w:rsidRPr="0049695C">
              <w:rPr>
                <w:sz w:val="24"/>
                <w:szCs w:val="24"/>
              </w:rPr>
              <w:t>32,6</w:t>
            </w:r>
          </w:p>
        </w:tc>
        <w:tc>
          <w:tcPr>
            <w:tcW w:w="1231" w:type="dxa"/>
            <w:vAlign w:val="center"/>
          </w:tcPr>
          <w:p w14:paraId="0BB55F8B" w14:textId="42F312D2" w:rsidR="00C74953" w:rsidRPr="0049695C" w:rsidRDefault="00A73ED2" w:rsidP="00C74953">
            <w:pPr>
              <w:pStyle w:val="OT"/>
              <w:spacing w:after="0"/>
              <w:jc w:val="center"/>
              <w:rPr>
                <w:sz w:val="24"/>
                <w:szCs w:val="24"/>
              </w:rPr>
            </w:pPr>
            <w:r w:rsidRPr="0049695C">
              <w:rPr>
                <w:sz w:val="24"/>
                <w:szCs w:val="24"/>
              </w:rPr>
              <w:t>264 (7,6)</w:t>
            </w:r>
          </w:p>
        </w:tc>
        <w:tc>
          <w:tcPr>
            <w:tcW w:w="1799" w:type="dxa"/>
            <w:vAlign w:val="center"/>
          </w:tcPr>
          <w:p w14:paraId="481F0521" w14:textId="5643DFBC" w:rsidR="00C74953" w:rsidRPr="0049695C" w:rsidRDefault="00A73ED2" w:rsidP="00C74953">
            <w:pPr>
              <w:pStyle w:val="OT"/>
              <w:spacing w:after="0"/>
              <w:jc w:val="center"/>
              <w:rPr>
                <w:sz w:val="24"/>
                <w:szCs w:val="24"/>
              </w:rPr>
            </w:pPr>
            <w:r w:rsidRPr="0049695C">
              <w:rPr>
                <w:sz w:val="24"/>
                <w:szCs w:val="24"/>
              </w:rPr>
              <w:t>34</w:t>
            </w:r>
          </w:p>
        </w:tc>
        <w:tc>
          <w:tcPr>
            <w:tcW w:w="1375" w:type="dxa"/>
            <w:vAlign w:val="center"/>
          </w:tcPr>
          <w:p w14:paraId="2E85A81D" w14:textId="77777777" w:rsidR="00791CA5" w:rsidRPr="0049695C" w:rsidRDefault="00A73ED2" w:rsidP="00C74953">
            <w:pPr>
              <w:pStyle w:val="OT"/>
              <w:spacing w:after="0"/>
              <w:jc w:val="center"/>
              <w:rPr>
                <w:sz w:val="24"/>
                <w:szCs w:val="24"/>
              </w:rPr>
            </w:pPr>
            <w:r w:rsidRPr="0049695C">
              <w:rPr>
                <w:sz w:val="24"/>
                <w:szCs w:val="24"/>
              </w:rPr>
              <w:t xml:space="preserve">0,96 </w:t>
            </w:r>
          </w:p>
          <w:p w14:paraId="69148E37" w14:textId="2F2EB940" w:rsidR="00C74953" w:rsidRPr="0049695C" w:rsidRDefault="00A73ED2" w:rsidP="00C74953">
            <w:pPr>
              <w:pStyle w:val="OT"/>
              <w:spacing w:after="0"/>
              <w:jc w:val="center"/>
              <w:rPr>
                <w:sz w:val="24"/>
                <w:szCs w:val="24"/>
              </w:rPr>
            </w:pPr>
            <w:r w:rsidRPr="0049695C">
              <w:rPr>
                <w:sz w:val="24"/>
                <w:szCs w:val="24"/>
              </w:rPr>
              <w:t>(0,81; 1,14)</w:t>
            </w:r>
          </w:p>
        </w:tc>
      </w:tr>
      <w:tr w:rsidR="00DB6EF1" w:rsidRPr="0049695C" w14:paraId="0B453B2E" w14:textId="77777777" w:rsidTr="005148B9">
        <w:tc>
          <w:tcPr>
            <w:tcW w:w="1911" w:type="dxa"/>
          </w:tcPr>
          <w:p w14:paraId="35558AA6" w14:textId="122FA7F4" w:rsidR="00C74953" w:rsidRPr="0049695C" w:rsidRDefault="001C426B" w:rsidP="00C74953">
            <w:pPr>
              <w:pStyle w:val="OT"/>
              <w:spacing w:after="0"/>
              <w:jc w:val="center"/>
              <w:rPr>
                <w:sz w:val="24"/>
                <w:szCs w:val="24"/>
              </w:rPr>
            </w:pPr>
            <w:r w:rsidRPr="0049695C">
              <w:rPr>
                <w:sz w:val="24"/>
                <w:szCs w:val="24"/>
              </w:rPr>
              <w:t>Госпитализация поп ричине сердечной недостаточности</w:t>
            </w:r>
          </w:p>
        </w:tc>
        <w:tc>
          <w:tcPr>
            <w:tcW w:w="1231" w:type="dxa"/>
            <w:vAlign w:val="center"/>
          </w:tcPr>
          <w:p w14:paraId="2DB4D434" w14:textId="26505F00" w:rsidR="00C74953" w:rsidRPr="0049695C" w:rsidRDefault="00A73ED2" w:rsidP="00C74953">
            <w:pPr>
              <w:pStyle w:val="OT"/>
              <w:spacing w:after="0"/>
              <w:jc w:val="center"/>
              <w:rPr>
                <w:sz w:val="24"/>
                <w:szCs w:val="24"/>
              </w:rPr>
            </w:pPr>
            <w:r w:rsidRPr="0049695C">
              <w:rPr>
                <w:sz w:val="24"/>
                <w:szCs w:val="24"/>
              </w:rPr>
              <w:t>209 (6,0)</w:t>
            </w:r>
          </w:p>
        </w:tc>
        <w:tc>
          <w:tcPr>
            <w:tcW w:w="1799" w:type="dxa"/>
            <w:vAlign w:val="center"/>
          </w:tcPr>
          <w:p w14:paraId="0D3D96D3" w14:textId="1BF99980" w:rsidR="00C74953" w:rsidRPr="0049695C" w:rsidRDefault="00A73ED2" w:rsidP="00C74953">
            <w:pPr>
              <w:pStyle w:val="OT"/>
              <w:spacing w:after="0"/>
              <w:jc w:val="center"/>
              <w:rPr>
                <w:sz w:val="24"/>
                <w:szCs w:val="24"/>
              </w:rPr>
            </w:pPr>
            <w:r w:rsidRPr="0049695C">
              <w:rPr>
                <w:sz w:val="24"/>
                <w:szCs w:val="24"/>
              </w:rPr>
              <w:t>27,7</w:t>
            </w:r>
          </w:p>
        </w:tc>
        <w:tc>
          <w:tcPr>
            <w:tcW w:w="1231" w:type="dxa"/>
            <w:vAlign w:val="center"/>
          </w:tcPr>
          <w:p w14:paraId="0ECFDE85" w14:textId="265BFB0E" w:rsidR="00C74953" w:rsidRPr="0049695C" w:rsidRDefault="00A73ED2" w:rsidP="00C74953">
            <w:pPr>
              <w:pStyle w:val="OT"/>
              <w:spacing w:after="0"/>
              <w:jc w:val="center"/>
              <w:rPr>
                <w:sz w:val="24"/>
                <w:szCs w:val="24"/>
              </w:rPr>
            </w:pPr>
            <w:r w:rsidRPr="0049695C">
              <w:rPr>
                <w:sz w:val="24"/>
                <w:szCs w:val="24"/>
              </w:rPr>
              <w:t>226 (6,5)</w:t>
            </w:r>
          </w:p>
        </w:tc>
        <w:tc>
          <w:tcPr>
            <w:tcW w:w="1799" w:type="dxa"/>
            <w:vAlign w:val="center"/>
          </w:tcPr>
          <w:p w14:paraId="57983AD4" w14:textId="55CEFA66" w:rsidR="00C74953" w:rsidRPr="0049695C" w:rsidRDefault="00A73ED2" w:rsidP="00C74953">
            <w:pPr>
              <w:pStyle w:val="OT"/>
              <w:spacing w:after="0"/>
              <w:jc w:val="center"/>
              <w:rPr>
                <w:sz w:val="24"/>
                <w:szCs w:val="24"/>
              </w:rPr>
            </w:pPr>
            <w:r w:rsidRPr="0049695C">
              <w:rPr>
                <w:sz w:val="24"/>
                <w:szCs w:val="24"/>
              </w:rPr>
              <w:t>30,4</w:t>
            </w:r>
          </w:p>
        </w:tc>
        <w:tc>
          <w:tcPr>
            <w:tcW w:w="1375" w:type="dxa"/>
            <w:vAlign w:val="center"/>
          </w:tcPr>
          <w:p w14:paraId="2A6FE2EB" w14:textId="77777777" w:rsidR="00791CA5" w:rsidRPr="0049695C" w:rsidRDefault="00A73ED2" w:rsidP="00C74953">
            <w:pPr>
              <w:pStyle w:val="OT"/>
              <w:spacing w:after="0"/>
              <w:jc w:val="center"/>
              <w:rPr>
                <w:sz w:val="24"/>
                <w:szCs w:val="24"/>
              </w:rPr>
            </w:pPr>
            <w:r w:rsidRPr="0049695C">
              <w:rPr>
                <w:sz w:val="24"/>
                <w:szCs w:val="24"/>
              </w:rPr>
              <w:t xml:space="preserve">0,90 </w:t>
            </w:r>
          </w:p>
          <w:p w14:paraId="0615BECC" w14:textId="0ED55D7B" w:rsidR="00C74953" w:rsidRPr="0049695C" w:rsidRDefault="00A73ED2" w:rsidP="00C74953">
            <w:pPr>
              <w:pStyle w:val="OT"/>
              <w:spacing w:after="0"/>
              <w:jc w:val="center"/>
              <w:rPr>
                <w:sz w:val="24"/>
                <w:szCs w:val="24"/>
              </w:rPr>
            </w:pPr>
            <w:r w:rsidRPr="0049695C">
              <w:rPr>
                <w:sz w:val="24"/>
                <w:szCs w:val="24"/>
              </w:rPr>
              <w:t>(0,74; 1,08)</w:t>
            </w:r>
          </w:p>
        </w:tc>
      </w:tr>
      <w:tr w:rsidR="001C426B" w:rsidRPr="0049695C" w14:paraId="5C5ADFB0" w14:textId="77777777" w:rsidTr="0092066D">
        <w:tc>
          <w:tcPr>
            <w:tcW w:w="9346" w:type="dxa"/>
            <w:gridSpan w:val="6"/>
          </w:tcPr>
          <w:p w14:paraId="7D0A347A" w14:textId="77777777" w:rsidR="001C426B" w:rsidRPr="007F5E52" w:rsidRDefault="001C426B" w:rsidP="001C426B">
            <w:pPr>
              <w:pStyle w:val="OT"/>
              <w:spacing w:after="0"/>
              <w:rPr>
                <w:b/>
                <w:sz w:val="20"/>
                <w:szCs w:val="24"/>
              </w:rPr>
            </w:pPr>
            <w:r w:rsidRPr="007F5E52">
              <w:rPr>
                <w:b/>
                <w:sz w:val="20"/>
                <w:szCs w:val="24"/>
              </w:rPr>
              <w:t>Примечание:</w:t>
            </w:r>
          </w:p>
          <w:p w14:paraId="604F46C5" w14:textId="60A9FB53" w:rsidR="001C426B" w:rsidRPr="0049695C" w:rsidRDefault="00911D2D" w:rsidP="001C426B">
            <w:pPr>
              <w:pStyle w:val="OT"/>
              <w:spacing w:after="0"/>
              <w:rPr>
                <w:sz w:val="24"/>
                <w:szCs w:val="24"/>
              </w:rPr>
            </w:pPr>
            <w:r w:rsidRPr="007F5E52">
              <w:rPr>
                <w:sz w:val="20"/>
                <w:szCs w:val="24"/>
              </w:rPr>
              <w:t>* анализ неменьшей эффективности</w:t>
            </w:r>
            <w:r w:rsidR="00A73ED2" w:rsidRPr="007F5E52">
              <w:rPr>
                <w:sz w:val="20"/>
                <w:szCs w:val="24"/>
              </w:rPr>
              <w:t xml:space="preserve"> для демонтсрации того факта, что верхняя граница 95% ДИ для отношения рисков составляет менее 1,3.</w:t>
            </w:r>
          </w:p>
        </w:tc>
      </w:tr>
    </w:tbl>
    <w:p w14:paraId="73A3D0AF" w14:textId="77777777" w:rsidR="00BE34EC" w:rsidRDefault="00BE34EC" w:rsidP="00041586">
      <w:pPr>
        <w:pStyle w:val="OT"/>
        <w:spacing w:after="0"/>
        <w:rPr>
          <w:sz w:val="24"/>
          <w:szCs w:val="24"/>
        </w:rPr>
      </w:pPr>
    </w:p>
    <w:p w14:paraId="6C56AE37" w14:textId="289B35F3" w:rsidR="0023786B" w:rsidRDefault="00817FE2" w:rsidP="0023786B">
      <w:pPr>
        <w:pStyle w:val="OT"/>
        <w:ind w:firstLine="709"/>
        <w:rPr>
          <w:sz w:val="24"/>
          <w:szCs w:val="24"/>
        </w:rPr>
      </w:pPr>
      <w:r w:rsidRPr="00817FE2">
        <w:rPr>
          <w:sz w:val="24"/>
          <w:szCs w:val="24"/>
        </w:rPr>
        <w:t>В анализ</w:t>
      </w:r>
      <w:r w:rsidR="0068712D">
        <w:rPr>
          <w:sz w:val="24"/>
          <w:szCs w:val="24"/>
        </w:rPr>
        <w:t>е</w:t>
      </w:r>
      <w:r w:rsidRPr="00817FE2">
        <w:rPr>
          <w:sz w:val="24"/>
          <w:szCs w:val="24"/>
        </w:rPr>
        <w:t xml:space="preserve"> на прогрессирование альбуминурии (переход от</w:t>
      </w:r>
      <w:r w:rsidR="0068712D">
        <w:rPr>
          <w:sz w:val="24"/>
          <w:szCs w:val="24"/>
        </w:rPr>
        <w:t xml:space="preserve"> нормоальбуминурии к микро- или </w:t>
      </w:r>
      <w:r w:rsidRPr="00817FE2">
        <w:rPr>
          <w:sz w:val="24"/>
          <w:szCs w:val="24"/>
        </w:rPr>
        <w:t>макроальбуминурии или от микроальбуминурии к макроальбуминурии) расчетное отношение рисков составило</w:t>
      </w:r>
      <w:r w:rsidR="0068712D">
        <w:rPr>
          <w:sz w:val="24"/>
          <w:szCs w:val="24"/>
        </w:rPr>
        <w:t xml:space="preserve"> </w:t>
      </w:r>
      <w:r w:rsidRPr="00817FE2">
        <w:rPr>
          <w:sz w:val="24"/>
          <w:szCs w:val="24"/>
        </w:rPr>
        <w:t>0,86 (95% ДИ 0,78, 0,95) для линаглиптина по сравнению с плацебо</w:t>
      </w:r>
      <w:r w:rsidR="00097FCE" w:rsidRPr="00097FCE">
        <w:rPr>
          <w:sz w:val="24"/>
          <w:szCs w:val="24"/>
        </w:rPr>
        <w:t xml:space="preserve"> [1]</w:t>
      </w:r>
      <w:r w:rsidRPr="00817FE2">
        <w:rPr>
          <w:sz w:val="24"/>
          <w:szCs w:val="24"/>
        </w:rPr>
        <w:t>.</w:t>
      </w:r>
    </w:p>
    <w:p w14:paraId="5891C12E" w14:textId="7AE967A6" w:rsidR="0023786B" w:rsidRPr="0068712D" w:rsidRDefault="0023786B" w:rsidP="0023786B">
      <w:pPr>
        <w:pStyle w:val="4"/>
        <w:spacing w:after="240"/>
        <w:rPr>
          <w:rFonts w:ascii="Times New Roman" w:hAnsi="Times New Roman"/>
          <w:iCs/>
          <w:sz w:val="24"/>
          <w:szCs w:val="24"/>
        </w:rPr>
      </w:pPr>
      <w:bookmarkStart w:id="257" w:name="_Toc139362014"/>
      <w:r w:rsidRPr="0068712D">
        <w:rPr>
          <w:rFonts w:ascii="Times New Roman" w:hAnsi="Times New Roman"/>
          <w:iCs/>
          <w:sz w:val="24"/>
          <w:szCs w:val="24"/>
        </w:rPr>
        <w:t>4.3.2.2.</w:t>
      </w:r>
      <w:r>
        <w:rPr>
          <w:rFonts w:ascii="Times New Roman" w:hAnsi="Times New Roman"/>
          <w:iCs/>
          <w:sz w:val="24"/>
          <w:szCs w:val="24"/>
        </w:rPr>
        <w:t>4</w:t>
      </w:r>
      <w:r w:rsidRPr="0068712D">
        <w:rPr>
          <w:rFonts w:ascii="Times New Roman" w:hAnsi="Times New Roman"/>
          <w:iCs/>
          <w:sz w:val="24"/>
          <w:szCs w:val="24"/>
        </w:rPr>
        <w:t>. Оценка</w:t>
      </w:r>
      <w:r w:rsidR="006108CB">
        <w:rPr>
          <w:rFonts w:ascii="Times New Roman" w:hAnsi="Times New Roman"/>
          <w:iCs/>
          <w:sz w:val="24"/>
          <w:szCs w:val="24"/>
        </w:rPr>
        <w:t xml:space="preserve"> сердечно-сосудистой безопасности</w:t>
      </w:r>
      <w:r w:rsidRPr="0068712D">
        <w:rPr>
          <w:rFonts w:ascii="Times New Roman" w:hAnsi="Times New Roman"/>
          <w:iCs/>
          <w:sz w:val="24"/>
          <w:szCs w:val="24"/>
        </w:rPr>
        <w:t xml:space="preserve"> линаглиптина</w:t>
      </w:r>
      <w:bookmarkEnd w:id="257"/>
      <w:r w:rsidRPr="0068712D">
        <w:rPr>
          <w:rFonts w:ascii="Times New Roman" w:hAnsi="Times New Roman"/>
          <w:iCs/>
          <w:sz w:val="24"/>
          <w:szCs w:val="24"/>
        </w:rPr>
        <w:t xml:space="preserve"> </w:t>
      </w:r>
    </w:p>
    <w:p w14:paraId="232CBF8E" w14:textId="5EB71003" w:rsidR="0090304A" w:rsidRPr="0090304A" w:rsidRDefault="0090304A" w:rsidP="0066460E">
      <w:pPr>
        <w:pStyle w:val="OT"/>
        <w:spacing w:after="0"/>
        <w:ind w:firstLine="709"/>
        <w:rPr>
          <w:sz w:val="24"/>
          <w:szCs w:val="24"/>
        </w:rPr>
      </w:pPr>
      <w:r w:rsidRPr="0090304A">
        <w:rPr>
          <w:sz w:val="24"/>
          <w:szCs w:val="24"/>
        </w:rPr>
        <w:t xml:space="preserve">CAROLINA — рандомизированное исследование с участием 6033 пациентов с диабетом 2 типа на ранних стадиях и повышенным </w:t>
      </w:r>
      <w:r>
        <w:rPr>
          <w:sz w:val="24"/>
          <w:szCs w:val="24"/>
        </w:rPr>
        <w:t>риском сердечно-сосудистых заболеваний</w:t>
      </w:r>
      <w:r w:rsidR="009940E8">
        <w:rPr>
          <w:sz w:val="24"/>
          <w:szCs w:val="24"/>
        </w:rPr>
        <w:t xml:space="preserve"> или установленным осложнением. Пациенты получали линаглиптин</w:t>
      </w:r>
      <w:r w:rsidRPr="0090304A">
        <w:rPr>
          <w:sz w:val="24"/>
          <w:szCs w:val="24"/>
        </w:rPr>
        <w:t xml:space="preserve"> 5 мг (3023) или глимепи</w:t>
      </w:r>
      <w:r w:rsidR="009940E8">
        <w:rPr>
          <w:sz w:val="24"/>
          <w:szCs w:val="24"/>
        </w:rPr>
        <w:t>рид</w:t>
      </w:r>
      <w:r w:rsidRPr="0090304A">
        <w:rPr>
          <w:sz w:val="24"/>
          <w:szCs w:val="24"/>
        </w:rPr>
        <w:t xml:space="preserve"> 1-4 мг</w:t>
      </w:r>
      <w:r w:rsidR="009940E8">
        <w:rPr>
          <w:sz w:val="24"/>
          <w:szCs w:val="24"/>
        </w:rPr>
        <w:t xml:space="preserve"> </w:t>
      </w:r>
      <w:r w:rsidRPr="0090304A">
        <w:rPr>
          <w:sz w:val="24"/>
          <w:szCs w:val="24"/>
        </w:rPr>
        <w:t xml:space="preserve">(3010) </w:t>
      </w:r>
      <w:r w:rsidR="009940E8">
        <w:rPr>
          <w:sz w:val="24"/>
          <w:szCs w:val="24"/>
        </w:rPr>
        <w:t>в дополнение</w:t>
      </w:r>
      <w:r w:rsidRPr="0090304A">
        <w:rPr>
          <w:sz w:val="24"/>
          <w:szCs w:val="24"/>
        </w:rPr>
        <w:t xml:space="preserve"> к стандарт</w:t>
      </w:r>
      <w:r w:rsidR="009940E8">
        <w:rPr>
          <w:sz w:val="24"/>
          <w:szCs w:val="24"/>
        </w:rPr>
        <w:t>ной</w:t>
      </w:r>
      <w:r w:rsidRPr="0090304A">
        <w:rPr>
          <w:sz w:val="24"/>
          <w:szCs w:val="24"/>
        </w:rPr>
        <w:t xml:space="preserve"> </w:t>
      </w:r>
      <w:r w:rsidR="009940E8">
        <w:rPr>
          <w:sz w:val="24"/>
          <w:szCs w:val="24"/>
        </w:rPr>
        <w:t>терапии</w:t>
      </w:r>
      <w:r w:rsidRPr="0090304A">
        <w:rPr>
          <w:sz w:val="24"/>
          <w:szCs w:val="24"/>
        </w:rPr>
        <w:t xml:space="preserve"> (включая </w:t>
      </w:r>
      <w:r w:rsidR="009940E8">
        <w:rPr>
          <w:sz w:val="24"/>
          <w:szCs w:val="24"/>
        </w:rPr>
        <w:t>базовую</w:t>
      </w:r>
      <w:r w:rsidRPr="0090304A">
        <w:rPr>
          <w:sz w:val="24"/>
          <w:szCs w:val="24"/>
        </w:rPr>
        <w:t xml:space="preserve"> терапию метформином у 83% пациентов)</w:t>
      </w:r>
      <w:r w:rsidR="001D465F">
        <w:rPr>
          <w:sz w:val="24"/>
          <w:szCs w:val="24"/>
        </w:rPr>
        <w:t xml:space="preserve"> в соответствии с </w:t>
      </w:r>
      <w:r w:rsidRPr="0090304A">
        <w:rPr>
          <w:sz w:val="24"/>
          <w:szCs w:val="24"/>
        </w:rPr>
        <w:t>региональны</w:t>
      </w:r>
      <w:r w:rsidR="001D465F">
        <w:rPr>
          <w:sz w:val="24"/>
          <w:szCs w:val="24"/>
        </w:rPr>
        <w:t>ми</w:t>
      </w:r>
      <w:r w:rsidRPr="0090304A">
        <w:rPr>
          <w:sz w:val="24"/>
          <w:szCs w:val="24"/>
        </w:rPr>
        <w:t xml:space="preserve"> стандарт</w:t>
      </w:r>
      <w:r w:rsidR="001D465F">
        <w:rPr>
          <w:sz w:val="24"/>
          <w:szCs w:val="24"/>
        </w:rPr>
        <w:t xml:space="preserve">ами </w:t>
      </w:r>
      <w:r w:rsidR="001D465F">
        <w:rPr>
          <w:sz w:val="24"/>
          <w:szCs w:val="24"/>
        </w:rPr>
        <w:lastRenderedPageBreak/>
        <w:t>терапии пациентов с</w:t>
      </w:r>
      <w:r w:rsidRPr="0090304A">
        <w:rPr>
          <w:sz w:val="24"/>
          <w:szCs w:val="24"/>
        </w:rPr>
        <w:t xml:space="preserve"> фактор</w:t>
      </w:r>
      <w:r w:rsidR="001D465F">
        <w:rPr>
          <w:sz w:val="24"/>
          <w:szCs w:val="24"/>
        </w:rPr>
        <w:t>ами</w:t>
      </w:r>
      <w:r w:rsidRPr="0090304A">
        <w:rPr>
          <w:sz w:val="24"/>
          <w:szCs w:val="24"/>
        </w:rPr>
        <w:t xml:space="preserve"> риска HbA1c и сердечно-сосудисты</w:t>
      </w:r>
      <w:r w:rsidR="001D465F">
        <w:rPr>
          <w:sz w:val="24"/>
          <w:szCs w:val="24"/>
        </w:rPr>
        <w:t>ми</w:t>
      </w:r>
      <w:r w:rsidRPr="0090304A">
        <w:rPr>
          <w:sz w:val="24"/>
          <w:szCs w:val="24"/>
        </w:rPr>
        <w:t xml:space="preserve"> заболевани</w:t>
      </w:r>
      <w:r w:rsidR="001D465F">
        <w:rPr>
          <w:sz w:val="24"/>
          <w:szCs w:val="24"/>
        </w:rPr>
        <w:t>ями</w:t>
      </w:r>
      <w:r w:rsidRPr="0090304A">
        <w:rPr>
          <w:sz w:val="24"/>
          <w:szCs w:val="24"/>
        </w:rPr>
        <w:t xml:space="preserve">. Средний возраст исследуемой популяции </w:t>
      </w:r>
      <w:r w:rsidR="001D465F">
        <w:rPr>
          <w:sz w:val="24"/>
          <w:szCs w:val="24"/>
        </w:rPr>
        <w:t xml:space="preserve">составил </w:t>
      </w:r>
      <w:r w:rsidRPr="0090304A">
        <w:rPr>
          <w:sz w:val="24"/>
          <w:szCs w:val="24"/>
        </w:rPr>
        <w:t>64 года</w:t>
      </w:r>
      <w:r w:rsidR="001D465F">
        <w:rPr>
          <w:sz w:val="24"/>
          <w:szCs w:val="24"/>
        </w:rPr>
        <w:t>, включено</w:t>
      </w:r>
      <w:r w:rsidRPr="0090304A">
        <w:rPr>
          <w:sz w:val="24"/>
          <w:szCs w:val="24"/>
        </w:rPr>
        <w:t xml:space="preserve"> 2030 (34%) пациентов в возрасте ≥ 70 лет. Исследуемая популяция включала</w:t>
      </w:r>
      <w:r w:rsidR="0066460E">
        <w:rPr>
          <w:sz w:val="24"/>
          <w:szCs w:val="24"/>
        </w:rPr>
        <w:t xml:space="preserve"> </w:t>
      </w:r>
      <w:r w:rsidRPr="0090304A">
        <w:rPr>
          <w:sz w:val="24"/>
          <w:szCs w:val="24"/>
        </w:rPr>
        <w:t>2089 (35%) пациентов с сердечно-сосудистыми заболеваниями и 1130 (19%) пациентов с почечной недостаточностью с</w:t>
      </w:r>
      <w:r w:rsidR="0066460E">
        <w:rPr>
          <w:sz w:val="24"/>
          <w:szCs w:val="24"/>
        </w:rPr>
        <w:t xml:space="preserve"> исходным уровенем </w:t>
      </w:r>
      <w:r w:rsidRPr="0090304A">
        <w:rPr>
          <w:sz w:val="24"/>
          <w:szCs w:val="24"/>
        </w:rPr>
        <w:t xml:space="preserve">рСКФ </w:t>
      </w:r>
      <w:r w:rsidR="000D54D4" w:rsidRPr="0090304A">
        <w:rPr>
          <w:sz w:val="24"/>
          <w:szCs w:val="24"/>
        </w:rPr>
        <w:t>&lt;60</w:t>
      </w:r>
      <w:r w:rsidRPr="0090304A">
        <w:rPr>
          <w:sz w:val="24"/>
          <w:szCs w:val="24"/>
        </w:rPr>
        <w:t xml:space="preserve"> мл/мин/1,73 м</w:t>
      </w:r>
      <w:r w:rsidRPr="0066460E">
        <w:rPr>
          <w:sz w:val="24"/>
          <w:szCs w:val="24"/>
          <w:vertAlign w:val="superscript"/>
        </w:rPr>
        <w:t>2</w:t>
      </w:r>
      <w:r w:rsidR="0066460E">
        <w:rPr>
          <w:sz w:val="24"/>
          <w:szCs w:val="24"/>
        </w:rPr>
        <w:t xml:space="preserve">. </w:t>
      </w:r>
      <w:r w:rsidRPr="0090304A">
        <w:rPr>
          <w:sz w:val="24"/>
          <w:szCs w:val="24"/>
        </w:rPr>
        <w:t xml:space="preserve">Средний </w:t>
      </w:r>
      <w:r w:rsidR="0066460E">
        <w:rPr>
          <w:sz w:val="24"/>
          <w:szCs w:val="24"/>
        </w:rPr>
        <w:t xml:space="preserve">исходный </w:t>
      </w:r>
      <w:r w:rsidRPr="0090304A">
        <w:rPr>
          <w:sz w:val="24"/>
          <w:szCs w:val="24"/>
        </w:rPr>
        <w:t>уровень HbA1c составлял 7,15%.</w:t>
      </w:r>
    </w:p>
    <w:p w14:paraId="46AC1A19" w14:textId="2CD7AF39" w:rsidR="0090304A" w:rsidRPr="0090304A" w:rsidRDefault="000B414E" w:rsidP="00723B16">
      <w:pPr>
        <w:pStyle w:val="OT"/>
        <w:spacing w:after="0"/>
        <w:ind w:firstLine="709"/>
        <w:rPr>
          <w:sz w:val="24"/>
          <w:szCs w:val="24"/>
        </w:rPr>
      </w:pPr>
      <w:r>
        <w:rPr>
          <w:sz w:val="24"/>
          <w:szCs w:val="24"/>
        </w:rPr>
        <w:t>Дизайн иследования подразумевал</w:t>
      </w:r>
      <w:r w:rsidR="0090304A" w:rsidRPr="0090304A">
        <w:rPr>
          <w:sz w:val="24"/>
          <w:szCs w:val="24"/>
        </w:rPr>
        <w:t xml:space="preserve"> демонстраци</w:t>
      </w:r>
      <w:r>
        <w:rPr>
          <w:sz w:val="24"/>
          <w:szCs w:val="24"/>
        </w:rPr>
        <w:t>ю</w:t>
      </w:r>
      <w:r w:rsidR="0090304A" w:rsidRPr="0090304A">
        <w:rPr>
          <w:sz w:val="24"/>
          <w:szCs w:val="24"/>
        </w:rPr>
        <w:t xml:space="preserve"> не меньшей эффективности в отношении </w:t>
      </w:r>
      <w:r>
        <w:rPr>
          <w:sz w:val="24"/>
          <w:szCs w:val="24"/>
        </w:rPr>
        <w:t xml:space="preserve">комбинированной </w:t>
      </w:r>
      <w:r w:rsidR="0090304A" w:rsidRPr="0090304A">
        <w:rPr>
          <w:sz w:val="24"/>
          <w:szCs w:val="24"/>
        </w:rPr>
        <w:t>первичной конечной точки</w:t>
      </w:r>
      <w:r>
        <w:rPr>
          <w:sz w:val="24"/>
          <w:szCs w:val="24"/>
        </w:rPr>
        <w:t xml:space="preserve"> по сердучно-сосудистым событиям, которая включала </w:t>
      </w:r>
      <w:r w:rsidR="00723B16">
        <w:rPr>
          <w:sz w:val="24"/>
          <w:szCs w:val="24"/>
        </w:rPr>
        <w:t>первый случай</w:t>
      </w:r>
      <w:r w:rsidR="00723B16" w:rsidRPr="00734AC8">
        <w:rPr>
          <w:sz w:val="24"/>
          <w:szCs w:val="24"/>
        </w:rPr>
        <w:t xml:space="preserve"> смерти от сердечно-сосудистых заболеваний или нефатального инфаркта миокарда</w:t>
      </w:r>
      <w:r w:rsidR="00723B16">
        <w:rPr>
          <w:sz w:val="24"/>
          <w:szCs w:val="24"/>
        </w:rPr>
        <w:t xml:space="preserve"> </w:t>
      </w:r>
      <w:r w:rsidR="00723B16" w:rsidRPr="00734AC8">
        <w:rPr>
          <w:sz w:val="24"/>
          <w:szCs w:val="24"/>
        </w:rPr>
        <w:t>(ИМ) или несм</w:t>
      </w:r>
      <w:r w:rsidR="00723B16">
        <w:rPr>
          <w:sz w:val="24"/>
          <w:szCs w:val="24"/>
        </w:rPr>
        <w:t>ертельного инсульта.</w:t>
      </w:r>
    </w:p>
    <w:p w14:paraId="77E96ECB" w14:textId="6B26BD19" w:rsidR="0090304A" w:rsidRPr="0090304A" w:rsidRDefault="0090304A" w:rsidP="00331B0E">
      <w:pPr>
        <w:pStyle w:val="OT"/>
        <w:spacing w:after="0"/>
        <w:ind w:firstLine="709"/>
        <w:rPr>
          <w:sz w:val="24"/>
          <w:szCs w:val="24"/>
        </w:rPr>
      </w:pPr>
      <w:r w:rsidRPr="0090304A">
        <w:rPr>
          <w:sz w:val="24"/>
          <w:szCs w:val="24"/>
        </w:rPr>
        <w:t>При медиане наблюдения 6,25 года линаглиптин не увеличивал риск с</w:t>
      </w:r>
      <w:r w:rsidR="00723B16">
        <w:rPr>
          <w:sz w:val="24"/>
          <w:szCs w:val="24"/>
        </w:rPr>
        <w:t xml:space="preserve">ерьезных нежелательных явлений со стороны </w:t>
      </w:r>
      <w:r w:rsidRPr="0090304A">
        <w:rPr>
          <w:sz w:val="24"/>
          <w:szCs w:val="24"/>
        </w:rPr>
        <w:t>сердечно-сосудист</w:t>
      </w:r>
      <w:r w:rsidR="00723B16">
        <w:rPr>
          <w:sz w:val="24"/>
          <w:szCs w:val="24"/>
        </w:rPr>
        <w:t>ой</w:t>
      </w:r>
      <w:r w:rsidRPr="0090304A">
        <w:rPr>
          <w:sz w:val="24"/>
          <w:szCs w:val="24"/>
        </w:rPr>
        <w:t xml:space="preserve"> </w:t>
      </w:r>
      <w:r w:rsidR="00723B16">
        <w:rPr>
          <w:sz w:val="24"/>
          <w:szCs w:val="24"/>
        </w:rPr>
        <w:t>системы</w:t>
      </w:r>
      <w:r w:rsidRPr="0090304A">
        <w:rPr>
          <w:sz w:val="24"/>
          <w:szCs w:val="24"/>
        </w:rPr>
        <w:t xml:space="preserve"> (см. таблицу </w:t>
      </w:r>
      <w:r w:rsidR="00723B16">
        <w:rPr>
          <w:sz w:val="24"/>
          <w:szCs w:val="24"/>
        </w:rPr>
        <w:t>4-</w:t>
      </w:r>
      <w:r w:rsidRPr="0090304A">
        <w:rPr>
          <w:sz w:val="24"/>
          <w:szCs w:val="24"/>
        </w:rPr>
        <w:t xml:space="preserve">3) по сравнению с глимепиридом. Результаты были </w:t>
      </w:r>
      <w:r w:rsidR="00331B0E">
        <w:rPr>
          <w:sz w:val="24"/>
          <w:szCs w:val="24"/>
        </w:rPr>
        <w:t>сходными</w:t>
      </w:r>
      <w:r w:rsidRPr="0090304A">
        <w:rPr>
          <w:sz w:val="24"/>
          <w:szCs w:val="24"/>
        </w:rPr>
        <w:t xml:space="preserve"> для пациентов</w:t>
      </w:r>
      <w:r w:rsidR="00331B0E">
        <w:rPr>
          <w:sz w:val="24"/>
          <w:szCs w:val="24"/>
        </w:rPr>
        <w:t xml:space="preserve">, которые получали и не получали </w:t>
      </w:r>
      <w:r w:rsidRPr="0090304A">
        <w:rPr>
          <w:sz w:val="24"/>
          <w:szCs w:val="24"/>
        </w:rPr>
        <w:t>лечение метформином</w:t>
      </w:r>
      <w:r w:rsidR="00097FCE" w:rsidRPr="00097FCE">
        <w:rPr>
          <w:sz w:val="24"/>
          <w:szCs w:val="24"/>
        </w:rPr>
        <w:t xml:space="preserve"> [1]</w:t>
      </w:r>
      <w:r w:rsidRPr="0090304A">
        <w:rPr>
          <w:sz w:val="24"/>
          <w:szCs w:val="24"/>
        </w:rPr>
        <w:t>.</w:t>
      </w:r>
    </w:p>
    <w:p w14:paraId="00CD967E" w14:textId="77777777" w:rsidR="00E37DAC" w:rsidRDefault="00E37DAC" w:rsidP="00E37DAC">
      <w:pPr>
        <w:pStyle w:val="OT"/>
        <w:spacing w:after="0"/>
        <w:rPr>
          <w:sz w:val="24"/>
          <w:szCs w:val="24"/>
        </w:rPr>
      </w:pPr>
    </w:p>
    <w:p w14:paraId="7FF3756A" w14:textId="632C25F1" w:rsidR="00AB1566" w:rsidRDefault="0090304A" w:rsidP="000D54D4">
      <w:pPr>
        <w:pStyle w:val="OT"/>
        <w:spacing w:after="0"/>
        <w:rPr>
          <w:sz w:val="24"/>
          <w:szCs w:val="24"/>
        </w:rPr>
      </w:pPr>
      <w:r w:rsidRPr="00097FCE">
        <w:rPr>
          <w:b/>
          <w:sz w:val="24"/>
          <w:szCs w:val="24"/>
        </w:rPr>
        <w:t xml:space="preserve">Таблица </w:t>
      </w:r>
      <w:r w:rsidR="00E37DAC" w:rsidRPr="00097FCE">
        <w:rPr>
          <w:b/>
          <w:sz w:val="24"/>
          <w:szCs w:val="24"/>
        </w:rPr>
        <w:t>4-</w:t>
      </w:r>
      <w:r w:rsidRPr="00097FCE">
        <w:rPr>
          <w:b/>
          <w:sz w:val="24"/>
          <w:szCs w:val="24"/>
        </w:rPr>
        <w:t>3</w:t>
      </w:r>
      <w:r w:rsidR="00E37DAC" w:rsidRPr="00097FCE">
        <w:rPr>
          <w:b/>
          <w:sz w:val="24"/>
          <w:szCs w:val="24"/>
        </w:rPr>
        <w:t>.</w:t>
      </w:r>
      <w:r w:rsidRPr="0090304A">
        <w:rPr>
          <w:sz w:val="24"/>
          <w:szCs w:val="24"/>
        </w:rPr>
        <w:t xml:space="preserve"> Основные неблагоприятн</w:t>
      </w:r>
      <w:r w:rsidR="000D54D4">
        <w:rPr>
          <w:sz w:val="24"/>
          <w:szCs w:val="24"/>
        </w:rPr>
        <w:t xml:space="preserve">ые сердечно-сосудистые события </w:t>
      </w:r>
      <w:r w:rsidRPr="0090304A">
        <w:rPr>
          <w:sz w:val="24"/>
          <w:szCs w:val="24"/>
        </w:rPr>
        <w:t>и смертность по группам лечения в</w:t>
      </w:r>
      <w:r w:rsidR="000D54D4">
        <w:rPr>
          <w:sz w:val="24"/>
          <w:szCs w:val="24"/>
        </w:rPr>
        <w:t xml:space="preserve"> исследовании </w:t>
      </w:r>
      <w:r w:rsidR="000D54D4">
        <w:rPr>
          <w:sz w:val="24"/>
          <w:szCs w:val="24"/>
          <w:lang w:val="en-US"/>
        </w:rPr>
        <w:t>CAROLINA</w:t>
      </w:r>
      <w:r w:rsidR="00097FCE" w:rsidRPr="00097FCE">
        <w:rPr>
          <w:sz w:val="24"/>
          <w:szCs w:val="24"/>
        </w:rPr>
        <w:t xml:space="preserve"> [1]</w:t>
      </w:r>
      <w:r w:rsidR="000D54D4" w:rsidRPr="000D54D4">
        <w:rPr>
          <w:sz w:val="24"/>
          <w:szCs w:val="24"/>
        </w:rPr>
        <w:t>.</w:t>
      </w:r>
    </w:p>
    <w:tbl>
      <w:tblPr>
        <w:tblStyle w:val="a8"/>
        <w:tblW w:w="0" w:type="auto"/>
        <w:tblLook w:val="04A0" w:firstRow="1" w:lastRow="0" w:firstColumn="1" w:lastColumn="0" w:noHBand="0" w:noVBand="1"/>
      </w:tblPr>
      <w:tblGrid>
        <w:gridCol w:w="1896"/>
        <w:gridCol w:w="1222"/>
        <w:gridCol w:w="1785"/>
        <w:gridCol w:w="1222"/>
        <w:gridCol w:w="1785"/>
        <w:gridCol w:w="1436"/>
      </w:tblGrid>
      <w:tr w:rsidR="00097FCE" w:rsidRPr="007F5E52" w14:paraId="2561EAC2" w14:textId="77777777" w:rsidTr="0092066D">
        <w:tc>
          <w:tcPr>
            <w:tcW w:w="1911" w:type="dxa"/>
            <w:vMerge w:val="restart"/>
            <w:shd w:val="clear" w:color="auto" w:fill="D9D9D9" w:themeFill="background1" w:themeFillShade="D9"/>
            <w:vAlign w:val="center"/>
          </w:tcPr>
          <w:p w14:paraId="08C702D6" w14:textId="23B41A84" w:rsidR="00097FCE" w:rsidRPr="007F5E52" w:rsidRDefault="007F5E52" w:rsidP="0092066D">
            <w:pPr>
              <w:pStyle w:val="OT"/>
              <w:spacing w:after="0"/>
              <w:jc w:val="center"/>
              <w:rPr>
                <w:b/>
                <w:sz w:val="24"/>
                <w:szCs w:val="24"/>
              </w:rPr>
            </w:pPr>
            <w:r w:rsidRPr="007F5E52">
              <w:rPr>
                <w:b/>
                <w:sz w:val="24"/>
                <w:szCs w:val="24"/>
              </w:rPr>
              <w:t>Параметр</w:t>
            </w:r>
          </w:p>
        </w:tc>
        <w:tc>
          <w:tcPr>
            <w:tcW w:w="3030" w:type="dxa"/>
            <w:gridSpan w:val="2"/>
            <w:shd w:val="clear" w:color="auto" w:fill="D9D9D9" w:themeFill="background1" w:themeFillShade="D9"/>
            <w:vAlign w:val="center"/>
          </w:tcPr>
          <w:p w14:paraId="55C46E95" w14:textId="77777777" w:rsidR="00097FCE" w:rsidRPr="007F5E52" w:rsidRDefault="00097FCE" w:rsidP="0092066D">
            <w:pPr>
              <w:pStyle w:val="OT"/>
              <w:spacing w:after="0"/>
              <w:jc w:val="center"/>
              <w:rPr>
                <w:b/>
                <w:sz w:val="24"/>
                <w:szCs w:val="24"/>
              </w:rPr>
            </w:pPr>
            <w:r w:rsidRPr="007F5E52">
              <w:rPr>
                <w:b/>
                <w:sz w:val="24"/>
                <w:szCs w:val="24"/>
              </w:rPr>
              <w:t>Линаглиптин 5 мг</w:t>
            </w:r>
          </w:p>
        </w:tc>
        <w:tc>
          <w:tcPr>
            <w:tcW w:w="3030" w:type="dxa"/>
            <w:gridSpan w:val="2"/>
            <w:shd w:val="clear" w:color="auto" w:fill="D9D9D9" w:themeFill="background1" w:themeFillShade="D9"/>
            <w:vAlign w:val="center"/>
          </w:tcPr>
          <w:p w14:paraId="6BD335B9" w14:textId="77777777" w:rsidR="00097FCE" w:rsidRPr="007F5E52" w:rsidRDefault="00097FCE" w:rsidP="0092066D">
            <w:pPr>
              <w:pStyle w:val="OT"/>
              <w:spacing w:after="0"/>
              <w:jc w:val="center"/>
              <w:rPr>
                <w:b/>
                <w:sz w:val="24"/>
                <w:szCs w:val="24"/>
              </w:rPr>
            </w:pPr>
            <w:r w:rsidRPr="007F5E52">
              <w:rPr>
                <w:b/>
                <w:sz w:val="24"/>
                <w:szCs w:val="24"/>
              </w:rPr>
              <w:t>Плацебо</w:t>
            </w:r>
          </w:p>
        </w:tc>
        <w:tc>
          <w:tcPr>
            <w:tcW w:w="1375" w:type="dxa"/>
            <w:shd w:val="clear" w:color="auto" w:fill="D9D9D9" w:themeFill="background1" w:themeFillShade="D9"/>
            <w:vAlign w:val="center"/>
          </w:tcPr>
          <w:p w14:paraId="20C0F41E" w14:textId="77777777" w:rsidR="00097FCE" w:rsidRPr="007F5E52" w:rsidRDefault="00097FCE" w:rsidP="0092066D">
            <w:pPr>
              <w:pStyle w:val="OT"/>
              <w:spacing w:after="0"/>
              <w:jc w:val="center"/>
              <w:rPr>
                <w:b/>
                <w:sz w:val="24"/>
                <w:szCs w:val="24"/>
              </w:rPr>
            </w:pPr>
            <w:r w:rsidRPr="007F5E52">
              <w:rPr>
                <w:b/>
                <w:sz w:val="24"/>
                <w:szCs w:val="24"/>
              </w:rPr>
              <w:t>Отношение рисков</w:t>
            </w:r>
          </w:p>
        </w:tc>
      </w:tr>
      <w:tr w:rsidR="00097FCE" w:rsidRPr="007F5E52" w14:paraId="6CC61E5D" w14:textId="77777777" w:rsidTr="0092066D">
        <w:tc>
          <w:tcPr>
            <w:tcW w:w="1911" w:type="dxa"/>
            <w:vMerge/>
            <w:shd w:val="clear" w:color="auto" w:fill="D9D9D9" w:themeFill="background1" w:themeFillShade="D9"/>
            <w:vAlign w:val="center"/>
          </w:tcPr>
          <w:p w14:paraId="3877CF5F" w14:textId="77777777" w:rsidR="00097FCE" w:rsidRPr="007F5E52" w:rsidRDefault="00097FCE" w:rsidP="0092066D">
            <w:pPr>
              <w:pStyle w:val="OT"/>
              <w:spacing w:after="0"/>
              <w:jc w:val="center"/>
              <w:rPr>
                <w:sz w:val="24"/>
                <w:szCs w:val="24"/>
              </w:rPr>
            </w:pPr>
          </w:p>
        </w:tc>
        <w:tc>
          <w:tcPr>
            <w:tcW w:w="1231" w:type="dxa"/>
            <w:shd w:val="clear" w:color="auto" w:fill="D9D9D9" w:themeFill="background1" w:themeFillShade="D9"/>
            <w:vAlign w:val="center"/>
          </w:tcPr>
          <w:p w14:paraId="675B4082" w14:textId="77777777" w:rsidR="00097FCE" w:rsidRPr="007F5E52" w:rsidRDefault="00097FCE" w:rsidP="0092066D">
            <w:pPr>
              <w:pStyle w:val="OT"/>
              <w:spacing w:after="0"/>
              <w:jc w:val="center"/>
              <w:rPr>
                <w:sz w:val="24"/>
                <w:szCs w:val="24"/>
              </w:rPr>
            </w:pPr>
            <w:r w:rsidRPr="007F5E52">
              <w:rPr>
                <w:sz w:val="24"/>
                <w:szCs w:val="24"/>
              </w:rPr>
              <w:t>Число субъектов (%)</w:t>
            </w:r>
          </w:p>
        </w:tc>
        <w:tc>
          <w:tcPr>
            <w:tcW w:w="1799" w:type="dxa"/>
            <w:shd w:val="clear" w:color="auto" w:fill="D9D9D9" w:themeFill="background1" w:themeFillShade="D9"/>
            <w:vAlign w:val="center"/>
          </w:tcPr>
          <w:p w14:paraId="32C6A2A1" w14:textId="77777777" w:rsidR="00097FCE" w:rsidRPr="007F5E52" w:rsidRDefault="00097FCE" w:rsidP="0092066D">
            <w:pPr>
              <w:pStyle w:val="OT"/>
              <w:spacing w:after="0"/>
              <w:jc w:val="center"/>
              <w:rPr>
                <w:sz w:val="24"/>
                <w:szCs w:val="24"/>
              </w:rPr>
            </w:pPr>
            <w:r w:rsidRPr="007F5E52">
              <w:rPr>
                <w:sz w:val="24"/>
                <w:szCs w:val="24"/>
              </w:rPr>
              <w:t>Заболеваемость (частота на 1000 пациенто-лет)</w:t>
            </w:r>
          </w:p>
        </w:tc>
        <w:tc>
          <w:tcPr>
            <w:tcW w:w="1231" w:type="dxa"/>
            <w:shd w:val="clear" w:color="auto" w:fill="D9D9D9" w:themeFill="background1" w:themeFillShade="D9"/>
            <w:vAlign w:val="center"/>
          </w:tcPr>
          <w:p w14:paraId="0959C771" w14:textId="77777777" w:rsidR="00097FCE" w:rsidRPr="007F5E52" w:rsidRDefault="00097FCE" w:rsidP="0092066D">
            <w:pPr>
              <w:pStyle w:val="OT"/>
              <w:spacing w:after="0"/>
              <w:jc w:val="center"/>
              <w:rPr>
                <w:sz w:val="24"/>
                <w:szCs w:val="24"/>
              </w:rPr>
            </w:pPr>
            <w:r w:rsidRPr="007F5E52">
              <w:rPr>
                <w:sz w:val="24"/>
                <w:szCs w:val="24"/>
              </w:rPr>
              <w:t>Число субъектов (%)</w:t>
            </w:r>
          </w:p>
        </w:tc>
        <w:tc>
          <w:tcPr>
            <w:tcW w:w="1799" w:type="dxa"/>
            <w:shd w:val="clear" w:color="auto" w:fill="D9D9D9" w:themeFill="background1" w:themeFillShade="D9"/>
            <w:vAlign w:val="center"/>
          </w:tcPr>
          <w:p w14:paraId="5445026E" w14:textId="77777777" w:rsidR="00097FCE" w:rsidRPr="007F5E52" w:rsidRDefault="00097FCE" w:rsidP="0092066D">
            <w:pPr>
              <w:pStyle w:val="OT"/>
              <w:spacing w:after="0"/>
              <w:jc w:val="center"/>
              <w:rPr>
                <w:sz w:val="24"/>
                <w:szCs w:val="24"/>
              </w:rPr>
            </w:pPr>
            <w:r w:rsidRPr="007F5E52">
              <w:rPr>
                <w:sz w:val="24"/>
                <w:szCs w:val="24"/>
              </w:rPr>
              <w:t>Заболеваемость (частота на 1000 пациенто-лет)</w:t>
            </w:r>
          </w:p>
        </w:tc>
        <w:tc>
          <w:tcPr>
            <w:tcW w:w="1375" w:type="dxa"/>
            <w:shd w:val="clear" w:color="auto" w:fill="D9D9D9" w:themeFill="background1" w:themeFillShade="D9"/>
            <w:vAlign w:val="center"/>
          </w:tcPr>
          <w:p w14:paraId="767B21A1" w14:textId="77777777" w:rsidR="00097FCE" w:rsidRPr="007F5E52" w:rsidRDefault="00097FCE" w:rsidP="0092066D">
            <w:pPr>
              <w:pStyle w:val="OT"/>
              <w:spacing w:after="0"/>
              <w:jc w:val="center"/>
              <w:rPr>
                <w:sz w:val="24"/>
                <w:szCs w:val="24"/>
              </w:rPr>
            </w:pPr>
            <w:r w:rsidRPr="007F5E52">
              <w:rPr>
                <w:sz w:val="24"/>
                <w:szCs w:val="24"/>
              </w:rPr>
              <w:t>95% ДИ</w:t>
            </w:r>
          </w:p>
        </w:tc>
      </w:tr>
      <w:tr w:rsidR="00097FCE" w:rsidRPr="007F5E52" w14:paraId="0D6BF34A" w14:textId="77777777" w:rsidTr="0092066D">
        <w:tc>
          <w:tcPr>
            <w:tcW w:w="1911" w:type="dxa"/>
          </w:tcPr>
          <w:p w14:paraId="0787BFD0" w14:textId="77777777" w:rsidR="00097FCE" w:rsidRPr="007F5E52" w:rsidRDefault="00097FCE" w:rsidP="0092066D">
            <w:pPr>
              <w:pStyle w:val="OT"/>
              <w:spacing w:after="0"/>
              <w:jc w:val="center"/>
              <w:rPr>
                <w:sz w:val="24"/>
                <w:szCs w:val="24"/>
              </w:rPr>
            </w:pPr>
            <w:r w:rsidRPr="007F5E52">
              <w:rPr>
                <w:sz w:val="24"/>
                <w:szCs w:val="24"/>
              </w:rPr>
              <w:t>Число пациентов</w:t>
            </w:r>
          </w:p>
        </w:tc>
        <w:tc>
          <w:tcPr>
            <w:tcW w:w="1231" w:type="dxa"/>
            <w:vAlign w:val="center"/>
          </w:tcPr>
          <w:p w14:paraId="7DD642EF" w14:textId="324DB6AF" w:rsidR="00097FCE" w:rsidRPr="007F5E52" w:rsidRDefault="0065199C" w:rsidP="0092066D">
            <w:pPr>
              <w:pStyle w:val="OT"/>
              <w:spacing w:after="0"/>
              <w:jc w:val="center"/>
              <w:rPr>
                <w:sz w:val="24"/>
                <w:szCs w:val="24"/>
              </w:rPr>
            </w:pPr>
            <w:r w:rsidRPr="007F5E52">
              <w:rPr>
                <w:sz w:val="24"/>
                <w:szCs w:val="24"/>
              </w:rPr>
              <w:t>3023</w:t>
            </w:r>
          </w:p>
        </w:tc>
        <w:tc>
          <w:tcPr>
            <w:tcW w:w="1799" w:type="dxa"/>
            <w:vAlign w:val="center"/>
          </w:tcPr>
          <w:p w14:paraId="1FD2C9C1" w14:textId="77777777" w:rsidR="00097FCE" w:rsidRPr="007F5E52" w:rsidRDefault="00097FCE" w:rsidP="0092066D">
            <w:pPr>
              <w:pStyle w:val="OT"/>
              <w:spacing w:after="0"/>
              <w:jc w:val="center"/>
              <w:rPr>
                <w:sz w:val="24"/>
                <w:szCs w:val="24"/>
              </w:rPr>
            </w:pPr>
          </w:p>
        </w:tc>
        <w:tc>
          <w:tcPr>
            <w:tcW w:w="1231" w:type="dxa"/>
            <w:vAlign w:val="center"/>
          </w:tcPr>
          <w:p w14:paraId="7492BF8F" w14:textId="3AEFCD32" w:rsidR="00097FCE" w:rsidRPr="007F5E52" w:rsidRDefault="0065199C" w:rsidP="0092066D">
            <w:pPr>
              <w:pStyle w:val="OT"/>
              <w:spacing w:after="0"/>
              <w:jc w:val="center"/>
              <w:rPr>
                <w:sz w:val="24"/>
                <w:szCs w:val="24"/>
              </w:rPr>
            </w:pPr>
            <w:r w:rsidRPr="007F5E52">
              <w:rPr>
                <w:sz w:val="24"/>
                <w:szCs w:val="24"/>
              </w:rPr>
              <w:t>3010</w:t>
            </w:r>
          </w:p>
        </w:tc>
        <w:tc>
          <w:tcPr>
            <w:tcW w:w="1799" w:type="dxa"/>
            <w:vAlign w:val="center"/>
          </w:tcPr>
          <w:p w14:paraId="3CCBD7F8" w14:textId="77777777" w:rsidR="00097FCE" w:rsidRPr="007F5E52" w:rsidRDefault="00097FCE" w:rsidP="0092066D">
            <w:pPr>
              <w:pStyle w:val="OT"/>
              <w:spacing w:after="0"/>
              <w:jc w:val="center"/>
              <w:rPr>
                <w:sz w:val="24"/>
                <w:szCs w:val="24"/>
              </w:rPr>
            </w:pPr>
          </w:p>
        </w:tc>
        <w:tc>
          <w:tcPr>
            <w:tcW w:w="1375" w:type="dxa"/>
            <w:vAlign w:val="center"/>
          </w:tcPr>
          <w:p w14:paraId="73292B38" w14:textId="77777777" w:rsidR="00097FCE" w:rsidRPr="007F5E52" w:rsidRDefault="00097FCE" w:rsidP="0092066D">
            <w:pPr>
              <w:pStyle w:val="OT"/>
              <w:spacing w:after="0"/>
              <w:jc w:val="center"/>
              <w:rPr>
                <w:sz w:val="24"/>
                <w:szCs w:val="24"/>
              </w:rPr>
            </w:pPr>
          </w:p>
        </w:tc>
      </w:tr>
      <w:tr w:rsidR="00097FCE" w:rsidRPr="007F5E52" w14:paraId="6DD1245A" w14:textId="77777777" w:rsidTr="0092066D">
        <w:tc>
          <w:tcPr>
            <w:tcW w:w="1911" w:type="dxa"/>
          </w:tcPr>
          <w:p w14:paraId="01611FC0" w14:textId="77777777" w:rsidR="00097FCE" w:rsidRPr="007F5E52" w:rsidRDefault="00097FCE" w:rsidP="0092066D">
            <w:pPr>
              <w:pStyle w:val="OT"/>
              <w:spacing w:after="0"/>
              <w:jc w:val="center"/>
              <w:rPr>
                <w:sz w:val="24"/>
                <w:szCs w:val="24"/>
              </w:rPr>
            </w:pPr>
            <w:r w:rsidRPr="007F5E52">
              <w:rPr>
                <w:sz w:val="24"/>
                <w:szCs w:val="24"/>
              </w:rPr>
              <w:t>Композитная первичная конечная точка (по сердечно-сосудистым событиям)</w:t>
            </w:r>
          </w:p>
        </w:tc>
        <w:tc>
          <w:tcPr>
            <w:tcW w:w="1231" w:type="dxa"/>
            <w:vAlign w:val="center"/>
          </w:tcPr>
          <w:p w14:paraId="060BAF44" w14:textId="1393A046" w:rsidR="00097FCE" w:rsidRPr="007F5E52" w:rsidRDefault="0065199C" w:rsidP="0092066D">
            <w:pPr>
              <w:pStyle w:val="OT"/>
              <w:spacing w:after="0"/>
              <w:jc w:val="center"/>
              <w:rPr>
                <w:sz w:val="24"/>
                <w:szCs w:val="24"/>
              </w:rPr>
            </w:pPr>
            <w:r w:rsidRPr="007F5E52">
              <w:rPr>
                <w:sz w:val="24"/>
                <w:szCs w:val="24"/>
              </w:rPr>
              <w:t>356 (11,8)</w:t>
            </w:r>
          </w:p>
        </w:tc>
        <w:tc>
          <w:tcPr>
            <w:tcW w:w="1799" w:type="dxa"/>
            <w:vAlign w:val="center"/>
          </w:tcPr>
          <w:p w14:paraId="094F851F" w14:textId="634639B6" w:rsidR="00097FCE" w:rsidRPr="007F5E52" w:rsidRDefault="0065199C" w:rsidP="0092066D">
            <w:pPr>
              <w:pStyle w:val="OT"/>
              <w:spacing w:after="0"/>
              <w:jc w:val="center"/>
              <w:rPr>
                <w:sz w:val="24"/>
                <w:szCs w:val="24"/>
              </w:rPr>
            </w:pPr>
            <w:r w:rsidRPr="007F5E52">
              <w:rPr>
                <w:sz w:val="24"/>
                <w:szCs w:val="24"/>
              </w:rPr>
              <w:t>20,7</w:t>
            </w:r>
          </w:p>
        </w:tc>
        <w:tc>
          <w:tcPr>
            <w:tcW w:w="1231" w:type="dxa"/>
            <w:vAlign w:val="center"/>
          </w:tcPr>
          <w:p w14:paraId="4AB2A4D3" w14:textId="75D8E5E2" w:rsidR="00097FCE" w:rsidRPr="007F5E52" w:rsidRDefault="0065199C" w:rsidP="0092066D">
            <w:pPr>
              <w:pStyle w:val="OT"/>
              <w:spacing w:after="0"/>
              <w:jc w:val="center"/>
              <w:rPr>
                <w:sz w:val="24"/>
                <w:szCs w:val="24"/>
              </w:rPr>
            </w:pPr>
            <w:r w:rsidRPr="007F5E52">
              <w:rPr>
                <w:sz w:val="24"/>
                <w:szCs w:val="24"/>
              </w:rPr>
              <w:t>362 (12,0)</w:t>
            </w:r>
          </w:p>
        </w:tc>
        <w:tc>
          <w:tcPr>
            <w:tcW w:w="1799" w:type="dxa"/>
            <w:vAlign w:val="center"/>
          </w:tcPr>
          <w:p w14:paraId="426A13D1" w14:textId="5308AE08" w:rsidR="00097FCE" w:rsidRPr="007F5E52" w:rsidRDefault="0065199C" w:rsidP="0092066D">
            <w:pPr>
              <w:pStyle w:val="OT"/>
              <w:spacing w:after="0"/>
              <w:jc w:val="center"/>
              <w:rPr>
                <w:sz w:val="24"/>
                <w:szCs w:val="24"/>
              </w:rPr>
            </w:pPr>
            <w:r w:rsidRPr="007F5E52">
              <w:rPr>
                <w:sz w:val="24"/>
                <w:szCs w:val="24"/>
              </w:rPr>
              <w:t>21,2</w:t>
            </w:r>
          </w:p>
        </w:tc>
        <w:tc>
          <w:tcPr>
            <w:tcW w:w="1375" w:type="dxa"/>
            <w:vAlign w:val="center"/>
          </w:tcPr>
          <w:p w14:paraId="7A870AD2" w14:textId="44E4F2C5" w:rsidR="00097FCE" w:rsidRPr="007F5E52" w:rsidRDefault="0065199C" w:rsidP="0092066D">
            <w:pPr>
              <w:pStyle w:val="OT"/>
              <w:spacing w:after="0"/>
              <w:jc w:val="center"/>
              <w:rPr>
                <w:sz w:val="24"/>
                <w:szCs w:val="24"/>
              </w:rPr>
            </w:pPr>
            <w:r w:rsidRPr="007F5E52">
              <w:rPr>
                <w:sz w:val="24"/>
                <w:szCs w:val="24"/>
              </w:rPr>
              <w:t>0,98</w:t>
            </w:r>
          </w:p>
          <w:p w14:paraId="29B70896" w14:textId="013206F4" w:rsidR="00097FCE" w:rsidRPr="007F5E52" w:rsidRDefault="00097FCE" w:rsidP="0065199C">
            <w:pPr>
              <w:pStyle w:val="OT"/>
              <w:spacing w:after="0"/>
              <w:jc w:val="center"/>
              <w:rPr>
                <w:sz w:val="24"/>
                <w:szCs w:val="24"/>
              </w:rPr>
            </w:pPr>
            <w:r w:rsidRPr="007F5E52">
              <w:rPr>
                <w:sz w:val="24"/>
                <w:szCs w:val="24"/>
              </w:rPr>
              <w:t>(0,8</w:t>
            </w:r>
            <w:r w:rsidR="0065199C" w:rsidRPr="007F5E52">
              <w:rPr>
                <w:sz w:val="24"/>
                <w:szCs w:val="24"/>
              </w:rPr>
              <w:t>4</w:t>
            </w:r>
            <w:r w:rsidRPr="007F5E52">
              <w:rPr>
                <w:sz w:val="24"/>
                <w:szCs w:val="24"/>
              </w:rPr>
              <w:t>; 1,1</w:t>
            </w:r>
            <w:r w:rsidR="0065199C" w:rsidRPr="007F5E52">
              <w:rPr>
                <w:sz w:val="24"/>
                <w:szCs w:val="24"/>
              </w:rPr>
              <w:t>4</w:t>
            </w:r>
            <w:r w:rsidRPr="007F5E52">
              <w:rPr>
                <w:sz w:val="24"/>
                <w:szCs w:val="24"/>
              </w:rPr>
              <w:t>)*</w:t>
            </w:r>
          </w:p>
        </w:tc>
      </w:tr>
      <w:tr w:rsidR="00097FCE" w:rsidRPr="007F5E52" w14:paraId="3A66A8A5" w14:textId="77777777" w:rsidTr="0092066D">
        <w:tc>
          <w:tcPr>
            <w:tcW w:w="1911" w:type="dxa"/>
          </w:tcPr>
          <w:p w14:paraId="10E203F9" w14:textId="77777777" w:rsidR="00097FCE" w:rsidRPr="007F5E52" w:rsidRDefault="00097FCE" w:rsidP="0092066D">
            <w:pPr>
              <w:pStyle w:val="OT"/>
              <w:spacing w:after="0"/>
              <w:jc w:val="center"/>
              <w:rPr>
                <w:sz w:val="24"/>
                <w:szCs w:val="24"/>
              </w:rPr>
            </w:pPr>
            <w:r w:rsidRPr="007F5E52">
              <w:rPr>
                <w:sz w:val="24"/>
                <w:szCs w:val="24"/>
              </w:rPr>
              <w:t>Смертность по любым причинам</w:t>
            </w:r>
          </w:p>
        </w:tc>
        <w:tc>
          <w:tcPr>
            <w:tcW w:w="1231" w:type="dxa"/>
            <w:vAlign w:val="center"/>
          </w:tcPr>
          <w:p w14:paraId="49BF2233" w14:textId="6F9601B5" w:rsidR="00097FCE" w:rsidRPr="007F5E52" w:rsidRDefault="0065199C" w:rsidP="0092066D">
            <w:pPr>
              <w:pStyle w:val="OT"/>
              <w:spacing w:after="0"/>
              <w:jc w:val="center"/>
              <w:rPr>
                <w:sz w:val="24"/>
                <w:szCs w:val="24"/>
              </w:rPr>
            </w:pPr>
            <w:r w:rsidRPr="007F5E52">
              <w:rPr>
                <w:sz w:val="24"/>
                <w:szCs w:val="24"/>
              </w:rPr>
              <w:t>308 (10,2)</w:t>
            </w:r>
          </w:p>
        </w:tc>
        <w:tc>
          <w:tcPr>
            <w:tcW w:w="1799" w:type="dxa"/>
            <w:vAlign w:val="center"/>
          </w:tcPr>
          <w:p w14:paraId="448FE7F4" w14:textId="3F45A94C" w:rsidR="00097FCE" w:rsidRPr="007F5E52" w:rsidRDefault="0065199C" w:rsidP="0092066D">
            <w:pPr>
              <w:pStyle w:val="OT"/>
              <w:spacing w:after="0"/>
              <w:jc w:val="center"/>
              <w:rPr>
                <w:sz w:val="24"/>
                <w:szCs w:val="24"/>
              </w:rPr>
            </w:pPr>
            <w:r w:rsidRPr="007F5E52">
              <w:rPr>
                <w:sz w:val="24"/>
                <w:szCs w:val="24"/>
              </w:rPr>
              <w:t>16,8</w:t>
            </w:r>
          </w:p>
        </w:tc>
        <w:tc>
          <w:tcPr>
            <w:tcW w:w="1231" w:type="dxa"/>
            <w:vAlign w:val="center"/>
          </w:tcPr>
          <w:p w14:paraId="5FC244EB" w14:textId="612892A2" w:rsidR="00097FCE" w:rsidRPr="007F5E52" w:rsidRDefault="0065199C" w:rsidP="0092066D">
            <w:pPr>
              <w:pStyle w:val="OT"/>
              <w:spacing w:after="0"/>
              <w:jc w:val="center"/>
              <w:rPr>
                <w:sz w:val="24"/>
                <w:szCs w:val="24"/>
              </w:rPr>
            </w:pPr>
            <w:r w:rsidRPr="007F5E52">
              <w:rPr>
                <w:sz w:val="24"/>
                <w:szCs w:val="24"/>
              </w:rPr>
              <w:t>336 (11,2)</w:t>
            </w:r>
          </w:p>
        </w:tc>
        <w:tc>
          <w:tcPr>
            <w:tcW w:w="1799" w:type="dxa"/>
            <w:vAlign w:val="center"/>
          </w:tcPr>
          <w:p w14:paraId="3ADADDF0" w14:textId="4FB22D2B" w:rsidR="00097FCE" w:rsidRPr="007F5E52" w:rsidRDefault="0065199C" w:rsidP="0092066D">
            <w:pPr>
              <w:pStyle w:val="OT"/>
              <w:spacing w:after="0"/>
              <w:jc w:val="center"/>
              <w:rPr>
                <w:sz w:val="24"/>
                <w:szCs w:val="24"/>
              </w:rPr>
            </w:pPr>
            <w:r w:rsidRPr="007F5E52">
              <w:rPr>
                <w:sz w:val="24"/>
                <w:szCs w:val="24"/>
              </w:rPr>
              <w:t>18,4</w:t>
            </w:r>
          </w:p>
        </w:tc>
        <w:tc>
          <w:tcPr>
            <w:tcW w:w="1375" w:type="dxa"/>
            <w:vAlign w:val="center"/>
          </w:tcPr>
          <w:p w14:paraId="11E62A19" w14:textId="77777777" w:rsidR="0065199C" w:rsidRPr="007F5E52" w:rsidRDefault="0065199C" w:rsidP="0092066D">
            <w:pPr>
              <w:pStyle w:val="OT"/>
              <w:spacing w:after="0"/>
              <w:jc w:val="center"/>
              <w:rPr>
                <w:sz w:val="24"/>
                <w:szCs w:val="24"/>
              </w:rPr>
            </w:pPr>
            <w:r w:rsidRPr="007F5E52">
              <w:rPr>
                <w:sz w:val="24"/>
                <w:szCs w:val="24"/>
              </w:rPr>
              <w:t xml:space="preserve">0,91 </w:t>
            </w:r>
          </w:p>
          <w:p w14:paraId="6740C230" w14:textId="31D9F704" w:rsidR="00097FCE" w:rsidRPr="007F5E52" w:rsidRDefault="0065199C" w:rsidP="0092066D">
            <w:pPr>
              <w:pStyle w:val="OT"/>
              <w:spacing w:after="0"/>
              <w:jc w:val="center"/>
              <w:rPr>
                <w:sz w:val="24"/>
                <w:szCs w:val="24"/>
              </w:rPr>
            </w:pPr>
            <w:r w:rsidRPr="007F5E52">
              <w:rPr>
                <w:sz w:val="24"/>
                <w:szCs w:val="24"/>
              </w:rPr>
              <w:t>(0,78; 1,06)</w:t>
            </w:r>
          </w:p>
        </w:tc>
      </w:tr>
      <w:tr w:rsidR="00097FCE" w:rsidRPr="007F5E52" w14:paraId="02EF2EA8" w14:textId="77777777" w:rsidTr="0092066D">
        <w:tc>
          <w:tcPr>
            <w:tcW w:w="1911" w:type="dxa"/>
          </w:tcPr>
          <w:p w14:paraId="0F60896D" w14:textId="2A25020A" w:rsidR="00097FCE" w:rsidRPr="007F5E52" w:rsidRDefault="00097FCE" w:rsidP="00114668">
            <w:pPr>
              <w:pStyle w:val="OT"/>
              <w:spacing w:after="0"/>
              <w:jc w:val="center"/>
              <w:rPr>
                <w:sz w:val="24"/>
                <w:szCs w:val="24"/>
              </w:rPr>
            </w:pPr>
            <w:r w:rsidRPr="007F5E52">
              <w:rPr>
                <w:sz w:val="24"/>
                <w:szCs w:val="24"/>
              </w:rPr>
              <w:t>Смертность по серд</w:t>
            </w:r>
            <w:r w:rsidR="00114668" w:rsidRPr="007F5E52">
              <w:rPr>
                <w:sz w:val="24"/>
                <w:szCs w:val="24"/>
                <w:lang w:val="en-US"/>
              </w:rPr>
              <w:t>t</w:t>
            </w:r>
            <w:r w:rsidRPr="007F5E52">
              <w:rPr>
                <w:sz w:val="24"/>
                <w:szCs w:val="24"/>
              </w:rPr>
              <w:t xml:space="preserve">чно-сосудистым </w:t>
            </w:r>
            <w:r w:rsidR="00114668" w:rsidRPr="007F5E52">
              <w:rPr>
                <w:sz w:val="24"/>
                <w:szCs w:val="24"/>
              </w:rPr>
              <w:t>причинам</w:t>
            </w:r>
          </w:p>
        </w:tc>
        <w:tc>
          <w:tcPr>
            <w:tcW w:w="1231" w:type="dxa"/>
            <w:vAlign w:val="center"/>
          </w:tcPr>
          <w:p w14:paraId="0584D904" w14:textId="7E9B3AFA" w:rsidR="00097FCE" w:rsidRPr="007F5E52" w:rsidRDefault="0065199C" w:rsidP="0092066D">
            <w:pPr>
              <w:pStyle w:val="OT"/>
              <w:spacing w:after="0"/>
              <w:jc w:val="center"/>
              <w:rPr>
                <w:sz w:val="24"/>
                <w:szCs w:val="24"/>
              </w:rPr>
            </w:pPr>
            <w:r w:rsidRPr="007F5E52">
              <w:rPr>
                <w:sz w:val="24"/>
                <w:szCs w:val="24"/>
              </w:rPr>
              <w:t>169 (5,6)</w:t>
            </w:r>
          </w:p>
        </w:tc>
        <w:tc>
          <w:tcPr>
            <w:tcW w:w="1799" w:type="dxa"/>
            <w:vAlign w:val="center"/>
          </w:tcPr>
          <w:p w14:paraId="54862DB1" w14:textId="6C29B40D" w:rsidR="00097FCE" w:rsidRPr="007F5E52" w:rsidRDefault="0065199C" w:rsidP="0092066D">
            <w:pPr>
              <w:pStyle w:val="OT"/>
              <w:spacing w:after="0"/>
              <w:jc w:val="center"/>
              <w:rPr>
                <w:sz w:val="24"/>
                <w:szCs w:val="24"/>
              </w:rPr>
            </w:pPr>
            <w:r w:rsidRPr="007F5E52">
              <w:rPr>
                <w:sz w:val="24"/>
                <w:szCs w:val="24"/>
              </w:rPr>
              <w:t>9,2</w:t>
            </w:r>
          </w:p>
        </w:tc>
        <w:tc>
          <w:tcPr>
            <w:tcW w:w="1231" w:type="dxa"/>
            <w:vAlign w:val="center"/>
          </w:tcPr>
          <w:p w14:paraId="3A93C4D4" w14:textId="752E204B" w:rsidR="00097FCE" w:rsidRPr="007F5E52" w:rsidRDefault="0065199C" w:rsidP="0092066D">
            <w:pPr>
              <w:pStyle w:val="OT"/>
              <w:spacing w:after="0"/>
              <w:jc w:val="center"/>
              <w:rPr>
                <w:sz w:val="24"/>
                <w:szCs w:val="24"/>
              </w:rPr>
            </w:pPr>
            <w:r w:rsidRPr="007F5E52">
              <w:rPr>
                <w:sz w:val="24"/>
                <w:szCs w:val="24"/>
              </w:rPr>
              <w:t>168 (5,6)</w:t>
            </w:r>
          </w:p>
        </w:tc>
        <w:tc>
          <w:tcPr>
            <w:tcW w:w="1799" w:type="dxa"/>
            <w:vAlign w:val="center"/>
          </w:tcPr>
          <w:p w14:paraId="51F2D793" w14:textId="14E6DDF5" w:rsidR="00097FCE" w:rsidRPr="007F5E52" w:rsidRDefault="00911135" w:rsidP="0092066D">
            <w:pPr>
              <w:pStyle w:val="OT"/>
              <w:spacing w:after="0"/>
              <w:jc w:val="center"/>
              <w:rPr>
                <w:sz w:val="24"/>
                <w:szCs w:val="24"/>
              </w:rPr>
            </w:pPr>
            <w:r w:rsidRPr="007F5E52">
              <w:rPr>
                <w:sz w:val="24"/>
                <w:szCs w:val="24"/>
              </w:rPr>
              <w:t>9,2</w:t>
            </w:r>
          </w:p>
        </w:tc>
        <w:tc>
          <w:tcPr>
            <w:tcW w:w="1375" w:type="dxa"/>
            <w:vAlign w:val="center"/>
          </w:tcPr>
          <w:p w14:paraId="5027BC59" w14:textId="77777777" w:rsidR="00097FCE" w:rsidRPr="007F5E52" w:rsidRDefault="00911135" w:rsidP="0092066D">
            <w:pPr>
              <w:pStyle w:val="OT"/>
              <w:spacing w:after="0"/>
              <w:jc w:val="center"/>
              <w:rPr>
                <w:sz w:val="24"/>
                <w:szCs w:val="24"/>
              </w:rPr>
            </w:pPr>
            <w:r w:rsidRPr="007F5E52">
              <w:rPr>
                <w:sz w:val="24"/>
                <w:szCs w:val="24"/>
              </w:rPr>
              <w:t>1,00</w:t>
            </w:r>
          </w:p>
          <w:p w14:paraId="2EE0D8F0" w14:textId="5CADAC9D" w:rsidR="00911135" w:rsidRPr="007F5E52" w:rsidRDefault="00911135" w:rsidP="0092066D">
            <w:pPr>
              <w:pStyle w:val="OT"/>
              <w:spacing w:after="0"/>
              <w:jc w:val="center"/>
              <w:rPr>
                <w:sz w:val="24"/>
                <w:szCs w:val="24"/>
              </w:rPr>
            </w:pPr>
            <w:r w:rsidRPr="007F5E52">
              <w:rPr>
                <w:sz w:val="24"/>
                <w:szCs w:val="24"/>
              </w:rPr>
              <w:t>(0,81; 1,24)</w:t>
            </w:r>
          </w:p>
        </w:tc>
      </w:tr>
      <w:tr w:rsidR="00097FCE" w:rsidRPr="007F5E52" w14:paraId="29C14729" w14:textId="77777777" w:rsidTr="0092066D">
        <w:tc>
          <w:tcPr>
            <w:tcW w:w="1911" w:type="dxa"/>
          </w:tcPr>
          <w:p w14:paraId="2CDD90BD" w14:textId="77777777" w:rsidR="00097FCE" w:rsidRPr="007F5E52" w:rsidRDefault="00097FCE" w:rsidP="0092066D">
            <w:pPr>
              <w:pStyle w:val="OT"/>
              <w:spacing w:after="0"/>
              <w:jc w:val="center"/>
              <w:rPr>
                <w:sz w:val="24"/>
                <w:szCs w:val="24"/>
              </w:rPr>
            </w:pPr>
            <w:r w:rsidRPr="007F5E52">
              <w:rPr>
                <w:sz w:val="24"/>
                <w:szCs w:val="24"/>
              </w:rPr>
              <w:t>Госпитализация поп ричине сердечной недостаточности</w:t>
            </w:r>
          </w:p>
        </w:tc>
        <w:tc>
          <w:tcPr>
            <w:tcW w:w="1231" w:type="dxa"/>
            <w:vAlign w:val="center"/>
          </w:tcPr>
          <w:p w14:paraId="4B0674DC" w14:textId="1F1843F3" w:rsidR="00097FCE" w:rsidRPr="007F5E52" w:rsidRDefault="0065199C" w:rsidP="0092066D">
            <w:pPr>
              <w:pStyle w:val="OT"/>
              <w:spacing w:after="0"/>
              <w:jc w:val="center"/>
              <w:rPr>
                <w:sz w:val="24"/>
                <w:szCs w:val="24"/>
              </w:rPr>
            </w:pPr>
            <w:r w:rsidRPr="007F5E52">
              <w:rPr>
                <w:sz w:val="24"/>
                <w:szCs w:val="24"/>
              </w:rPr>
              <w:t>112 (3,7)</w:t>
            </w:r>
          </w:p>
        </w:tc>
        <w:tc>
          <w:tcPr>
            <w:tcW w:w="1799" w:type="dxa"/>
            <w:vAlign w:val="center"/>
          </w:tcPr>
          <w:p w14:paraId="51BDF05E" w14:textId="14AD9AC2" w:rsidR="00097FCE" w:rsidRPr="007F5E52" w:rsidRDefault="0065199C" w:rsidP="0092066D">
            <w:pPr>
              <w:pStyle w:val="OT"/>
              <w:spacing w:after="0"/>
              <w:jc w:val="center"/>
              <w:rPr>
                <w:sz w:val="24"/>
                <w:szCs w:val="24"/>
              </w:rPr>
            </w:pPr>
            <w:r w:rsidRPr="007F5E52">
              <w:rPr>
                <w:sz w:val="24"/>
                <w:szCs w:val="24"/>
              </w:rPr>
              <w:t>6,4</w:t>
            </w:r>
          </w:p>
        </w:tc>
        <w:tc>
          <w:tcPr>
            <w:tcW w:w="1231" w:type="dxa"/>
            <w:vAlign w:val="center"/>
          </w:tcPr>
          <w:p w14:paraId="7EBB14D2" w14:textId="4DE8CD13" w:rsidR="00097FCE" w:rsidRPr="007F5E52" w:rsidRDefault="0065199C" w:rsidP="00911135">
            <w:pPr>
              <w:pStyle w:val="OT"/>
              <w:spacing w:after="0"/>
              <w:jc w:val="center"/>
              <w:rPr>
                <w:sz w:val="24"/>
                <w:szCs w:val="24"/>
              </w:rPr>
            </w:pPr>
            <w:r w:rsidRPr="007F5E52">
              <w:rPr>
                <w:sz w:val="24"/>
                <w:szCs w:val="24"/>
              </w:rPr>
              <w:t>92 (</w:t>
            </w:r>
            <w:r w:rsidR="00911135" w:rsidRPr="007F5E52">
              <w:rPr>
                <w:sz w:val="24"/>
                <w:szCs w:val="24"/>
              </w:rPr>
              <w:t>3,1</w:t>
            </w:r>
            <w:r w:rsidRPr="007F5E52">
              <w:rPr>
                <w:sz w:val="24"/>
                <w:szCs w:val="24"/>
              </w:rPr>
              <w:t>)</w:t>
            </w:r>
          </w:p>
        </w:tc>
        <w:tc>
          <w:tcPr>
            <w:tcW w:w="1799" w:type="dxa"/>
            <w:vAlign w:val="center"/>
          </w:tcPr>
          <w:p w14:paraId="6A1AB1D9" w14:textId="7A862C45" w:rsidR="00097FCE" w:rsidRPr="007F5E52" w:rsidRDefault="00911135" w:rsidP="0092066D">
            <w:pPr>
              <w:pStyle w:val="OT"/>
              <w:spacing w:after="0"/>
              <w:jc w:val="center"/>
              <w:rPr>
                <w:sz w:val="24"/>
                <w:szCs w:val="24"/>
              </w:rPr>
            </w:pPr>
            <w:r w:rsidRPr="007F5E52">
              <w:rPr>
                <w:sz w:val="24"/>
                <w:szCs w:val="24"/>
              </w:rPr>
              <w:t>5,3</w:t>
            </w:r>
          </w:p>
        </w:tc>
        <w:tc>
          <w:tcPr>
            <w:tcW w:w="1375" w:type="dxa"/>
            <w:vAlign w:val="center"/>
          </w:tcPr>
          <w:p w14:paraId="5C8B2B47" w14:textId="77777777" w:rsidR="00097FCE" w:rsidRPr="007F5E52" w:rsidRDefault="00911135" w:rsidP="0092066D">
            <w:pPr>
              <w:pStyle w:val="OT"/>
              <w:spacing w:after="0"/>
              <w:jc w:val="center"/>
              <w:rPr>
                <w:sz w:val="24"/>
                <w:szCs w:val="24"/>
              </w:rPr>
            </w:pPr>
            <w:r w:rsidRPr="007F5E52">
              <w:rPr>
                <w:sz w:val="24"/>
                <w:szCs w:val="24"/>
              </w:rPr>
              <w:t>1,21</w:t>
            </w:r>
          </w:p>
          <w:p w14:paraId="4EF1B533" w14:textId="57684146" w:rsidR="00911135" w:rsidRPr="007F5E52" w:rsidRDefault="00911135" w:rsidP="0092066D">
            <w:pPr>
              <w:pStyle w:val="OT"/>
              <w:spacing w:after="0"/>
              <w:jc w:val="center"/>
              <w:rPr>
                <w:sz w:val="24"/>
                <w:szCs w:val="24"/>
              </w:rPr>
            </w:pPr>
            <w:r w:rsidRPr="007F5E52">
              <w:rPr>
                <w:sz w:val="24"/>
                <w:szCs w:val="24"/>
              </w:rPr>
              <w:t>(0,92; 1,59)</w:t>
            </w:r>
          </w:p>
        </w:tc>
      </w:tr>
      <w:tr w:rsidR="00097FCE" w:rsidRPr="007F5E52" w14:paraId="19EF7D9A" w14:textId="77777777" w:rsidTr="0092066D">
        <w:tc>
          <w:tcPr>
            <w:tcW w:w="9346" w:type="dxa"/>
            <w:gridSpan w:val="6"/>
          </w:tcPr>
          <w:p w14:paraId="76D3BD5E" w14:textId="77777777" w:rsidR="00097FCE" w:rsidRPr="007F5E52" w:rsidRDefault="00097FCE" w:rsidP="0092066D">
            <w:pPr>
              <w:pStyle w:val="OT"/>
              <w:spacing w:after="0"/>
              <w:rPr>
                <w:b/>
                <w:sz w:val="20"/>
                <w:szCs w:val="24"/>
              </w:rPr>
            </w:pPr>
            <w:r w:rsidRPr="007F5E52">
              <w:rPr>
                <w:b/>
                <w:sz w:val="20"/>
                <w:szCs w:val="24"/>
              </w:rPr>
              <w:t>Примечание:</w:t>
            </w:r>
          </w:p>
          <w:p w14:paraId="3414B84F" w14:textId="77777777" w:rsidR="00097FCE" w:rsidRPr="007F5E52" w:rsidRDefault="00097FCE" w:rsidP="0092066D">
            <w:pPr>
              <w:pStyle w:val="OT"/>
              <w:spacing w:after="0"/>
              <w:rPr>
                <w:sz w:val="24"/>
                <w:szCs w:val="24"/>
              </w:rPr>
            </w:pPr>
            <w:r w:rsidRPr="007F5E52">
              <w:rPr>
                <w:sz w:val="20"/>
                <w:szCs w:val="24"/>
              </w:rPr>
              <w:t>* анализ неменьшей эффективности для демонтсрации того факта, что верхняя граница 95% ДИ для отношения рисков составляет менее 1,3.</w:t>
            </w:r>
          </w:p>
        </w:tc>
      </w:tr>
    </w:tbl>
    <w:p w14:paraId="2FB888D6" w14:textId="77777777" w:rsidR="00097FCE" w:rsidRPr="000D54D4" w:rsidRDefault="00097FCE" w:rsidP="000D54D4">
      <w:pPr>
        <w:pStyle w:val="OT"/>
        <w:spacing w:after="0"/>
        <w:rPr>
          <w:sz w:val="24"/>
          <w:szCs w:val="24"/>
        </w:rPr>
      </w:pPr>
    </w:p>
    <w:p w14:paraId="4A389C54" w14:textId="739EBCF8" w:rsidR="004F10FE" w:rsidRDefault="00395856" w:rsidP="004F10FE">
      <w:pPr>
        <w:pStyle w:val="OT"/>
        <w:spacing w:after="0"/>
        <w:ind w:firstLine="709"/>
        <w:rPr>
          <w:sz w:val="24"/>
          <w:szCs w:val="24"/>
        </w:rPr>
      </w:pPr>
      <w:r w:rsidRPr="00395856">
        <w:rPr>
          <w:sz w:val="24"/>
          <w:szCs w:val="24"/>
        </w:rPr>
        <w:t xml:space="preserve">За весь период </w:t>
      </w:r>
      <w:r>
        <w:rPr>
          <w:sz w:val="24"/>
          <w:szCs w:val="24"/>
        </w:rPr>
        <w:t>терапии</w:t>
      </w:r>
      <w:r w:rsidRPr="00395856">
        <w:rPr>
          <w:sz w:val="24"/>
          <w:szCs w:val="24"/>
        </w:rPr>
        <w:t xml:space="preserve"> (медиана времени лечения </w:t>
      </w:r>
      <w:r>
        <w:rPr>
          <w:sz w:val="24"/>
          <w:szCs w:val="24"/>
        </w:rPr>
        <w:t xml:space="preserve">составила </w:t>
      </w:r>
      <w:r w:rsidRPr="00395856">
        <w:rPr>
          <w:sz w:val="24"/>
          <w:szCs w:val="24"/>
        </w:rPr>
        <w:t xml:space="preserve">5,9 года) частота </w:t>
      </w:r>
      <w:r>
        <w:rPr>
          <w:sz w:val="24"/>
          <w:szCs w:val="24"/>
        </w:rPr>
        <w:lastRenderedPageBreak/>
        <w:t xml:space="preserve">возникновения </w:t>
      </w:r>
      <w:r w:rsidRPr="00395856">
        <w:rPr>
          <w:sz w:val="24"/>
          <w:szCs w:val="24"/>
        </w:rPr>
        <w:t>среднетяжелой</w:t>
      </w:r>
      <w:r>
        <w:rPr>
          <w:sz w:val="24"/>
          <w:szCs w:val="24"/>
        </w:rPr>
        <w:t xml:space="preserve"> или тяжелой</w:t>
      </w:r>
      <w:r w:rsidRPr="00395856">
        <w:rPr>
          <w:sz w:val="24"/>
          <w:szCs w:val="24"/>
        </w:rPr>
        <w:t xml:space="preserve"> гипогликеми</w:t>
      </w:r>
      <w:r>
        <w:rPr>
          <w:sz w:val="24"/>
          <w:szCs w:val="24"/>
        </w:rPr>
        <w:t>и</w:t>
      </w:r>
      <w:r w:rsidRPr="00395856">
        <w:rPr>
          <w:sz w:val="24"/>
          <w:szCs w:val="24"/>
        </w:rPr>
        <w:t xml:space="preserve"> составила 6,5% в группе линаглиптина по сравнению с 30,9% в группе глимепирида, тяжелая гипогликемия</w:t>
      </w:r>
      <w:r>
        <w:rPr>
          <w:sz w:val="24"/>
          <w:szCs w:val="24"/>
        </w:rPr>
        <w:t xml:space="preserve"> </w:t>
      </w:r>
      <w:r w:rsidRPr="00395856">
        <w:rPr>
          <w:sz w:val="24"/>
          <w:szCs w:val="24"/>
        </w:rPr>
        <w:t>возникал</w:t>
      </w:r>
      <w:r>
        <w:rPr>
          <w:sz w:val="24"/>
          <w:szCs w:val="24"/>
        </w:rPr>
        <w:t>а</w:t>
      </w:r>
      <w:r w:rsidRPr="00395856">
        <w:rPr>
          <w:sz w:val="24"/>
          <w:szCs w:val="24"/>
        </w:rPr>
        <w:t xml:space="preserve"> у 0,3% пациентов, принимавших линаглиптин, по сравнению с 2,2%, получавших глимепирид</w:t>
      </w:r>
      <w:r w:rsidR="004F10FE">
        <w:rPr>
          <w:sz w:val="24"/>
          <w:szCs w:val="24"/>
        </w:rPr>
        <w:t xml:space="preserve"> </w:t>
      </w:r>
      <w:r w:rsidR="004F10FE" w:rsidRPr="004F10FE">
        <w:rPr>
          <w:sz w:val="24"/>
          <w:szCs w:val="24"/>
        </w:rPr>
        <w:t>[1]</w:t>
      </w:r>
      <w:r w:rsidRPr="00395856">
        <w:rPr>
          <w:sz w:val="24"/>
          <w:szCs w:val="24"/>
        </w:rPr>
        <w:t>.</w:t>
      </w:r>
    </w:p>
    <w:p w14:paraId="70E13622" w14:textId="16811B64" w:rsidR="004F10FE" w:rsidRPr="0068712D" w:rsidRDefault="004F10FE" w:rsidP="004F10FE">
      <w:pPr>
        <w:pStyle w:val="4"/>
        <w:spacing w:after="240"/>
        <w:rPr>
          <w:rFonts w:ascii="Times New Roman" w:hAnsi="Times New Roman"/>
          <w:iCs/>
          <w:sz w:val="24"/>
          <w:szCs w:val="24"/>
        </w:rPr>
      </w:pPr>
      <w:bookmarkStart w:id="258" w:name="_Toc139362015"/>
      <w:r w:rsidRPr="0068712D">
        <w:rPr>
          <w:rFonts w:ascii="Times New Roman" w:hAnsi="Times New Roman"/>
          <w:iCs/>
          <w:sz w:val="24"/>
          <w:szCs w:val="24"/>
        </w:rPr>
        <w:t>4.3.2.2.</w:t>
      </w:r>
      <w:r>
        <w:rPr>
          <w:rFonts w:ascii="Times New Roman" w:hAnsi="Times New Roman"/>
          <w:iCs/>
          <w:sz w:val="24"/>
          <w:szCs w:val="24"/>
        </w:rPr>
        <w:t>5</w:t>
      </w:r>
      <w:r w:rsidRPr="0068712D">
        <w:rPr>
          <w:rFonts w:ascii="Times New Roman" w:hAnsi="Times New Roman"/>
          <w:iCs/>
          <w:sz w:val="24"/>
          <w:szCs w:val="24"/>
        </w:rPr>
        <w:t xml:space="preserve">. </w:t>
      </w:r>
      <w:r>
        <w:rPr>
          <w:rFonts w:ascii="Times New Roman" w:hAnsi="Times New Roman"/>
          <w:iCs/>
          <w:sz w:val="24"/>
          <w:szCs w:val="24"/>
        </w:rPr>
        <w:t>Педиатрическая популяция</w:t>
      </w:r>
      <w:bookmarkEnd w:id="258"/>
      <w:r w:rsidRPr="0068712D">
        <w:rPr>
          <w:rFonts w:ascii="Times New Roman" w:hAnsi="Times New Roman"/>
          <w:iCs/>
          <w:sz w:val="24"/>
          <w:szCs w:val="24"/>
        </w:rPr>
        <w:t xml:space="preserve"> </w:t>
      </w:r>
    </w:p>
    <w:p w14:paraId="64124612" w14:textId="1CF25048" w:rsidR="004F10FE" w:rsidRPr="004F10FE" w:rsidRDefault="004F10FE" w:rsidP="001C18F1">
      <w:pPr>
        <w:pStyle w:val="OT"/>
        <w:spacing w:after="0"/>
        <w:ind w:firstLine="709"/>
        <w:rPr>
          <w:sz w:val="24"/>
          <w:szCs w:val="24"/>
        </w:rPr>
      </w:pPr>
      <w:r w:rsidRPr="004F10FE">
        <w:rPr>
          <w:sz w:val="24"/>
          <w:szCs w:val="24"/>
        </w:rPr>
        <w:t>Клиническая эффективность и безопасность эмпаглифлозина в дозе 10 мг с потенциальным увеличением дозы до 25 мг или</w:t>
      </w:r>
      <w:r w:rsidR="00553BD2">
        <w:rPr>
          <w:sz w:val="24"/>
          <w:szCs w:val="24"/>
        </w:rPr>
        <w:t xml:space="preserve"> </w:t>
      </w:r>
      <w:r w:rsidRPr="004F10FE">
        <w:rPr>
          <w:sz w:val="24"/>
          <w:szCs w:val="24"/>
        </w:rPr>
        <w:t>линаглиптин</w:t>
      </w:r>
      <w:r w:rsidR="00553BD2">
        <w:rPr>
          <w:sz w:val="24"/>
          <w:szCs w:val="24"/>
        </w:rPr>
        <w:t>а</w:t>
      </w:r>
      <w:r w:rsidRPr="004F10FE">
        <w:rPr>
          <w:sz w:val="24"/>
          <w:szCs w:val="24"/>
        </w:rPr>
        <w:t xml:space="preserve"> в дозе 5 мг один раз в день изучал</w:t>
      </w:r>
      <w:r w:rsidR="00553BD2">
        <w:rPr>
          <w:sz w:val="24"/>
          <w:szCs w:val="24"/>
        </w:rPr>
        <w:t>ись</w:t>
      </w:r>
      <w:r w:rsidRPr="004F10FE">
        <w:rPr>
          <w:sz w:val="24"/>
          <w:szCs w:val="24"/>
        </w:rPr>
        <w:t xml:space="preserve"> у детей и подростков </w:t>
      </w:r>
      <w:r w:rsidR="001C18F1" w:rsidRPr="004F10FE">
        <w:rPr>
          <w:sz w:val="24"/>
          <w:szCs w:val="24"/>
        </w:rPr>
        <w:t xml:space="preserve">с СД2 </w:t>
      </w:r>
      <w:r w:rsidR="001C18F1">
        <w:rPr>
          <w:sz w:val="24"/>
          <w:szCs w:val="24"/>
        </w:rPr>
        <w:t xml:space="preserve">в возрасте от 10 до 17 лет </w:t>
      </w:r>
      <w:r w:rsidRPr="004F10FE">
        <w:rPr>
          <w:sz w:val="24"/>
          <w:szCs w:val="24"/>
        </w:rPr>
        <w:t xml:space="preserve">в двойном слепом, рандомизированном, плацебо-контролируемом исследовании </w:t>
      </w:r>
      <w:r w:rsidR="001C18F1">
        <w:rPr>
          <w:sz w:val="24"/>
          <w:szCs w:val="24"/>
        </w:rPr>
        <w:t>в</w:t>
      </w:r>
      <w:r w:rsidRPr="004F10FE">
        <w:rPr>
          <w:sz w:val="24"/>
          <w:szCs w:val="24"/>
        </w:rPr>
        <w:t xml:space="preserve"> параллельны</w:t>
      </w:r>
      <w:r w:rsidR="001C18F1">
        <w:rPr>
          <w:sz w:val="24"/>
          <w:szCs w:val="24"/>
        </w:rPr>
        <w:t>х</w:t>
      </w:r>
      <w:r w:rsidRPr="004F10FE">
        <w:rPr>
          <w:sz w:val="24"/>
          <w:szCs w:val="24"/>
        </w:rPr>
        <w:t xml:space="preserve"> группа</w:t>
      </w:r>
      <w:r w:rsidR="001C18F1">
        <w:rPr>
          <w:sz w:val="24"/>
          <w:szCs w:val="24"/>
        </w:rPr>
        <w:t xml:space="preserve">х </w:t>
      </w:r>
      <w:r w:rsidRPr="004F10FE">
        <w:rPr>
          <w:sz w:val="24"/>
          <w:szCs w:val="24"/>
        </w:rPr>
        <w:t>(</w:t>
      </w:r>
      <w:r w:rsidR="001C18F1">
        <w:rPr>
          <w:sz w:val="24"/>
          <w:szCs w:val="24"/>
          <w:lang w:val="en-US"/>
        </w:rPr>
        <w:t>DINAMO</w:t>
      </w:r>
      <w:r w:rsidRPr="004F10FE">
        <w:rPr>
          <w:sz w:val="24"/>
          <w:szCs w:val="24"/>
        </w:rPr>
        <w:t>) в течение</w:t>
      </w:r>
      <w:r w:rsidR="001C18F1" w:rsidRPr="001C18F1">
        <w:rPr>
          <w:sz w:val="24"/>
          <w:szCs w:val="24"/>
        </w:rPr>
        <w:t xml:space="preserve"> </w:t>
      </w:r>
      <w:r w:rsidR="001C18F1">
        <w:rPr>
          <w:sz w:val="24"/>
          <w:szCs w:val="24"/>
        </w:rPr>
        <w:t>26 недель. Далее следовал</w:t>
      </w:r>
      <w:r w:rsidRPr="004F10FE">
        <w:rPr>
          <w:sz w:val="24"/>
          <w:szCs w:val="24"/>
        </w:rPr>
        <w:t xml:space="preserve"> двойн</w:t>
      </w:r>
      <w:r w:rsidR="001C18F1">
        <w:rPr>
          <w:sz w:val="24"/>
          <w:szCs w:val="24"/>
        </w:rPr>
        <w:t>ой</w:t>
      </w:r>
      <w:r w:rsidRPr="004F10FE">
        <w:rPr>
          <w:sz w:val="24"/>
          <w:szCs w:val="24"/>
        </w:rPr>
        <w:t xml:space="preserve"> слеп</w:t>
      </w:r>
      <w:r w:rsidR="001C18F1">
        <w:rPr>
          <w:sz w:val="24"/>
          <w:szCs w:val="24"/>
        </w:rPr>
        <w:t>ой</w:t>
      </w:r>
      <w:r w:rsidRPr="004F10FE">
        <w:rPr>
          <w:sz w:val="24"/>
          <w:szCs w:val="24"/>
        </w:rPr>
        <w:t xml:space="preserve"> </w:t>
      </w:r>
      <w:r w:rsidR="001C18F1">
        <w:rPr>
          <w:sz w:val="24"/>
          <w:szCs w:val="24"/>
        </w:rPr>
        <w:t>период</w:t>
      </w:r>
      <w:r w:rsidRPr="004F10FE">
        <w:rPr>
          <w:sz w:val="24"/>
          <w:szCs w:val="24"/>
        </w:rPr>
        <w:t xml:space="preserve"> </w:t>
      </w:r>
      <w:r w:rsidR="001C18F1">
        <w:rPr>
          <w:sz w:val="24"/>
          <w:szCs w:val="24"/>
        </w:rPr>
        <w:t>продленного изучения безопасности</w:t>
      </w:r>
      <w:r w:rsidRPr="004F10FE">
        <w:rPr>
          <w:sz w:val="24"/>
          <w:szCs w:val="24"/>
        </w:rPr>
        <w:t xml:space="preserve"> до 52 недель.</w:t>
      </w:r>
    </w:p>
    <w:p w14:paraId="448AF329" w14:textId="2629A248" w:rsidR="004F10FE" w:rsidRDefault="004F10FE" w:rsidP="00E53F53">
      <w:pPr>
        <w:pStyle w:val="OT"/>
        <w:spacing w:after="0"/>
        <w:ind w:firstLine="709"/>
        <w:rPr>
          <w:sz w:val="24"/>
          <w:szCs w:val="24"/>
        </w:rPr>
      </w:pPr>
      <w:r w:rsidRPr="004F10FE">
        <w:rPr>
          <w:sz w:val="24"/>
          <w:szCs w:val="24"/>
        </w:rPr>
        <w:t>Исходно средний уровень HbA1c составлял 8,03%. Лечение линаглиптином 5 мг не да</w:t>
      </w:r>
      <w:r w:rsidR="0092066D">
        <w:rPr>
          <w:sz w:val="24"/>
          <w:szCs w:val="24"/>
        </w:rPr>
        <w:t>вало</w:t>
      </w:r>
      <w:r w:rsidRPr="004F10FE">
        <w:rPr>
          <w:sz w:val="24"/>
          <w:szCs w:val="24"/>
        </w:rPr>
        <w:t xml:space="preserve"> достоверного улучшени</w:t>
      </w:r>
      <w:r w:rsidR="0092066D">
        <w:rPr>
          <w:sz w:val="24"/>
          <w:szCs w:val="24"/>
        </w:rPr>
        <w:t>я уровня</w:t>
      </w:r>
      <w:r w:rsidRPr="004F10FE">
        <w:rPr>
          <w:sz w:val="24"/>
          <w:szCs w:val="24"/>
        </w:rPr>
        <w:t xml:space="preserve"> HbA1c. </w:t>
      </w:r>
      <w:r w:rsidR="0092066D">
        <w:rPr>
          <w:sz w:val="24"/>
          <w:szCs w:val="24"/>
        </w:rPr>
        <w:t xml:space="preserve">Различие </w:t>
      </w:r>
      <w:r w:rsidR="0092066D" w:rsidRPr="004F10FE">
        <w:rPr>
          <w:sz w:val="24"/>
          <w:szCs w:val="24"/>
        </w:rPr>
        <w:t xml:space="preserve">между линаглиптином и плацебо </w:t>
      </w:r>
      <w:r w:rsidR="0092066D">
        <w:rPr>
          <w:sz w:val="24"/>
          <w:szCs w:val="24"/>
        </w:rPr>
        <w:t>по</w:t>
      </w:r>
      <w:r w:rsidRPr="004F10FE">
        <w:rPr>
          <w:sz w:val="24"/>
          <w:szCs w:val="24"/>
        </w:rPr>
        <w:t xml:space="preserve"> скорректированно</w:t>
      </w:r>
      <w:r w:rsidR="0092066D">
        <w:rPr>
          <w:sz w:val="24"/>
          <w:szCs w:val="24"/>
        </w:rPr>
        <w:t>му</w:t>
      </w:r>
      <w:r w:rsidRPr="004F10FE">
        <w:rPr>
          <w:sz w:val="24"/>
          <w:szCs w:val="24"/>
        </w:rPr>
        <w:t xml:space="preserve"> средне</w:t>
      </w:r>
      <w:r w:rsidR="0092066D">
        <w:rPr>
          <w:sz w:val="24"/>
          <w:szCs w:val="24"/>
        </w:rPr>
        <w:t>му</w:t>
      </w:r>
      <w:r w:rsidRPr="004F10FE">
        <w:rPr>
          <w:sz w:val="24"/>
          <w:szCs w:val="24"/>
        </w:rPr>
        <w:t xml:space="preserve"> изменени</w:t>
      </w:r>
      <w:r w:rsidR="0092066D">
        <w:rPr>
          <w:sz w:val="24"/>
          <w:szCs w:val="24"/>
        </w:rPr>
        <w:t>ю</w:t>
      </w:r>
      <w:r w:rsidRPr="004F10FE">
        <w:rPr>
          <w:sz w:val="24"/>
          <w:szCs w:val="24"/>
        </w:rPr>
        <w:t xml:space="preserve"> HbA1c через 26 недель</w:t>
      </w:r>
      <w:r w:rsidR="0092066D">
        <w:rPr>
          <w:sz w:val="24"/>
          <w:szCs w:val="24"/>
        </w:rPr>
        <w:t xml:space="preserve"> </w:t>
      </w:r>
      <w:r w:rsidRPr="004F10FE">
        <w:rPr>
          <w:sz w:val="24"/>
          <w:szCs w:val="24"/>
        </w:rPr>
        <w:t>состав</w:t>
      </w:r>
      <w:r w:rsidR="0092066D">
        <w:rPr>
          <w:sz w:val="24"/>
          <w:szCs w:val="24"/>
        </w:rPr>
        <w:t>ило</w:t>
      </w:r>
      <w:r w:rsidRPr="004F10FE">
        <w:rPr>
          <w:sz w:val="24"/>
          <w:szCs w:val="24"/>
        </w:rPr>
        <w:t xml:space="preserve"> -0,34% (95% ДИ -0,99, 0,30; p=0,2</w:t>
      </w:r>
      <w:r w:rsidR="00E53F53">
        <w:rPr>
          <w:sz w:val="24"/>
          <w:szCs w:val="24"/>
        </w:rPr>
        <w:t xml:space="preserve">935). Скорректированное среднее </w:t>
      </w:r>
      <w:r w:rsidRPr="004F10FE">
        <w:rPr>
          <w:sz w:val="24"/>
          <w:szCs w:val="24"/>
        </w:rPr>
        <w:t xml:space="preserve">изменение HbA1c по сравнению с исходным уровнем составило 0,33% у пациентов, получавших линаглиптин, и 0,68% у пациентов, </w:t>
      </w:r>
      <w:r w:rsidR="00E53F53">
        <w:rPr>
          <w:sz w:val="24"/>
          <w:szCs w:val="24"/>
        </w:rPr>
        <w:t>получавших</w:t>
      </w:r>
      <w:r w:rsidRPr="004F10FE">
        <w:rPr>
          <w:sz w:val="24"/>
          <w:szCs w:val="24"/>
        </w:rPr>
        <w:t xml:space="preserve"> плацебо</w:t>
      </w:r>
      <w:r w:rsidR="00D6711C" w:rsidRPr="00D6711C">
        <w:rPr>
          <w:sz w:val="24"/>
          <w:szCs w:val="24"/>
        </w:rPr>
        <w:t xml:space="preserve"> [1]</w:t>
      </w:r>
      <w:r w:rsidR="00E53F53">
        <w:rPr>
          <w:sz w:val="24"/>
          <w:szCs w:val="24"/>
        </w:rPr>
        <w:t>.</w:t>
      </w:r>
    </w:p>
    <w:p w14:paraId="133937E1" w14:textId="77777777" w:rsidR="000D54D4" w:rsidRPr="000D54D4" w:rsidRDefault="000D54D4" w:rsidP="000D54D4">
      <w:pPr>
        <w:pStyle w:val="OT"/>
        <w:spacing w:after="0"/>
        <w:rPr>
          <w:sz w:val="24"/>
          <w:szCs w:val="24"/>
        </w:rPr>
      </w:pPr>
    </w:p>
    <w:bookmarkEnd w:id="250"/>
    <w:p w14:paraId="15F16D6D" w14:textId="5D6E6290" w:rsidR="00BC51AA" w:rsidRDefault="00BC51AA" w:rsidP="00AB1566">
      <w:pPr>
        <w:rPr>
          <w:b/>
          <w:bCs/>
        </w:rPr>
      </w:pPr>
      <w:r w:rsidRPr="00027CCE">
        <w:rPr>
          <w:b/>
          <w:bCs/>
        </w:rPr>
        <w:t>4</w:t>
      </w:r>
      <w:r w:rsidRPr="00837623">
        <w:rPr>
          <w:b/>
          <w:bCs/>
        </w:rPr>
        <w:t>.3.2.</w:t>
      </w:r>
      <w:r w:rsidR="001F7C84">
        <w:rPr>
          <w:b/>
          <w:bCs/>
        </w:rPr>
        <w:t>3</w:t>
      </w:r>
      <w:r w:rsidRPr="00837623">
        <w:rPr>
          <w:b/>
          <w:bCs/>
        </w:rPr>
        <w:t xml:space="preserve">. </w:t>
      </w:r>
      <w:r w:rsidR="001F7C84">
        <w:rPr>
          <w:b/>
          <w:bCs/>
        </w:rPr>
        <w:t>Сводные данные по безопасности в регистрационных исследованиях</w:t>
      </w:r>
    </w:p>
    <w:p w14:paraId="43EB6764" w14:textId="77777777" w:rsidR="00BC51AA" w:rsidRDefault="00BC51AA" w:rsidP="00AB1566">
      <w:pPr>
        <w:pStyle w:val="OT"/>
        <w:spacing w:after="0"/>
        <w:rPr>
          <w:b/>
          <w:bCs/>
          <w:sz w:val="24"/>
          <w:szCs w:val="24"/>
        </w:rPr>
      </w:pPr>
    </w:p>
    <w:p w14:paraId="591F997A" w14:textId="39C489E8" w:rsidR="00CA3463" w:rsidRPr="00C41DF0" w:rsidRDefault="00CA3463" w:rsidP="00AB1566">
      <w:pPr>
        <w:pStyle w:val="OT"/>
        <w:spacing w:after="0"/>
        <w:rPr>
          <w:b/>
          <w:bCs/>
          <w:sz w:val="24"/>
          <w:szCs w:val="24"/>
        </w:rPr>
      </w:pPr>
      <w:r w:rsidRPr="00C41DF0">
        <w:rPr>
          <w:b/>
          <w:bCs/>
          <w:sz w:val="24"/>
          <w:szCs w:val="24"/>
        </w:rPr>
        <w:t>Нежелательные реакции</w:t>
      </w:r>
    </w:p>
    <w:p w14:paraId="548DA0AF" w14:textId="77777777" w:rsidR="00AB1566" w:rsidRDefault="00AB1566" w:rsidP="00AB1566">
      <w:pPr>
        <w:pStyle w:val="OT"/>
        <w:spacing w:after="0"/>
        <w:ind w:firstLine="709"/>
        <w:rPr>
          <w:sz w:val="24"/>
          <w:szCs w:val="24"/>
        </w:rPr>
      </w:pPr>
      <w:bookmarkStart w:id="259" w:name="_Hlk121691561"/>
      <w:bookmarkStart w:id="260" w:name="_Hlk121102431"/>
    </w:p>
    <w:p w14:paraId="2C4FD5F5" w14:textId="3F9C2F69" w:rsidR="00CA3463" w:rsidRDefault="00CA3463" w:rsidP="00AB1566">
      <w:pPr>
        <w:pStyle w:val="OT"/>
        <w:spacing w:after="0"/>
        <w:ind w:firstLine="709"/>
        <w:rPr>
          <w:sz w:val="24"/>
          <w:szCs w:val="24"/>
        </w:rPr>
      </w:pPr>
      <w:r w:rsidRPr="00326568">
        <w:rPr>
          <w:sz w:val="24"/>
          <w:szCs w:val="24"/>
        </w:rPr>
        <w:t xml:space="preserve">Общий процент пациентов с нежелательными явлениями был сопоставим между </w:t>
      </w:r>
      <w:r>
        <w:rPr>
          <w:sz w:val="24"/>
          <w:szCs w:val="24"/>
        </w:rPr>
        <w:t xml:space="preserve">всеми </w:t>
      </w:r>
      <w:r w:rsidRPr="00326568">
        <w:rPr>
          <w:sz w:val="24"/>
          <w:szCs w:val="24"/>
        </w:rPr>
        <w:t xml:space="preserve">видами лечения (плацебо 53,8% по сравнению с линаглиптином 55,0%). Доля пациентов с </w:t>
      </w:r>
      <w:r>
        <w:rPr>
          <w:sz w:val="24"/>
          <w:szCs w:val="24"/>
        </w:rPr>
        <w:t>НЯ</w:t>
      </w:r>
      <w:r w:rsidRPr="00326568">
        <w:rPr>
          <w:sz w:val="24"/>
          <w:szCs w:val="24"/>
        </w:rPr>
        <w:t xml:space="preserve"> легкой </w:t>
      </w:r>
      <w:r w:rsidR="008C55F2">
        <w:rPr>
          <w:sz w:val="24"/>
          <w:szCs w:val="24"/>
        </w:rPr>
        <w:t xml:space="preserve">степени тяжести </w:t>
      </w:r>
      <w:r w:rsidRPr="00326568">
        <w:rPr>
          <w:sz w:val="24"/>
          <w:szCs w:val="24"/>
        </w:rPr>
        <w:t>(36,8% против 37,6% в группе плацебо и линаглиптина</w:t>
      </w:r>
      <w:r w:rsidR="008C55F2">
        <w:rPr>
          <w:sz w:val="24"/>
          <w:szCs w:val="24"/>
        </w:rPr>
        <w:t>,</w:t>
      </w:r>
      <w:r w:rsidRPr="00326568">
        <w:rPr>
          <w:sz w:val="24"/>
          <w:szCs w:val="24"/>
        </w:rPr>
        <w:t xml:space="preserve"> соответственно), средней </w:t>
      </w:r>
      <w:r w:rsidR="008C55F2">
        <w:rPr>
          <w:sz w:val="24"/>
          <w:szCs w:val="24"/>
        </w:rPr>
        <w:t xml:space="preserve">степени </w:t>
      </w:r>
      <w:r w:rsidRPr="00326568">
        <w:rPr>
          <w:sz w:val="24"/>
          <w:szCs w:val="24"/>
        </w:rPr>
        <w:t xml:space="preserve">(15,6% против 15,6%) или тяжелой (1,4% против 1,8%) </w:t>
      </w:r>
      <w:r>
        <w:rPr>
          <w:sz w:val="24"/>
          <w:szCs w:val="24"/>
        </w:rPr>
        <w:t>степени</w:t>
      </w:r>
      <w:r w:rsidRPr="00326568">
        <w:rPr>
          <w:sz w:val="24"/>
          <w:szCs w:val="24"/>
        </w:rPr>
        <w:t xml:space="preserve"> были одинаковыми. Нежелательные явления, связанные с линаглиптин</w:t>
      </w:r>
      <w:r>
        <w:rPr>
          <w:sz w:val="24"/>
          <w:szCs w:val="24"/>
        </w:rPr>
        <w:t>ом</w:t>
      </w:r>
      <w:r w:rsidRPr="00326568">
        <w:rPr>
          <w:sz w:val="24"/>
          <w:szCs w:val="24"/>
        </w:rPr>
        <w:t>, были немного более частыми в группе линаглиптина, чем в группе плацебо (10,4%</w:t>
      </w:r>
      <w:r>
        <w:rPr>
          <w:sz w:val="24"/>
          <w:szCs w:val="24"/>
        </w:rPr>
        <w:t xml:space="preserve"> </w:t>
      </w:r>
      <w:r w:rsidRPr="00326568">
        <w:rPr>
          <w:sz w:val="24"/>
          <w:szCs w:val="24"/>
        </w:rPr>
        <w:t>против</w:t>
      </w:r>
      <w:r>
        <w:rPr>
          <w:sz w:val="24"/>
          <w:szCs w:val="24"/>
        </w:rPr>
        <w:t xml:space="preserve"> </w:t>
      </w:r>
      <w:r w:rsidRPr="00326568">
        <w:rPr>
          <w:sz w:val="24"/>
          <w:szCs w:val="24"/>
        </w:rPr>
        <w:t>8,5%). Самое частое связанное с линаглиптином нежелательное явление была гипогликемия с более высокой частотой в группе линаглиптина (2,4% против 5,0% в группе плацебо и линаглиптина</w:t>
      </w:r>
      <w:r w:rsidR="008C55F2">
        <w:rPr>
          <w:sz w:val="24"/>
          <w:szCs w:val="24"/>
        </w:rPr>
        <w:t>,</w:t>
      </w:r>
      <w:r w:rsidRPr="00326568">
        <w:rPr>
          <w:sz w:val="24"/>
          <w:szCs w:val="24"/>
        </w:rPr>
        <w:t xml:space="preserve"> соответственно, возникающая преимущественно на фоне </w:t>
      </w:r>
      <w:r>
        <w:rPr>
          <w:sz w:val="24"/>
          <w:szCs w:val="24"/>
        </w:rPr>
        <w:t xml:space="preserve">приема </w:t>
      </w:r>
      <w:r w:rsidRPr="00326568">
        <w:rPr>
          <w:sz w:val="24"/>
          <w:szCs w:val="24"/>
        </w:rPr>
        <w:t>метформина), и гипергликемия с более выс</w:t>
      </w:r>
      <w:r w:rsidR="008C55F2">
        <w:rPr>
          <w:sz w:val="24"/>
          <w:szCs w:val="24"/>
        </w:rPr>
        <w:t>окой частотой в группе плацебо</w:t>
      </w:r>
      <w:r w:rsidRPr="00326568">
        <w:rPr>
          <w:sz w:val="24"/>
          <w:szCs w:val="24"/>
        </w:rPr>
        <w:t xml:space="preserve">(1,5% против 0,5%) </w:t>
      </w:r>
      <w:r w:rsidRPr="00326568">
        <w:rPr>
          <w:sz w:val="24"/>
          <w:szCs w:val="24"/>
        </w:rPr>
        <w:fldChar w:fldCharType="begin"/>
      </w:r>
      <w:r w:rsidRPr="00326568">
        <w:rPr>
          <w:sz w:val="24"/>
          <w:szCs w:val="24"/>
        </w:rPr>
        <w:instrText xml:space="preserve"> ADDIN ZOTERO_ITEM CSL_CITATION {"citationID":"r7iiyZW9","properties":{"formattedCitation":"[1,2,4]","plainCitation":"[1,2,4]","noteIndex":0},"citationItems":[{"id":3008,"uris":["http://zotero.org/users/5483459/items/A4YJC5H7"],"itemData":{"id":3008,"type":"document","title":"European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EMEA/H/C/002110/0000"},"label":"page"},{"id":3014,"uris":["http://zotero.org/users/5483459/items/GEX9J9W2"],"itemData":{"id":3014,"type":"document","title":"U.S. Food and Drug Administration. Drug Approval Package. Tradjenta (Linagliptin)  tablets. Company:  Boehringer Ingelheim Pharmaceuticals, Inc. Medical Review. Application No.:  201280 Approval Date: 04.03.2011"},"label":"page"}],"schema":"https://github.com/citation-style-language/schema/raw/master/csl-citation.json"} </w:instrText>
      </w:r>
      <w:r w:rsidRPr="00326568">
        <w:rPr>
          <w:sz w:val="24"/>
          <w:szCs w:val="24"/>
        </w:rPr>
        <w:fldChar w:fldCharType="separate"/>
      </w:r>
      <w:r w:rsidRPr="00326568">
        <w:rPr>
          <w:sz w:val="24"/>
          <w:szCs w:val="24"/>
        </w:rPr>
        <w:t>[1,2,4]</w:t>
      </w:r>
      <w:r w:rsidRPr="00326568">
        <w:rPr>
          <w:sz w:val="24"/>
          <w:szCs w:val="24"/>
        </w:rPr>
        <w:fldChar w:fldCharType="end"/>
      </w:r>
      <w:r w:rsidRPr="00326568">
        <w:rPr>
          <w:sz w:val="24"/>
          <w:szCs w:val="24"/>
        </w:rPr>
        <w:t>.</w:t>
      </w:r>
    </w:p>
    <w:p w14:paraId="0DCFDC6B" w14:textId="77777777" w:rsidR="00CA3463" w:rsidRDefault="00CA3463" w:rsidP="00CA3463">
      <w:pPr>
        <w:ind w:firstLine="709"/>
      </w:pPr>
      <w:r w:rsidRPr="00C41DF0">
        <w:t xml:space="preserve">Частота преждевременного прекращения приема исследуемого препарата была выше в группе плацебо, чем в группе линаглиптина (3,6% против 2,3%). Разница была в основном связана с более высокой частотой гипергликемии (0,9% против 0,2%) и повышением уровня глюкозы в крови (0,4% против 0,1%) в группе плацебо. </w:t>
      </w:r>
    </w:p>
    <w:p w14:paraId="7A47A220" w14:textId="77777777" w:rsidR="00CA3463" w:rsidRPr="00785050" w:rsidRDefault="00CA3463" w:rsidP="00CA3463">
      <w:pPr>
        <w:pStyle w:val="OT"/>
        <w:spacing w:after="0"/>
        <w:ind w:firstLine="709"/>
        <w:rPr>
          <w:sz w:val="24"/>
          <w:szCs w:val="24"/>
        </w:rPr>
      </w:pPr>
      <w:r w:rsidRPr="00326568">
        <w:rPr>
          <w:sz w:val="24"/>
          <w:szCs w:val="24"/>
        </w:rPr>
        <w:t xml:space="preserve">Частота </w:t>
      </w:r>
      <w:r>
        <w:rPr>
          <w:sz w:val="24"/>
          <w:szCs w:val="24"/>
        </w:rPr>
        <w:t>СНЯ</w:t>
      </w:r>
      <w:r w:rsidRPr="00326568">
        <w:rPr>
          <w:sz w:val="24"/>
          <w:szCs w:val="24"/>
        </w:rPr>
        <w:t xml:space="preserve"> была низкой в обеих группах лечения (2,5% против 2,7%). Было 2 серьезных нежелательных явления со смертельным исходом в группе линаглиптина и ни одного в группе плацебо </w:t>
      </w:r>
      <w:r>
        <w:rPr>
          <w:sz w:val="24"/>
          <w:szCs w:val="24"/>
        </w:rPr>
        <w:fldChar w:fldCharType="begin"/>
      </w:r>
      <w:r>
        <w:rPr>
          <w:sz w:val="24"/>
          <w:szCs w:val="24"/>
        </w:rPr>
        <w:instrText xml:space="preserve"> ADDIN ZOTERO_ITEM CSL_CITATION {"citationID":"0qFrWgEy","properties":{"formattedCitation":"[1,2,4]","plainCitation":"[1,2,4]","noteIndex":0},"citationItems":[{"id":3008,"uris":["http://zotero.org/users/5483459/items/A4YJC5H7"],"itemData":{"id":3008,"type":"document","title":"European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EMEA/H/C/002110/0000"},"label":"page"},{"id":3014,"uris":["http://zotero.org/users/5483459/items/GEX9J9W2"],"itemData":{"id":3014,"type":"document","title":"U.S. Food and Drug Administration. Drug Approval Package. Tradjenta (Linagliptin)  tablets. Company:  Boehringer Ingelheim Pharmaceuticals, Inc. Medical Review. Application No.:  201280 Approval Date: 04.03.2011"},"label":"page"}],"schema":"https://github.com/citation-style-language/schema/raw/master/csl-citation.json"} </w:instrText>
      </w:r>
      <w:r>
        <w:rPr>
          <w:sz w:val="24"/>
          <w:szCs w:val="24"/>
        </w:rPr>
        <w:fldChar w:fldCharType="separate"/>
      </w:r>
      <w:r w:rsidRPr="00326568">
        <w:rPr>
          <w:sz w:val="24"/>
          <w:szCs w:val="24"/>
        </w:rPr>
        <w:t>[1,2,4]</w:t>
      </w:r>
      <w:r>
        <w:rPr>
          <w:sz w:val="24"/>
          <w:szCs w:val="24"/>
        </w:rPr>
        <w:fldChar w:fldCharType="end"/>
      </w:r>
      <w:r w:rsidRPr="00785050">
        <w:rPr>
          <w:sz w:val="24"/>
          <w:szCs w:val="24"/>
        </w:rPr>
        <w:t>.</w:t>
      </w:r>
    </w:p>
    <w:p w14:paraId="29239ABD" w14:textId="1D311C38" w:rsidR="00CA3463" w:rsidRDefault="00CA3463" w:rsidP="00CA3463">
      <w:pPr>
        <w:ind w:firstLine="709"/>
      </w:pPr>
      <w:r>
        <w:t xml:space="preserve">В целом на уровне </w:t>
      </w:r>
      <w:r w:rsidR="00E907B5">
        <w:t>системно-органных классов</w:t>
      </w:r>
      <w:r>
        <w:t xml:space="preserve"> между группами лечения были лишь небольшие различия. Как и ожидалось, гипергликемия возникала с большей частотой в группе плацебо, чем в группе линаглиптина (10,6% против 5,0%). И наоборот, гипогликемия реже встречалась в группе плацебо (4,1%), чем в группе линаглиптина (7,6%). </w:t>
      </w:r>
    </w:p>
    <w:p w14:paraId="55F41AE7" w14:textId="3E81745B" w:rsidR="00CA3463" w:rsidRDefault="00CA3463" w:rsidP="00CA3463">
      <w:pPr>
        <w:ind w:firstLine="709"/>
      </w:pPr>
      <w:r>
        <w:t xml:space="preserve">Инфекции и инвазии были наиболее частыми НЯ. Нарушения опорно-двигательного </w:t>
      </w:r>
      <w:r w:rsidR="00B17124">
        <w:t>аппарата и соединительной ткани,</w:t>
      </w:r>
      <w:r>
        <w:t xml:space="preserve"> респираторные, торакальные и медиастинальные </w:t>
      </w:r>
      <w:r>
        <w:lastRenderedPageBreak/>
        <w:t xml:space="preserve">расстройства, а также сосудистые НЯ встречались с большей частотой в группе линаглиптина, однако разница никогда не превышала 2%. Кроме того, в группе линаглиптина также наблюдались более высокие частоты заболеваний кожи и подкожной клетчатки (2,6% против 4,0%). </w:t>
      </w:r>
      <w:bookmarkEnd w:id="259"/>
      <w:r>
        <w:t>В отчетах об отдельных исследованиях описываются 2 пациента с фотосенсибилизацией на фоне приема линаглиптина. Линаглиптин не ассоциировался со снижением аб</w:t>
      </w:r>
      <w:r w:rsidR="00B17124">
        <w:t>солютного количества лимфоцитов.</w:t>
      </w:r>
    </w:p>
    <w:p w14:paraId="10B8EC62" w14:textId="5D6C5BDA" w:rsidR="00CA3463" w:rsidRDefault="00CA3463" w:rsidP="004472A2">
      <w:pPr>
        <w:pStyle w:val="OT"/>
        <w:spacing w:after="0"/>
        <w:ind w:firstLine="709"/>
        <w:rPr>
          <w:sz w:val="24"/>
          <w:szCs w:val="24"/>
        </w:rPr>
      </w:pPr>
      <w:r w:rsidRPr="00785050">
        <w:rPr>
          <w:sz w:val="24"/>
          <w:szCs w:val="24"/>
        </w:rPr>
        <w:t xml:space="preserve">Общая частота </w:t>
      </w:r>
      <w:r>
        <w:t>НЯ</w:t>
      </w:r>
      <w:r w:rsidRPr="00785050">
        <w:rPr>
          <w:sz w:val="24"/>
          <w:szCs w:val="24"/>
        </w:rPr>
        <w:t xml:space="preserve"> (любых </w:t>
      </w:r>
      <w:r>
        <w:t>НЯ</w:t>
      </w:r>
      <w:r w:rsidRPr="00785050">
        <w:rPr>
          <w:sz w:val="24"/>
          <w:szCs w:val="24"/>
        </w:rPr>
        <w:t xml:space="preserve">) была одинаковой в группах плацебо и линаглиптина для всех </w:t>
      </w:r>
      <w:r>
        <w:rPr>
          <w:sz w:val="24"/>
          <w:szCs w:val="24"/>
        </w:rPr>
        <w:t>комбиированных</w:t>
      </w:r>
      <w:r w:rsidRPr="00785050">
        <w:rPr>
          <w:sz w:val="24"/>
          <w:szCs w:val="24"/>
        </w:rPr>
        <w:t xml:space="preserve"> препаратов. Частота </w:t>
      </w:r>
      <w:r>
        <w:t>НЯ</w:t>
      </w:r>
      <w:r w:rsidRPr="00785050">
        <w:rPr>
          <w:sz w:val="24"/>
          <w:szCs w:val="24"/>
        </w:rPr>
        <w:t xml:space="preserve"> в группах плацебо варьировала от 42,9% до 59,7%, а в группах линаглиптина — от 42,2% до 66,1%. В обеих группах лечения наименьшая частота встречаемости наблюдалась при использовании </w:t>
      </w:r>
      <w:r w:rsidRPr="00326568">
        <w:rPr>
          <w:sz w:val="24"/>
          <w:szCs w:val="24"/>
        </w:rPr>
        <w:t xml:space="preserve">сульфонилмочевины </w:t>
      </w:r>
      <w:r w:rsidRPr="00785050">
        <w:rPr>
          <w:sz w:val="24"/>
          <w:szCs w:val="24"/>
        </w:rPr>
        <w:t xml:space="preserve">в качестве фона, однако это также может быть связано с более коротким периодом воздействия, составлявшим всего 18 недель в этом </w:t>
      </w:r>
      <w:r>
        <w:rPr>
          <w:sz w:val="24"/>
          <w:szCs w:val="24"/>
        </w:rPr>
        <w:t>исследовании</w:t>
      </w:r>
      <w:r w:rsidRPr="00785050">
        <w:rPr>
          <w:sz w:val="24"/>
          <w:szCs w:val="24"/>
        </w:rPr>
        <w:t xml:space="preserve">. Наибольшая частота </w:t>
      </w:r>
      <w:r>
        <w:t>НЯ</w:t>
      </w:r>
      <w:r w:rsidRPr="00785050">
        <w:rPr>
          <w:sz w:val="24"/>
          <w:szCs w:val="24"/>
        </w:rPr>
        <w:t xml:space="preserve"> наблюдалась на фоне </w:t>
      </w:r>
      <w:r>
        <w:rPr>
          <w:sz w:val="24"/>
          <w:szCs w:val="24"/>
        </w:rPr>
        <w:t xml:space="preserve">приема </w:t>
      </w:r>
      <w:r w:rsidRPr="00785050">
        <w:rPr>
          <w:sz w:val="24"/>
          <w:szCs w:val="24"/>
        </w:rPr>
        <w:t xml:space="preserve">метформина плюс </w:t>
      </w:r>
      <w:r>
        <w:rPr>
          <w:sz w:val="24"/>
          <w:szCs w:val="24"/>
        </w:rPr>
        <w:t>сульфонилмочевина</w:t>
      </w:r>
      <w:r w:rsidRPr="00785050">
        <w:rPr>
          <w:sz w:val="24"/>
          <w:szCs w:val="24"/>
        </w:rPr>
        <w:t xml:space="preserve"> в обеих группах лечения. Частота </w:t>
      </w:r>
      <w:r>
        <w:t>НЯ</w:t>
      </w:r>
      <w:r w:rsidRPr="00785050">
        <w:rPr>
          <w:sz w:val="24"/>
          <w:szCs w:val="24"/>
        </w:rPr>
        <w:t xml:space="preserve"> была особенно высокой при</w:t>
      </w:r>
      <w:r w:rsidR="00B17124">
        <w:rPr>
          <w:sz w:val="24"/>
          <w:szCs w:val="24"/>
        </w:rPr>
        <w:t xml:space="preserve"> тройной комбинации линаглиптин</w:t>
      </w:r>
      <w:r w:rsidRPr="00785050">
        <w:rPr>
          <w:sz w:val="24"/>
          <w:szCs w:val="24"/>
        </w:rPr>
        <w:t xml:space="preserve"> плюс метформин плюс </w:t>
      </w:r>
      <w:r>
        <w:rPr>
          <w:sz w:val="24"/>
          <w:szCs w:val="24"/>
        </w:rPr>
        <w:t>сульфонилмочевина</w:t>
      </w:r>
      <w:r w:rsidRPr="00785050">
        <w:rPr>
          <w:sz w:val="24"/>
          <w:szCs w:val="24"/>
        </w:rPr>
        <w:t xml:space="preserve"> (66,1%). Это было почти полностью связано с увеличением частоты гипогликемии (14,8% против 22,8%). Аналогичная картина наблюдалась и в отношении </w:t>
      </w:r>
      <w:r>
        <w:t>НЯ</w:t>
      </w:r>
      <w:r w:rsidRPr="00785050">
        <w:rPr>
          <w:sz w:val="24"/>
          <w:szCs w:val="24"/>
        </w:rPr>
        <w:t xml:space="preserve">, связанных с приемом </w:t>
      </w:r>
      <w:r w:rsidR="00E666B3">
        <w:rPr>
          <w:sz w:val="24"/>
          <w:szCs w:val="24"/>
        </w:rPr>
        <w:t>препаратов</w:t>
      </w:r>
      <w:r w:rsidRPr="00785050">
        <w:rPr>
          <w:sz w:val="24"/>
          <w:szCs w:val="24"/>
        </w:rPr>
        <w:t xml:space="preserve">, при этом комбинация метформин + </w:t>
      </w:r>
      <w:r>
        <w:rPr>
          <w:sz w:val="24"/>
          <w:szCs w:val="24"/>
        </w:rPr>
        <w:t>сульфонилмочевина</w:t>
      </w:r>
      <w:r w:rsidRPr="00785050">
        <w:rPr>
          <w:sz w:val="24"/>
          <w:szCs w:val="24"/>
        </w:rPr>
        <w:t xml:space="preserve"> также показала более высокую частоту в обеих группах лечения, из-за более высокой частоты гипогликемии (7,6% против 14,5%). Частота </w:t>
      </w:r>
      <w:r>
        <w:rPr>
          <w:sz w:val="24"/>
          <w:szCs w:val="24"/>
        </w:rPr>
        <w:t>НЯ</w:t>
      </w:r>
      <w:r w:rsidRPr="00785050">
        <w:rPr>
          <w:sz w:val="24"/>
          <w:szCs w:val="24"/>
        </w:rPr>
        <w:t>, которые привели к прекращению лечения, была несколько выше в группах плацебо со всеми препаратами</w:t>
      </w:r>
      <w:r w:rsidR="00E666B3">
        <w:rPr>
          <w:sz w:val="24"/>
          <w:szCs w:val="24"/>
        </w:rPr>
        <w:t xml:space="preserve"> стандартной терапии</w:t>
      </w:r>
      <w:r w:rsidRPr="00785050">
        <w:rPr>
          <w:sz w:val="24"/>
          <w:szCs w:val="24"/>
        </w:rPr>
        <w:t xml:space="preserve">, за исключением </w:t>
      </w:r>
      <w:r w:rsidR="00E666B3">
        <w:rPr>
          <w:sz w:val="24"/>
          <w:szCs w:val="24"/>
        </w:rPr>
        <w:t xml:space="preserve">комбинации </w:t>
      </w:r>
      <w:r w:rsidRPr="00785050">
        <w:rPr>
          <w:sz w:val="24"/>
          <w:szCs w:val="24"/>
        </w:rPr>
        <w:t xml:space="preserve">метформин + </w:t>
      </w:r>
      <w:r>
        <w:rPr>
          <w:sz w:val="24"/>
          <w:szCs w:val="24"/>
        </w:rPr>
        <w:t>сульфонилмочевина</w:t>
      </w:r>
      <w:r w:rsidRPr="00785050">
        <w:rPr>
          <w:sz w:val="24"/>
          <w:szCs w:val="24"/>
        </w:rPr>
        <w:t xml:space="preserve">. Комбинация линаглиптина, метформина и </w:t>
      </w:r>
      <w:r>
        <w:rPr>
          <w:sz w:val="24"/>
          <w:szCs w:val="24"/>
        </w:rPr>
        <w:t>сульфонилмочевины</w:t>
      </w:r>
      <w:r w:rsidRPr="00785050">
        <w:rPr>
          <w:sz w:val="24"/>
          <w:szCs w:val="24"/>
        </w:rPr>
        <w:t xml:space="preserve"> приводила к высокой частоте нарушений метаболизма со значительно более высокой частотой в группе линаглиптина</w:t>
      </w:r>
      <w:r>
        <w:rPr>
          <w:sz w:val="24"/>
          <w:szCs w:val="24"/>
        </w:rPr>
        <w:t xml:space="preserve"> </w:t>
      </w:r>
      <w:r>
        <w:rPr>
          <w:sz w:val="24"/>
          <w:szCs w:val="24"/>
        </w:rPr>
        <w:fldChar w:fldCharType="begin"/>
      </w:r>
      <w:r>
        <w:rPr>
          <w:sz w:val="24"/>
          <w:szCs w:val="24"/>
        </w:rPr>
        <w:instrText xml:space="preserve"> ADDIN ZOTERO_ITEM CSL_CITATION {"citationID":"dsW6uywr","properties":{"formattedCitation":"[1,2,4]","plainCitation":"[1,2,4]","noteIndex":0},"citationItems":[{"id":3008,"uris":["http://zotero.org/users/5483459/items/A4YJC5H7"],"itemData":{"id":3008,"type":"document","title":"European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EMEA/H/C/002110/0000"},"label":"page"},{"id":3014,"uris":["http://zotero.org/users/5483459/items/GEX9J9W2"],"itemData":{"id":3014,"type":"document","title":"U.S. Food and Drug Administration. Drug Approval Package. Tradjenta (Linagliptin)  tablets. Company:  Boehringer Ingelheim Pharmaceuticals, Inc. Medical Review. Application No.:  201280 Approval Date: 04.03.2011"},"label":"page"}],"schema":"https://github.com/citation-style-language/schema/raw/master/csl-citation.json"} </w:instrText>
      </w:r>
      <w:r>
        <w:rPr>
          <w:sz w:val="24"/>
          <w:szCs w:val="24"/>
        </w:rPr>
        <w:fldChar w:fldCharType="separate"/>
      </w:r>
      <w:r w:rsidRPr="00326568">
        <w:rPr>
          <w:sz w:val="24"/>
        </w:rPr>
        <w:t>[1,2,4]</w:t>
      </w:r>
      <w:r>
        <w:rPr>
          <w:sz w:val="24"/>
          <w:szCs w:val="24"/>
        </w:rPr>
        <w:fldChar w:fldCharType="end"/>
      </w:r>
      <w:r w:rsidRPr="00785050">
        <w:rPr>
          <w:sz w:val="24"/>
          <w:szCs w:val="24"/>
        </w:rPr>
        <w:t>.</w:t>
      </w:r>
    </w:p>
    <w:p w14:paraId="215124A0" w14:textId="39A23F8E" w:rsidR="00CA3463" w:rsidRDefault="00CA3463" w:rsidP="004472A2">
      <w:pPr>
        <w:pStyle w:val="OT"/>
        <w:spacing w:after="0"/>
        <w:ind w:firstLine="851"/>
        <w:rPr>
          <w:sz w:val="24"/>
          <w:szCs w:val="24"/>
        </w:rPr>
      </w:pPr>
      <w:r>
        <w:rPr>
          <w:sz w:val="24"/>
          <w:szCs w:val="24"/>
        </w:rPr>
        <w:t>В Т</w:t>
      </w:r>
      <w:r w:rsidRPr="00786B2A">
        <w:rPr>
          <w:sz w:val="24"/>
          <w:szCs w:val="24"/>
        </w:rPr>
        <w:t>аблиц</w:t>
      </w:r>
      <w:r>
        <w:rPr>
          <w:sz w:val="24"/>
          <w:szCs w:val="24"/>
        </w:rPr>
        <w:t>е</w:t>
      </w:r>
      <w:r w:rsidRPr="00786B2A">
        <w:rPr>
          <w:sz w:val="24"/>
          <w:szCs w:val="24"/>
        </w:rPr>
        <w:t xml:space="preserve"> 4-</w:t>
      </w:r>
      <w:r w:rsidR="00E666B3">
        <w:rPr>
          <w:sz w:val="24"/>
          <w:szCs w:val="24"/>
        </w:rPr>
        <w:t>4</w:t>
      </w:r>
      <w:r>
        <w:rPr>
          <w:sz w:val="24"/>
          <w:szCs w:val="24"/>
        </w:rPr>
        <w:t xml:space="preserve"> представлены НЯ</w:t>
      </w:r>
      <w:r w:rsidRPr="00786B2A">
        <w:rPr>
          <w:sz w:val="24"/>
          <w:szCs w:val="24"/>
        </w:rPr>
        <w:t>, зарегистрированные в плацебо-контролируемых исследованиях</w:t>
      </w:r>
      <w:r>
        <w:rPr>
          <w:sz w:val="24"/>
          <w:szCs w:val="24"/>
        </w:rPr>
        <w:t>.</w:t>
      </w:r>
    </w:p>
    <w:p w14:paraId="09EC086F" w14:textId="77777777" w:rsidR="004472A2" w:rsidRDefault="004472A2" w:rsidP="00CA3463">
      <w:pPr>
        <w:pStyle w:val="OT"/>
        <w:spacing w:after="0"/>
        <w:rPr>
          <w:b/>
          <w:bCs/>
          <w:sz w:val="24"/>
          <w:szCs w:val="24"/>
        </w:rPr>
      </w:pPr>
    </w:p>
    <w:bookmarkEnd w:id="260"/>
    <w:p w14:paraId="1DE5E4DF" w14:textId="77777777" w:rsidR="00201BB7" w:rsidRPr="00290181" w:rsidRDefault="00201BB7" w:rsidP="00201BB7">
      <w:pPr>
        <w:pStyle w:val="OT"/>
        <w:spacing w:after="0"/>
        <w:rPr>
          <w:sz w:val="24"/>
          <w:szCs w:val="24"/>
        </w:rPr>
      </w:pPr>
      <w:r w:rsidRPr="00074FEF">
        <w:rPr>
          <w:b/>
          <w:bCs/>
          <w:sz w:val="24"/>
          <w:szCs w:val="24"/>
        </w:rPr>
        <w:t>Таблица 4-</w:t>
      </w:r>
      <w:r>
        <w:rPr>
          <w:b/>
          <w:bCs/>
          <w:sz w:val="24"/>
          <w:szCs w:val="24"/>
        </w:rPr>
        <w:t>4</w:t>
      </w:r>
      <w:r w:rsidRPr="00074FEF">
        <w:rPr>
          <w:b/>
          <w:bCs/>
          <w:sz w:val="24"/>
          <w:szCs w:val="24"/>
        </w:rPr>
        <w:t xml:space="preserve">. </w:t>
      </w:r>
      <w:r w:rsidRPr="00786B2A">
        <w:rPr>
          <w:sz w:val="24"/>
          <w:szCs w:val="24"/>
        </w:rPr>
        <w:t>Нежелательные явления, зарегистрированные в плацебо-контролируемых исследованиях</w:t>
      </w:r>
      <w:r>
        <w:rPr>
          <w:sz w:val="24"/>
          <w:szCs w:val="24"/>
        </w:rPr>
        <w:t>,</w:t>
      </w:r>
      <w:r w:rsidRPr="00786B2A">
        <w:rPr>
          <w:sz w:val="24"/>
          <w:szCs w:val="24"/>
        </w:rPr>
        <w:t xml:space="preserve"> </w:t>
      </w:r>
      <w:r>
        <w:rPr>
          <w:sz w:val="24"/>
          <w:szCs w:val="24"/>
        </w:rPr>
        <w:t xml:space="preserve">при применении линаглиптина в дозе 5 мг у пациентов с СД2 </w:t>
      </w:r>
      <w:r>
        <w:fldChar w:fldCharType="begin"/>
      </w:r>
      <w:r>
        <w:instrText xml:space="preserve"> ADDIN ZOTERO_ITEM CSL_CITATION {"citationID":"z551kpyn","properties":{"formattedCitation":"[2]","plainCitation":"[2]","noteIndex":0},"citationItems":[{"id":2939,"uris":["http://zotero.org/users/5483459/items/SJBZ4HU2"],"itemData":{"id":2939,"type":"document","title":"European  Medicines Agency.Assessment report Trajenta (linagliptin). Procedure No.: EMEA/H/C/002110/0000"}}],"schema":"https://github.com/citation-style-language/schema/raw/master/csl-citation.json"} </w:instrText>
      </w:r>
      <w:r>
        <w:fldChar w:fldCharType="separate"/>
      </w:r>
      <w:r w:rsidRPr="00786B2A">
        <w:t>[2]</w:t>
      </w:r>
      <w:r>
        <w:fldChar w:fldCharType="end"/>
      </w:r>
      <w:r w:rsidRPr="00786B2A">
        <w:t>.</w:t>
      </w:r>
    </w:p>
    <w:tbl>
      <w:tblPr>
        <w:tblStyle w:val="a8"/>
        <w:tblW w:w="0" w:type="auto"/>
        <w:tblLook w:val="04A0" w:firstRow="1" w:lastRow="0" w:firstColumn="1" w:lastColumn="0" w:noHBand="0" w:noVBand="1"/>
      </w:tblPr>
      <w:tblGrid>
        <w:gridCol w:w="4957"/>
        <w:gridCol w:w="1984"/>
        <w:gridCol w:w="2405"/>
      </w:tblGrid>
      <w:tr w:rsidR="00201BB7" w:rsidRPr="00290181" w14:paraId="707D72E6" w14:textId="77777777" w:rsidTr="00A73C73">
        <w:trPr>
          <w:cantSplit/>
          <w:trHeight w:val="477"/>
          <w:tblHeader/>
        </w:trPr>
        <w:tc>
          <w:tcPr>
            <w:tcW w:w="4957" w:type="dxa"/>
            <w:shd w:val="clear" w:color="auto" w:fill="D9D9D9" w:themeFill="background1" w:themeFillShade="D9"/>
          </w:tcPr>
          <w:p w14:paraId="1789F650" w14:textId="77777777" w:rsidR="00201BB7" w:rsidRPr="00290181" w:rsidRDefault="00201BB7" w:rsidP="00A73C73">
            <w:pPr>
              <w:pStyle w:val="OT"/>
              <w:spacing w:after="0"/>
              <w:jc w:val="center"/>
              <w:rPr>
                <w:sz w:val="24"/>
                <w:szCs w:val="24"/>
              </w:rPr>
            </w:pPr>
            <w:r w:rsidRPr="00290181">
              <w:rPr>
                <w:b/>
                <w:bCs/>
                <w:sz w:val="24"/>
                <w:szCs w:val="24"/>
              </w:rPr>
              <w:t>Системно-органный класс (нежелательные реакции)</w:t>
            </w:r>
          </w:p>
        </w:tc>
        <w:tc>
          <w:tcPr>
            <w:tcW w:w="1984" w:type="dxa"/>
            <w:shd w:val="clear" w:color="auto" w:fill="D9D9D9" w:themeFill="background1" w:themeFillShade="D9"/>
          </w:tcPr>
          <w:p w14:paraId="22BB107D" w14:textId="77777777" w:rsidR="00201BB7" w:rsidRPr="00290181" w:rsidRDefault="00201BB7" w:rsidP="00A73C73">
            <w:pPr>
              <w:pStyle w:val="OT"/>
              <w:spacing w:after="0"/>
              <w:jc w:val="center"/>
              <w:rPr>
                <w:b/>
                <w:bCs/>
                <w:sz w:val="24"/>
                <w:szCs w:val="24"/>
              </w:rPr>
            </w:pPr>
            <w:r w:rsidRPr="00290181">
              <w:rPr>
                <w:b/>
                <w:bCs/>
                <w:sz w:val="24"/>
                <w:szCs w:val="24"/>
              </w:rPr>
              <w:t>Плацебо</w:t>
            </w:r>
          </w:p>
          <w:p w14:paraId="7D745270" w14:textId="77777777" w:rsidR="00201BB7" w:rsidRPr="00290181" w:rsidRDefault="00201BB7" w:rsidP="00A73C73">
            <w:pPr>
              <w:pStyle w:val="OT"/>
              <w:spacing w:after="0"/>
              <w:jc w:val="center"/>
              <w:rPr>
                <w:b/>
                <w:bCs/>
                <w:sz w:val="24"/>
                <w:szCs w:val="24"/>
              </w:rPr>
            </w:pPr>
            <w:r w:rsidRPr="00290181">
              <w:rPr>
                <w:b/>
                <w:bCs/>
                <w:sz w:val="24"/>
                <w:szCs w:val="24"/>
                <w:lang w:val="en-US"/>
              </w:rPr>
              <w:t>N</w:t>
            </w:r>
            <w:r w:rsidRPr="00290181">
              <w:rPr>
                <w:b/>
                <w:bCs/>
                <w:sz w:val="24"/>
                <w:szCs w:val="24"/>
              </w:rPr>
              <w:t xml:space="preserve"> (%)</w:t>
            </w:r>
          </w:p>
        </w:tc>
        <w:tc>
          <w:tcPr>
            <w:tcW w:w="2405" w:type="dxa"/>
            <w:shd w:val="clear" w:color="auto" w:fill="D9D9D9" w:themeFill="background1" w:themeFillShade="D9"/>
          </w:tcPr>
          <w:p w14:paraId="728B9A61" w14:textId="77777777" w:rsidR="00201BB7" w:rsidRPr="00290181" w:rsidRDefault="00201BB7" w:rsidP="00A73C73">
            <w:pPr>
              <w:pStyle w:val="OT"/>
              <w:spacing w:after="0"/>
              <w:jc w:val="center"/>
              <w:rPr>
                <w:b/>
                <w:bCs/>
                <w:sz w:val="24"/>
                <w:szCs w:val="24"/>
              </w:rPr>
            </w:pPr>
            <w:r w:rsidRPr="00290181">
              <w:rPr>
                <w:b/>
                <w:bCs/>
                <w:sz w:val="24"/>
                <w:szCs w:val="24"/>
              </w:rPr>
              <w:t>Линаглиптин, 5 мг</w:t>
            </w:r>
          </w:p>
          <w:p w14:paraId="70AE79A4" w14:textId="77777777" w:rsidR="00201BB7" w:rsidRPr="00290181" w:rsidRDefault="00201BB7" w:rsidP="00A73C73">
            <w:pPr>
              <w:pStyle w:val="OT"/>
              <w:spacing w:after="0"/>
              <w:jc w:val="center"/>
              <w:rPr>
                <w:b/>
                <w:bCs/>
                <w:sz w:val="24"/>
                <w:szCs w:val="24"/>
              </w:rPr>
            </w:pPr>
            <w:r w:rsidRPr="00290181">
              <w:rPr>
                <w:b/>
                <w:bCs/>
                <w:sz w:val="24"/>
                <w:szCs w:val="24"/>
                <w:lang w:val="en-US"/>
              </w:rPr>
              <w:t>N</w:t>
            </w:r>
            <w:r w:rsidRPr="00290181">
              <w:rPr>
                <w:b/>
                <w:bCs/>
                <w:sz w:val="24"/>
                <w:szCs w:val="24"/>
              </w:rPr>
              <w:t xml:space="preserve"> (%)</w:t>
            </w:r>
          </w:p>
        </w:tc>
      </w:tr>
      <w:tr w:rsidR="00201BB7" w:rsidRPr="00290181" w14:paraId="17F68455" w14:textId="77777777" w:rsidTr="00A73C73">
        <w:trPr>
          <w:trHeight w:val="202"/>
        </w:trPr>
        <w:tc>
          <w:tcPr>
            <w:tcW w:w="4957" w:type="dxa"/>
          </w:tcPr>
          <w:p w14:paraId="17ADD82B" w14:textId="77777777" w:rsidR="00201BB7" w:rsidRPr="00290181" w:rsidRDefault="00201BB7" w:rsidP="00A73C73">
            <w:pPr>
              <w:pStyle w:val="OT"/>
              <w:spacing w:after="0"/>
              <w:rPr>
                <w:sz w:val="24"/>
                <w:szCs w:val="24"/>
              </w:rPr>
            </w:pPr>
            <w:r w:rsidRPr="00290181">
              <w:rPr>
                <w:sz w:val="24"/>
                <w:szCs w:val="24"/>
              </w:rPr>
              <w:t>Общее количество пациентов</w:t>
            </w:r>
          </w:p>
        </w:tc>
        <w:tc>
          <w:tcPr>
            <w:tcW w:w="1984" w:type="dxa"/>
            <w:vAlign w:val="center"/>
          </w:tcPr>
          <w:p w14:paraId="034AB1C8" w14:textId="77777777" w:rsidR="00201BB7" w:rsidRPr="00290181" w:rsidRDefault="00201BB7" w:rsidP="00A73C73">
            <w:pPr>
              <w:pStyle w:val="OT"/>
              <w:spacing w:after="0"/>
              <w:jc w:val="center"/>
              <w:rPr>
                <w:sz w:val="24"/>
                <w:szCs w:val="24"/>
              </w:rPr>
            </w:pPr>
            <w:r w:rsidRPr="00290181">
              <w:rPr>
                <w:sz w:val="24"/>
                <w:szCs w:val="24"/>
              </w:rPr>
              <w:t>1183</w:t>
            </w:r>
            <w:r>
              <w:rPr>
                <w:sz w:val="24"/>
                <w:szCs w:val="24"/>
                <w:lang w:val="en-US"/>
              </w:rPr>
              <w:t xml:space="preserve"> </w:t>
            </w:r>
            <w:r w:rsidRPr="00290181">
              <w:rPr>
                <w:sz w:val="24"/>
                <w:szCs w:val="24"/>
              </w:rPr>
              <w:t>(</w:t>
            </w:r>
            <w:r>
              <w:rPr>
                <w:sz w:val="24"/>
                <w:szCs w:val="24"/>
                <w:lang w:val="en-US"/>
              </w:rPr>
              <w:t>100</w:t>
            </w:r>
            <w:r w:rsidRPr="00290181">
              <w:rPr>
                <w:sz w:val="24"/>
                <w:szCs w:val="24"/>
              </w:rPr>
              <w:t>%)</w:t>
            </w:r>
          </w:p>
        </w:tc>
        <w:tc>
          <w:tcPr>
            <w:tcW w:w="2405" w:type="dxa"/>
            <w:vAlign w:val="center"/>
          </w:tcPr>
          <w:p w14:paraId="6392F60F" w14:textId="77777777" w:rsidR="00201BB7" w:rsidRPr="00290181" w:rsidRDefault="00201BB7" w:rsidP="00A73C73">
            <w:pPr>
              <w:pStyle w:val="OT"/>
              <w:spacing w:after="0"/>
              <w:jc w:val="center"/>
              <w:rPr>
                <w:sz w:val="24"/>
                <w:szCs w:val="24"/>
              </w:rPr>
            </w:pPr>
            <w:r w:rsidRPr="00290181">
              <w:rPr>
                <w:sz w:val="24"/>
                <w:szCs w:val="24"/>
              </w:rPr>
              <w:t>2566 (</w:t>
            </w:r>
            <w:r>
              <w:rPr>
                <w:sz w:val="24"/>
                <w:szCs w:val="24"/>
                <w:lang w:val="en-US"/>
              </w:rPr>
              <w:t>100</w:t>
            </w:r>
            <w:r w:rsidRPr="00290181">
              <w:rPr>
                <w:sz w:val="24"/>
                <w:szCs w:val="24"/>
              </w:rPr>
              <w:t>%)</w:t>
            </w:r>
          </w:p>
        </w:tc>
      </w:tr>
      <w:tr w:rsidR="00201BB7" w:rsidRPr="00290181" w14:paraId="4EA10891" w14:textId="77777777" w:rsidTr="00A73C73">
        <w:tc>
          <w:tcPr>
            <w:tcW w:w="4957" w:type="dxa"/>
          </w:tcPr>
          <w:p w14:paraId="673F640E" w14:textId="77777777" w:rsidR="00201BB7" w:rsidRPr="00290181" w:rsidRDefault="00201BB7" w:rsidP="00A73C73">
            <w:pPr>
              <w:pStyle w:val="OT"/>
              <w:spacing w:after="0"/>
              <w:rPr>
                <w:sz w:val="24"/>
                <w:szCs w:val="24"/>
              </w:rPr>
            </w:pPr>
            <w:r w:rsidRPr="00290181">
              <w:rPr>
                <w:sz w:val="24"/>
                <w:szCs w:val="24"/>
              </w:rPr>
              <w:t>Количество пациентов с НЯ</w:t>
            </w:r>
          </w:p>
        </w:tc>
        <w:tc>
          <w:tcPr>
            <w:tcW w:w="1984" w:type="dxa"/>
            <w:vAlign w:val="center"/>
          </w:tcPr>
          <w:p w14:paraId="05EE4940" w14:textId="77777777" w:rsidR="00201BB7" w:rsidRPr="00290181" w:rsidRDefault="00201BB7" w:rsidP="00A73C73">
            <w:pPr>
              <w:pStyle w:val="OT"/>
              <w:spacing w:after="0"/>
              <w:jc w:val="center"/>
              <w:rPr>
                <w:sz w:val="24"/>
                <w:szCs w:val="24"/>
              </w:rPr>
            </w:pPr>
            <w:r>
              <w:rPr>
                <w:sz w:val="24"/>
                <w:szCs w:val="24"/>
              </w:rPr>
              <w:t>636 (53,</w:t>
            </w:r>
            <w:r w:rsidRPr="00290181">
              <w:rPr>
                <w:sz w:val="24"/>
                <w:szCs w:val="24"/>
              </w:rPr>
              <w:t>8%)</w:t>
            </w:r>
          </w:p>
        </w:tc>
        <w:tc>
          <w:tcPr>
            <w:tcW w:w="2405" w:type="dxa"/>
            <w:vAlign w:val="center"/>
          </w:tcPr>
          <w:p w14:paraId="217CDFC3" w14:textId="77777777" w:rsidR="00201BB7" w:rsidRPr="00290181" w:rsidRDefault="00201BB7" w:rsidP="00A73C73">
            <w:pPr>
              <w:pStyle w:val="OT"/>
              <w:spacing w:after="0"/>
              <w:jc w:val="center"/>
              <w:rPr>
                <w:sz w:val="24"/>
                <w:szCs w:val="24"/>
              </w:rPr>
            </w:pPr>
            <w:r w:rsidRPr="00290181">
              <w:rPr>
                <w:sz w:val="24"/>
                <w:szCs w:val="24"/>
              </w:rPr>
              <w:t>1412 (55</w:t>
            </w:r>
            <w:r>
              <w:rPr>
                <w:sz w:val="24"/>
                <w:szCs w:val="24"/>
              </w:rPr>
              <w:t>,0</w:t>
            </w:r>
            <w:r w:rsidRPr="00290181">
              <w:rPr>
                <w:sz w:val="24"/>
                <w:szCs w:val="24"/>
              </w:rPr>
              <w:t>%)</w:t>
            </w:r>
          </w:p>
        </w:tc>
      </w:tr>
      <w:tr w:rsidR="00201BB7" w:rsidRPr="00290181" w14:paraId="765CCA2D" w14:textId="77777777" w:rsidTr="00A73C73">
        <w:tc>
          <w:tcPr>
            <w:tcW w:w="4957" w:type="dxa"/>
          </w:tcPr>
          <w:p w14:paraId="12D27C85" w14:textId="77777777" w:rsidR="00201BB7" w:rsidRPr="00BE477C" w:rsidRDefault="00201BB7" w:rsidP="00A73C73">
            <w:pPr>
              <w:pStyle w:val="OT"/>
              <w:spacing w:after="0"/>
              <w:rPr>
                <w:b/>
                <w:sz w:val="24"/>
                <w:szCs w:val="24"/>
              </w:rPr>
            </w:pPr>
            <w:r w:rsidRPr="00BE477C">
              <w:rPr>
                <w:b/>
                <w:sz w:val="24"/>
                <w:szCs w:val="24"/>
              </w:rPr>
              <w:t>Инфекции и инвазии</w:t>
            </w:r>
          </w:p>
        </w:tc>
        <w:tc>
          <w:tcPr>
            <w:tcW w:w="1984" w:type="dxa"/>
            <w:vAlign w:val="center"/>
          </w:tcPr>
          <w:p w14:paraId="2FFFA5A0" w14:textId="77777777" w:rsidR="00201BB7" w:rsidRPr="00290181" w:rsidRDefault="00201BB7" w:rsidP="00A73C73">
            <w:pPr>
              <w:pStyle w:val="OT"/>
              <w:spacing w:after="0"/>
              <w:jc w:val="center"/>
              <w:rPr>
                <w:sz w:val="24"/>
                <w:szCs w:val="24"/>
              </w:rPr>
            </w:pPr>
            <w:r w:rsidRPr="00290181">
              <w:rPr>
                <w:sz w:val="24"/>
                <w:szCs w:val="24"/>
              </w:rPr>
              <w:t>244 (20,6%)</w:t>
            </w:r>
          </w:p>
        </w:tc>
        <w:tc>
          <w:tcPr>
            <w:tcW w:w="2405" w:type="dxa"/>
            <w:vAlign w:val="center"/>
          </w:tcPr>
          <w:p w14:paraId="7D81C483" w14:textId="77777777" w:rsidR="00201BB7" w:rsidRPr="00290181" w:rsidRDefault="00201BB7" w:rsidP="00A73C73">
            <w:pPr>
              <w:pStyle w:val="OT"/>
              <w:spacing w:after="0"/>
              <w:jc w:val="center"/>
              <w:rPr>
                <w:sz w:val="24"/>
                <w:szCs w:val="24"/>
              </w:rPr>
            </w:pPr>
            <w:r w:rsidRPr="00290181">
              <w:rPr>
                <w:sz w:val="24"/>
                <w:szCs w:val="24"/>
              </w:rPr>
              <w:t>491 (19,1%)</w:t>
            </w:r>
          </w:p>
        </w:tc>
      </w:tr>
      <w:tr w:rsidR="00201BB7" w:rsidRPr="00290181" w14:paraId="2DE78A20" w14:textId="77777777" w:rsidTr="00A73C73">
        <w:tc>
          <w:tcPr>
            <w:tcW w:w="4957" w:type="dxa"/>
          </w:tcPr>
          <w:p w14:paraId="60C51276" w14:textId="77777777" w:rsidR="00201BB7" w:rsidRPr="00290181" w:rsidRDefault="00201BB7" w:rsidP="00A73C73">
            <w:pPr>
              <w:pStyle w:val="OT"/>
              <w:spacing w:after="0"/>
              <w:rPr>
                <w:sz w:val="24"/>
                <w:szCs w:val="24"/>
              </w:rPr>
            </w:pPr>
            <w:r w:rsidRPr="00290181">
              <w:rPr>
                <w:sz w:val="24"/>
                <w:szCs w:val="24"/>
              </w:rPr>
              <w:t xml:space="preserve">Назофарингит </w:t>
            </w:r>
          </w:p>
        </w:tc>
        <w:tc>
          <w:tcPr>
            <w:tcW w:w="1984" w:type="dxa"/>
            <w:vAlign w:val="center"/>
          </w:tcPr>
          <w:p w14:paraId="03622B49" w14:textId="77777777" w:rsidR="00201BB7" w:rsidRPr="00290181" w:rsidRDefault="00201BB7" w:rsidP="00A73C73">
            <w:pPr>
              <w:pStyle w:val="OT"/>
              <w:spacing w:after="0"/>
              <w:jc w:val="center"/>
              <w:rPr>
                <w:sz w:val="24"/>
                <w:szCs w:val="24"/>
              </w:rPr>
            </w:pPr>
            <w:r w:rsidRPr="00290181">
              <w:rPr>
                <w:sz w:val="24"/>
                <w:szCs w:val="24"/>
              </w:rPr>
              <w:t>65 (5</w:t>
            </w:r>
            <w:r>
              <w:rPr>
                <w:sz w:val="24"/>
                <w:szCs w:val="24"/>
              </w:rPr>
              <w:t>,</w:t>
            </w:r>
            <w:r w:rsidRPr="00290181">
              <w:rPr>
                <w:sz w:val="24"/>
                <w:szCs w:val="24"/>
              </w:rPr>
              <w:t>5 %)</w:t>
            </w:r>
          </w:p>
        </w:tc>
        <w:tc>
          <w:tcPr>
            <w:tcW w:w="2405" w:type="dxa"/>
            <w:vAlign w:val="center"/>
          </w:tcPr>
          <w:p w14:paraId="68235101" w14:textId="77777777" w:rsidR="00201BB7" w:rsidRPr="00290181" w:rsidRDefault="00201BB7" w:rsidP="00A73C73">
            <w:pPr>
              <w:pStyle w:val="OT"/>
              <w:spacing w:after="0"/>
              <w:jc w:val="center"/>
              <w:rPr>
                <w:sz w:val="24"/>
                <w:szCs w:val="24"/>
              </w:rPr>
            </w:pPr>
            <w:r w:rsidRPr="00290181">
              <w:rPr>
                <w:sz w:val="24"/>
                <w:szCs w:val="24"/>
              </w:rPr>
              <w:t>150 (5</w:t>
            </w:r>
            <w:r>
              <w:rPr>
                <w:sz w:val="24"/>
                <w:szCs w:val="24"/>
              </w:rPr>
              <w:t>,</w:t>
            </w:r>
            <w:r w:rsidRPr="00290181">
              <w:rPr>
                <w:sz w:val="24"/>
                <w:szCs w:val="24"/>
              </w:rPr>
              <w:t>8%)</w:t>
            </w:r>
          </w:p>
        </w:tc>
      </w:tr>
      <w:tr w:rsidR="00201BB7" w:rsidRPr="00290181" w14:paraId="56391E95" w14:textId="77777777" w:rsidTr="00A73C73">
        <w:tc>
          <w:tcPr>
            <w:tcW w:w="4957" w:type="dxa"/>
          </w:tcPr>
          <w:p w14:paraId="26AAC3A5" w14:textId="77777777" w:rsidR="00201BB7" w:rsidRPr="00290181" w:rsidRDefault="00201BB7" w:rsidP="00A73C73">
            <w:pPr>
              <w:pStyle w:val="OT"/>
              <w:spacing w:after="0"/>
              <w:rPr>
                <w:sz w:val="24"/>
                <w:szCs w:val="24"/>
              </w:rPr>
            </w:pPr>
            <w:r w:rsidRPr="00290181">
              <w:rPr>
                <w:sz w:val="24"/>
                <w:szCs w:val="24"/>
              </w:rPr>
              <w:t>Инфекции верхних дыхательных путей</w:t>
            </w:r>
          </w:p>
        </w:tc>
        <w:tc>
          <w:tcPr>
            <w:tcW w:w="1984" w:type="dxa"/>
            <w:vAlign w:val="center"/>
          </w:tcPr>
          <w:p w14:paraId="00205881" w14:textId="77777777" w:rsidR="00201BB7" w:rsidRPr="00290181" w:rsidRDefault="00201BB7" w:rsidP="00A73C73">
            <w:pPr>
              <w:pStyle w:val="OT"/>
              <w:spacing w:after="0"/>
              <w:jc w:val="center"/>
              <w:rPr>
                <w:sz w:val="24"/>
                <w:szCs w:val="24"/>
              </w:rPr>
            </w:pPr>
            <w:r w:rsidRPr="00290181">
              <w:rPr>
                <w:sz w:val="24"/>
                <w:szCs w:val="24"/>
              </w:rPr>
              <w:t>53 (4,5%)</w:t>
            </w:r>
          </w:p>
        </w:tc>
        <w:tc>
          <w:tcPr>
            <w:tcW w:w="2405" w:type="dxa"/>
            <w:vAlign w:val="center"/>
          </w:tcPr>
          <w:p w14:paraId="73EFEBE1" w14:textId="77777777" w:rsidR="00201BB7" w:rsidRPr="00290181" w:rsidRDefault="00201BB7" w:rsidP="00A73C73">
            <w:pPr>
              <w:pStyle w:val="OT"/>
              <w:spacing w:after="0"/>
              <w:jc w:val="center"/>
              <w:rPr>
                <w:sz w:val="24"/>
                <w:szCs w:val="24"/>
              </w:rPr>
            </w:pPr>
            <w:r w:rsidRPr="00290181">
              <w:rPr>
                <w:sz w:val="24"/>
                <w:szCs w:val="24"/>
              </w:rPr>
              <w:t>84 (3,3%)</w:t>
            </w:r>
          </w:p>
        </w:tc>
      </w:tr>
      <w:tr w:rsidR="00201BB7" w:rsidRPr="00290181" w14:paraId="0C69474D" w14:textId="77777777" w:rsidTr="00A73C73">
        <w:tc>
          <w:tcPr>
            <w:tcW w:w="4957" w:type="dxa"/>
          </w:tcPr>
          <w:p w14:paraId="68572E7E" w14:textId="77777777" w:rsidR="00201BB7" w:rsidRPr="00290181" w:rsidRDefault="00201BB7" w:rsidP="00A73C73">
            <w:pPr>
              <w:pStyle w:val="OT"/>
              <w:spacing w:after="0"/>
              <w:rPr>
                <w:sz w:val="24"/>
                <w:szCs w:val="24"/>
              </w:rPr>
            </w:pPr>
            <w:r w:rsidRPr="00290181">
              <w:rPr>
                <w:sz w:val="24"/>
                <w:szCs w:val="24"/>
              </w:rPr>
              <w:t>Инфекции мочевыводящих путей</w:t>
            </w:r>
          </w:p>
        </w:tc>
        <w:tc>
          <w:tcPr>
            <w:tcW w:w="1984" w:type="dxa"/>
            <w:vAlign w:val="center"/>
          </w:tcPr>
          <w:p w14:paraId="739F74FB" w14:textId="77777777" w:rsidR="00201BB7" w:rsidRPr="00290181" w:rsidRDefault="00201BB7" w:rsidP="00A73C73">
            <w:pPr>
              <w:pStyle w:val="OT"/>
              <w:spacing w:after="0"/>
              <w:jc w:val="center"/>
              <w:rPr>
                <w:sz w:val="24"/>
                <w:szCs w:val="24"/>
              </w:rPr>
            </w:pPr>
            <w:r w:rsidRPr="00290181">
              <w:rPr>
                <w:sz w:val="24"/>
                <w:szCs w:val="24"/>
              </w:rPr>
              <w:t>28 (2,4%)</w:t>
            </w:r>
          </w:p>
        </w:tc>
        <w:tc>
          <w:tcPr>
            <w:tcW w:w="2405" w:type="dxa"/>
            <w:vAlign w:val="center"/>
          </w:tcPr>
          <w:p w14:paraId="4757BFE3" w14:textId="77777777" w:rsidR="00201BB7" w:rsidRPr="00290181" w:rsidRDefault="00201BB7" w:rsidP="00A73C73">
            <w:pPr>
              <w:pStyle w:val="OT"/>
              <w:spacing w:after="0"/>
              <w:jc w:val="center"/>
              <w:rPr>
                <w:sz w:val="24"/>
                <w:szCs w:val="24"/>
              </w:rPr>
            </w:pPr>
            <w:r w:rsidRPr="00290181">
              <w:rPr>
                <w:sz w:val="24"/>
                <w:szCs w:val="24"/>
              </w:rPr>
              <w:t>56 (2</w:t>
            </w:r>
            <w:r>
              <w:rPr>
                <w:sz w:val="24"/>
                <w:szCs w:val="24"/>
              </w:rPr>
              <w:t>,</w:t>
            </w:r>
            <w:r w:rsidRPr="00290181">
              <w:rPr>
                <w:sz w:val="24"/>
                <w:szCs w:val="24"/>
              </w:rPr>
              <w:t>2%)</w:t>
            </w:r>
          </w:p>
        </w:tc>
      </w:tr>
      <w:tr w:rsidR="00201BB7" w:rsidRPr="00290181" w14:paraId="4E8C4EE6" w14:textId="77777777" w:rsidTr="00A73C73">
        <w:tc>
          <w:tcPr>
            <w:tcW w:w="4957" w:type="dxa"/>
          </w:tcPr>
          <w:p w14:paraId="3DE114AA" w14:textId="77777777" w:rsidR="00201BB7" w:rsidRPr="00290181" w:rsidRDefault="00201BB7" w:rsidP="00A73C73">
            <w:pPr>
              <w:pStyle w:val="OT"/>
              <w:spacing w:after="0"/>
              <w:rPr>
                <w:sz w:val="24"/>
                <w:szCs w:val="24"/>
              </w:rPr>
            </w:pPr>
            <w:r w:rsidRPr="00290181">
              <w:rPr>
                <w:sz w:val="24"/>
                <w:szCs w:val="24"/>
              </w:rPr>
              <w:t>Грипп</w:t>
            </w:r>
          </w:p>
        </w:tc>
        <w:tc>
          <w:tcPr>
            <w:tcW w:w="1984" w:type="dxa"/>
            <w:vAlign w:val="center"/>
          </w:tcPr>
          <w:p w14:paraId="7EE2805E" w14:textId="77777777" w:rsidR="00201BB7" w:rsidRPr="00290181" w:rsidRDefault="00201BB7" w:rsidP="00A73C73">
            <w:pPr>
              <w:pStyle w:val="OT"/>
              <w:spacing w:after="0"/>
              <w:jc w:val="center"/>
              <w:rPr>
                <w:sz w:val="24"/>
                <w:szCs w:val="24"/>
              </w:rPr>
            </w:pPr>
            <w:r w:rsidRPr="00290181">
              <w:rPr>
                <w:sz w:val="24"/>
                <w:szCs w:val="24"/>
              </w:rPr>
              <w:t>16 (1,4%)</w:t>
            </w:r>
          </w:p>
        </w:tc>
        <w:tc>
          <w:tcPr>
            <w:tcW w:w="2405" w:type="dxa"/>
            <w:vAlign w:val="center"/>
          </w:tcPr>
          <w:p w14:paraId="52638258" w14:textId="77777777" w:rsidR="00201BB7" w:rsidRPr="00290181" w:rsidRDefault="00201BB7" w:rsidP="00A73C73">
            <w:pPr>
              <w:pStyle w:val="OT"/>
              <w:spacing w:after="0"/>
              <w:jc w:val="center"/>
              <w:rPr>
                <w:sz w:val="24"/>
                <w:szCs w:val="24"/>
              </w:rPr>
            </w:pPr>
            <w:r w:rsidRPr="00290181">
              <w:rPr>
                <w:sz w:val="24"/>
                <w:szCs w:val="24"/>
              </w:rPr>
              <w:t>37 (1,4%)</w:t>
            </w:r>
          </w:p>
        </w:tc>
      </w:tr>
      <w:tr w:rsidR="00201BB7" w:rsidRPr="00290181" w14:paraId="4E7F5640" w14:textId="77777777" w:rsidTr="00A73C73">
        <w:tc>
          <w:tcPr>
            <w:tcW w:w="4957" w:type="dxa"/>
          </w:tcPr>
          <w:p w14:paraId="77BB9ABA" w14:textId="77777777" w:rsidR="00201BB7" w:rsidRPr="00BE477C" w:rsidRDefault="00201BB7" w:rsidP="00A73C73">
            <w:pPr>
              <w:pStyle w:val="OT"/>
              <w:spacing w:after="0"/>
              <w:rPr>
                <w:b/>
                <w:sz w:val="24"/>
                <w:szCs w:val="24"/>
              </w:rPr>
            </w:pPr>
            <w:r w:rsidRPr="00BE477C">
              <w:rPr>
                <w:b/>
                <w:sz w:val="24"/>
                <w:szCs w:val="24"/>
              </w:rPr>
              <w:t>Нарушения ЖКТ</w:t>
            </w:r>
          </w:p>
        </w:tc>
        <w:tc>
          <w:tcPr>
            <w:tcW w:w="1984" w:type="dxa"/>
            <w:vAlign w:val="center"/>
          </w:tcPr>
          <w:p w14:paraId="732BD537" w14:textId="77777777" w:rsidR="00201BB7" w:rsidRPr="00290181" w:rsidRDefault="00201BB7" w:rsidP="00A73C73">
            <w:pPr>
              <w:pStyle w:val="OT"/>
              <w:spacing w:after="0"/>
              <w:jc w:val="center"/>
              <w:rPr>
                <w:sz w:val="24"/>
                <w:szCs w:val="24"/>
              </w:rPr>
            </w:pPr>
            <w:r w:rsidRPr="00290181">
              <w:rPr>
                <w:sz w:val="24"/>
                <w:szCs w:val="24"/>
              </w:rPr>
              <w:t>127 (10,7%)</w:t>
            </w:r>
          </w:p>
        </w:tc>
        <w:tc>
          <w:tcPr>
            <w:tcW w:w="2405" w:type="dxa"/>
            <w:vAlign w:val="center"/>
          </w:tcPr>
          <w:p w14:paraId="739FA4BA" w14:textId="77777777" w:rsidR="00201BB7" w:rsidRPr="00290181" w:rsidRDefault="00201BB7" w:rsidP="00A73C73">
            <w:pPr>
              <w:pStyle w:val="OT"/>
              <w:spacing w:after="0"/>
              <w:jc w:val="center"/>
              <w:rPr>
                <w:sz w:val="24"/>
                <w:szCs w:val="24"/>
              </w:rPr>
            </w:pPr>
            <w:r w:rsidRPr="00290181">
              <w:rPr>
                <w:sz w:val="24"/>
                <w:szCs w:val="24"/>
              </w:rPr>
              <w:t>269 (10,5%)</w:t>
            </w:r>
          </w:p>
        </w:tc>
      </w:tr>
      <w:tr w:rsidR="00201BB7" w:rsidRPr="00290181" w14:paraId="3977562A" w14:textId="77777777" w:rsidTr="00A73C73">
        <w:tc>
          <w:tcPr>
            <w:tcW w:w="4957" w:type="dxa"/>
          </w:tcPr>
          <w:p w14:paraId="061CB7A2" w14:textId="77777777" w:rsidR="00201BB7" w:rsidRPr="00290181" w:rsidRDefault="00201BB7" w:rsidP="00A73C73">
            <w:pPr>
              <w:pStyle w:val="OT"/>
              <w:spacing w:after="0"/>
              <w:rPr>
                <w:sz w:val="24"/>
                <w:szCs w:val="24"/>
              </w:rPr>
            </w:pPr>
            <w:r w:rsidRPr="00290181">
              <w:rPr>
                <w:sz w:val="24"/>
                <w:szCs w:val="24"/>
              </w:rPr>
              <w:t>Понос</w:t>
            </w:r>
          </w:p>
        </w:tc>
        <w:tc>
          <w:tcPr>
            <w:tcW w:w="1984" w:type="dxa"/>
            <w:vAlign w:val="center"/>
          </w:tcPr>
          <w:p w14:paraId="16BD8849" w14:textId="77777777" w:rsidR="00201BB7" w:rsidRPr="00290181" w:rsidRDefault="00201BB7" w:rsidP="00A73C73">
            <w:pPr>
              <w:pStyle w:val="OT"/>
              <w:spacing w:after="0"/>
              <w:jc w:val="center"/>
              <w:rPr>
                <w:sz w:val="24"/>
                <w:szCs w:val="24"/>
              </w:rPr>
            </w:pPr>
            <w:r w:rsidRPr="00290181">
              <w:rPr>
                <w:sz w:val="24"/>
                <w:szCs w:val="24"/>
              </w:rPr>
              <w:t>27 (2,3%)</w:t>
            </w:r>
          </w:p>
        </w:tc>
        <w:tc>
          <w:tcPr>
            <w:tcW w:w="2405" w:type="dxa"/>
            <w:vAlign w:val="center"/>
          </w:tcPr>
          <w:p w14:paraId="00222879" w14:textId="77777777" w:rsidR="00201BB7" w:rsidRPr="00290181" w:rsidRDefault="00201BB7" w:rsidP="00A73C73">
            <w:pPr>
              <w:pStyle w:val="OT"/>
              <w:spacing w:after="0"/>
              <w:jc w:val="center"/>
              <w:rPr>
                <w:sz w:val="24"/>
                <w:szCs w:val="24"/>
              </w:rPr>
            </w:pPr>
            <w:r w:rsidRPr="00290181">
              <w:rPr>
                <w:sz w:val="24"/>
                <w:szCs w:val="24"/>
              </w:rPr>
              <w:t>53 (2,1 %)</w:t>
            </w:r>
          </w:p>
        </w:tc>
      </w:tr>
      <w:tr w:rsidR="00201BB7" w:rsidRPr="00290181" w14:paraId="109D0F89" w14:textId="77777777" w:rsidTr="00A73C73">
        <w:tc>
          <w:tcPr>
            <w:tcW w:w="4957" w:type="dxa"/>
          </w:tcPr>
          <w:p w14:paraId="3231698B" w14:textId="77777777" w:rsidR="00201BB7" w:rsidRPr="00290181" w:rsidRDefault="00201BB7" w:rsidP="00A73C73">
            <w:pPr>
              <w:pStyle w:val="OT"/>
              <w:spacing w:after="0"/>
              <w:rPr>
                <w:sz w:val="24"/>
                <w:szCs w:val="24"/>
              </w:rPr>
            </w:pPr>
            <w:r w:rsidRPr="00290181">
              <w:rPr>
                <w:sz w:val="24"/>
                <w:szCs w:val="24"/>
              </w:rPr>
              <w:t xml:space="preserve">Запор </w:t>
            </w:r>
          </w:p>
        </w:tc>
        <w:tc>
          <w:tcPr>
            <w:tcW w:w="1984" w:type="dxa"/>
            <w:vAlign w:val="center"/>
          </w:tcPr>
          <w:p w14:paraId="2CAACB05" w14:textId="77777777" w:rsidR="00201BB7" w:rsidRPr="00290181" w:rsidRDefault="00201BB7" w:rsidP="00A73C73">
            <w:pPr>
              <w:pStyle w:val="OT"/>
              <w:spacing w:after="0"/>
              <w:jc w:val="center"/>
              <w:rPr>
                <w:sz w:val="24"/>
                <w:szCs w:val="24"/>
              </w:rPr>
            </w:pPr>
            <w:r w:rsidRPr="00290181">
              <w:rPr>
                <w:sz w:val="24"/>
                <w:szCs w:val="24"/>
              </w:rPr>
              <w:t>21 (1,5%)</w:t>
            </w:r>
          </w:p>
        </w:tc>
        <w:tc>
          <w:tcPr>
            <w:tcW w:w="2405" w:type="dxa"/>
            <w:vAlign w:val="center"/>
          </w:tcPr>
          <w:p w14:paraId="2F3B4A45" w14:textId="77777777" w:rsidR="00201BB7" w:rsidRPr="00290181" w:rsidRDefault="00201BB7" w:rsidP="00A73C73">
            <w:pPr>
              <w:pStyle w:val="OT"/>
              <w:spacing w:after="0"/>
              <w:jc w:val="center"/>
              <w:rPr>
                <w:sz w:val="24"/>
                <w:szCs w:val="24"/>
              </w:rPr>
            </w:pPr>
            <w:r w:rsidRPr="00290181">
              <w:rPr>
                <w:sz w:val="24"/>
                <w:szCs w:val="24"/>
              </w:rPr>
              <w:t>40 (1,6 %)</w:t>
            </w:r>
          </w:p>
        </w:tc>
      </w:tr>
      <w:tr w:rsidR="00201BB7" w:rsidRPr="00290181" w14:paraId="49E63A80" w14:textId="77777777" w:rsidTr="00A73C73">
        <w:tc>
          <w:tcPr>
            <w:tcW w:w="4957" w:type="dxa"/>
          </w:tcPr>
          <w:p w14:paraId="7469C5C5" w14:textId="77777777" w:rsidR="00201BB7" w:rsidRPr="00290181" w:rsidRDefault="00201BB7" w:rsidP="00A73C73">
            <w:pPr>
              <w:pStyle w:val="OT"/>
              <w:spacing w:after="0"/>
              <w:rPr>
                <w:sz w:val="24"/>
                <w:szCs w:val="24"/>
              </w:rPr>
            </w:pPr>
            <w:r w:rsidRPr="00290181">
              <w:rPr>
                <w:sz w:val="24"/>
                <w:szCs w:val="24"/>
              </w:rPr>
              <w:t>Тошнота</w:t>
            </w:r>
          </w:p>
        </w:tc>
        <w:tc>
          <w:tcPr>
            <w:tcW w:w="1984" w:type="dxa"/>
            <w:vAlign w:val="center"/>
          </w:tcPr>
          <w:p w14:paraId="18D50FF4" w14:textId="77777777" w:rsidR="00201BB7" w:rsidRPr="00290181" w:rsidRDefault="00201BB7" w:rsidP="00A73C73">
            <w:pPr>
              <w:pStyle w:val="OT"/>
              <w:spacing w:after="0"/>
              <w:jc w:val="center"/>
              <w:rPr>
                <w:sz w:val="24"/>
                <w:szCs w:val="24"/>
              </w:rPr>
            </w:pPr>
            <w:r w:rsidRPr="00290181">
              <w:rPr>
                <w:sz w:val="24"/>
                <w:szCs w:val="24"/>
              </w:rPr>
              <w:t>14 (1,2 %)</w:t>
            </w:r>
          </w:p>
        </w:tc>
        <w:tc>
          <w:tcPr>
            <w:tcW w:w="2405" w:type="dxa"/>
            <w:vAlign w:val="center"/>
          </w:tcPr>
          <w:p w14:paraId="40D1C102" w14:textId="77777777" w:rsidR="00201BB7" w:rsidRPr="00290181" w:rsidRDefault="00201BB7" w:rsidP="00A73C73">
            <w:pPr>
              <w:pStyle w:val="OT"/>
              <w:spacing w:after="0"/>
              <w:jc w:val="center"/>
              <w:rPr>
                <w:sz w:val="24"/>
                <w:szCs w:val="24"/>
              </w:rPr>
            </w:pPr>
            <w:r w:rsidRPr="00290181">
              <w:rPr>
                <w:sz w:val="24"/>
                <w:szCs w:val="24"/>
              </w:rPr>
              <w:t>28 (1,1 %)</w:t>
            </w:r>
          </w:p>
        </w:tc>
      </w:tr>
      <w:tr w:rsidR="00201BB7" w:rsidRPr="00290181" w14:paraId="4B1B0381" w14:textId="77777777" w:rsidTr="00A73C73">
        <w:tc>
          <w:tcPr>
            <w:tcW w:w="4957" w:type="dxa"/>
          </w:tcPr>
          <w:p w14:paraId="205F1300" w14:textId="77777777" w:rsidR="00201BB7" w:rsidRPr="00290181" w:rsidRDefault="00201BB7" w:rsidP="00A73C73">
            <w:pPr>
              <w:pStyle w:val="OT"/>
              <w:spacing w:after="0"/>
              <w:rPr>
                <w:sz w:val="24"/>
                <w:szCs w:val="24"/>
              </w:rPr>
            </w:pPr>
            <w:r w:rsidRPr="00290181">
              <w:rPr>
                <w:sz w:val="24"/>
                <w:szCs w:val="24"/>
              </w:rPr>
              <w:t>Боль в животе</w:t>
            </w:r>
          </w:p>
        </w:tc>
        <w:tc>
          <w:tcPr>
            <w:tcW w:w="1984" w:type="dxa"/>
            <w:vAlign w:val="center"/>
          </w:tcPr>
          <w:p w14:paraId="7A6899F3" w14:textId="77777777" w:rsidR="00201BB7" w:rsidRPr="00290181" w:rsidRDefault="00201BB7" w:rsidP="00A73C73">
            <w:pPr>
              <w:pStyle w:val="OT"/>
              <w:spacing w:after="0"/>
              <w:jc w:val="center"/>
              <w:rPr>
                <w:sz w:val="24"/>
                <w:szCs w:val="24"/>
              </w:rPr>
            </w:pPr>
            <w:r w:rsidRPr="00290181">
              <w:rPr>
                <w:sz w:val="24"/>
                <w:szCs w:val="24"/>
              </w:rPr>
              <w:t>15 (1,3%)</w:t>
            </w:r>
          </w:p>
        </w:tc>
        <w:tc>
          <w:tcPr>
            <w:tcW w:w="2405" w:type="dxa"/>
            <w:vAlign w:val="center"/>
          </w:tcPr>
          <w:p w14:paraId="19E6ECE6" w14:textId="77777777" w:rsidR="00201BB7" w:rsidRPr="00290181" w:rsidRDefault="00201BB7" w:rsidP="00A73C73">
            <w:pPr>
              <w:pStyle w:val="OT"/>
              <w:spacing w:after="0"/>
              <w:jc w:val="center"/>
              <w:rPr>
                <w:sz w:val="24"/>
                <w:szCs w:val="24"/>
              </w:rPr>
            </w:pPr>
            <w:r>
              <w:rPr>
                <w:sz w:val="24"/>
                <w:szCs w:val="24"/>
              </w:rPr>
              <w:t xml:space="preserve">18 </w:t>
            </w:r>
            <w:r w:rsidRPr="00290181">
              <w:rPr>
                <w:sz w:val="24"/>
                <w:szCs w:val="24"/>
              </w:rPr>
              <w:t>(</w:t>
            </w:r>
            <w:r>
              <w:rPr>
                <w:sz w:val="24"/>
                <w:szCs w:val="24"/>
              </w:rPr>
              <w:t>0,7</w:t>
            </w:r>
            <w:r w:rsidRPr="00290181">
              <w:rPr>
                <w:sz w:val="24"/>
                <w:szCs w:val="24"/>
              </w:rPr>
              <w:t>%)</w:t>
            </w:r>
          </w:p>
        </w:tc>
      </w:tr>
      <w:tr w:rsidR="00201BB7" w:rsidRPr="00290181" w14:paraId="4A2C755B" w14:textId="77777777" w:rsidTr="00A73C73">
        <w:tc>
          <w:tcPr>
            <w:tcW w:w="9346" w:type="dxa"/>
            <w:gridSpan w:val="3"/>
          </w:tcPr>
          <w:p w14:paraId="1F819B38" w14:textId="43FC587F" w:rsidR="00201BB7" w:rsidRDefault="00201BB7" w:rsidP="00BE477C">
            <w:pPr>
              <w:pStyle w:val="OT"/>
              <w:spacing w:after="0"/>
              <w:rPr>
                <w:sz w:val="24"/>
                <w:szCs w:val="24"/>
              </w:rPr>
            </w:pPr>
            <w:r>
              <w:rPr>
                <w:b/>
                <w:sz w:val="24"/>
                <w:szCs w:val="24"/>
              </w:rPr>
              <w:t>Нарушения метаболизма</w:t>
            </w:r>
          </w:p>
        </w:tc>
      </w:tr>
      <w:tr w:rsidR="00201BB7" w:rsidRPr="00290181" w14:paraId="3FFED473" w14:textId="77777777" w:rsidTr="00A73C73">
        <w:tc>
          <w:tcPr>
            <w:tcW w:w="4957" w:type="dxa"/>
          </w:tcPr>
          <w:p w14:paraId="66623E6F" w14:textId="77777777" w:rsidR="00201BB7" w:rsidRPr="00290181" w:rsidRDefault="00201BB7" w:rsidP="00201BB7">
            <w:pPr>
              <w:pStyle w:val="OT"/>
              <w:spacing w:after="0"/>
              <w:rPr>
                <w:sz w:val="24"/>
                <w:szCs w:val="24"/>
              </w:rPr>
            </w:pPr>
            <w:r w:rsidRPr="00290181">
              <w:rPr>
                <w:sz w:val="24"/>
                <w:szCs w:val="24"/>
              </w:rPr>
              <w:t>Дислипидемия</w:t>
            </w:r>
          </w:p>
        </w:tc>
        <w:tc>
          <w:tcPr>
            <w:tcW w:w="1984" w:type="dxa"/>
            <w:vAlign w:val="center"/>
          </w:tcPr>
          <w:p w14:paraId="6202089B" w14:textId="77777777" w:rsidR="00201BB7" w:rsidRPr="00290181" w:rsidRDefault="00201BB7" w:rsidP="00201BB7">
            <w:pPr>
              <w:pStyle w:val="OT"/>
              <w:spacing w:after="0"/>
              <w:jc w:val="center"/>
              <w:rPr>
                <w:sz w:val="24"/>
                <w:szCs w:val="24"/>
              </w:rPr>
            </w:pPr>
            <w:r w:rsidRPr="00290181">
              <w:rPr>
                <w:sz w:val="24"/>
                <w:szCs w:val="24"/>
              </w:rPr>
              <w:t>13 (1,1%)</w:t>
            </w:r>
          </w:p>
        </w:tc>
        <w:tc>
          <w:tcPr>
            <w:tcW w:w="2405" w:type="dxa"/>
            <w:vAlign w:val="center"/>
          </w:tcPr>
          <w:p w14:paraId="03110BD0" w14:textId="77777777" w:rsidR="00201BB7" w:rsidRPr="00290181" w:rsidRDefault="00201BB7" w:rsidP="00201BB7">
            <w:pPr>
              <w:pStyle w:val="OT"/>
              <w:spacing w:after="0"/>
              <w:jc w:val="center"/>
              <w:rPr>
                <w:sz w:val="24"/>
                <w:szCs w:val="24"/>
              </w:rPr>
            </w:pPr>
            <w:r w:rsidRPr="00290181">
              <w:rPr>
                <w:sz w:val="24"/>
                <w:szCs w:val="24"/>
              </w:rPr>
              <w:t>31 (1,2%)</w:t>
            </w:r>
          </w:p>
        </w:tc>
      </w:tr>
      <w:tr w:rsidR="00201BB7" w:rsidRPr="00290181" w14:paraId="0F02E824" w14:textId="77777777" w:rsidTr="00A73C73">
        <w:tc>
          <w:tcPr>
            <w:tcW w:w="4957" w:type="dxa"/>
          </w:tcPr>
          <w:p w14:paraId="2E2907DD" w14:textId="77777777" w:rsidR="00201BB7" w:rsidRPr="00290181" w:rsidRDefault="00201BB7" w:rsidP="00201BB7">
            <w:pPr>
              <w:pStyle w:val="OT"/>
              <w:spacing w:after="0"/>
              <w:rPr>
                <w:sz w:val="24"/>
                <w:szCs w:val="24"/>
              </w:rPr>
            </w:pPr>
            <w:r w:rsidRPr="00290181">
              <w:rPr>
                <w:sz w:val="24"/>
                <w:szCs w:val="24"/>
              </w:rPr>
              <w:t xml:space="preserve">Гипергликемия </w:t>
            </w:r>
          </w:p>
        </w:tc>
        <w:tc>
          <w:tcPr>
            <w:tcW w:w="1984" w:type="dxa"/>
            <w:vAlign w:val="center"/>
          </w:tcPr>
          <w:p w14:paraId="771F69B8" w14:textId="77777777" w:rsidR="00201BB7" w:rsidRPr="00290181" w:rsidRDefault="00201BB7" w:rsidP="00201BB7">
            <w:pPr>
              <w:pStyle w:val="OT"/>
              <w:spacing w:after="0"/>
              <w:jc w:val="center"/>
              <w:rPr>
                <w:sz w:val="24"/>
                <w:szCs w:val="24"/>
              </w:rPr>
            </w:pPr>
            <w:r w:rsidRPr="00290181">
              <w:rPr>
                <w:sz w:val="24"/>
                <w:szCs w:val="24"/>
              </w:rPr>
              <w:t>125 (10,6%)</w:t>
            </w:r>
          </w:p>
        </w:tc>
        <w:tc>
          <w:tcPr>
            <w:tcW w:w="2405" w:type="dxa"/>
            <w:vAlign w:val="center"/>
          </w:tcPr>
          <w:p w14:paraId="0B27C024" w14:textId="77777777" w:rsidR="00201BB7" w:rsidRPr="00290181" w:rsidRDefault="00201BB7" w:rsidP="00201BB7">
            <w:pPr>
              <w:pStyle w:val="OT"/>
              <w:spacing w:after="0"/>
              <w:jc w:val="center"/>
              <w:rPr>
                <w:sz w:val="24"/>
                <w:szCs w:val="24"/>
              </w:rPr>
            </w:pPr>
            <w:r w:rsidRPr="00290181">
              <w:rPr>
                <w:sz w:val="24"/>
                <w:szCs w:val="24"/>
              </w:rPr>
              <w:t>128 (5,0%)</w:t>
            </w:r>
          </w:p>
        </w:tc>
      </w:tr>
      <w:tr w:rsidR="00201BB7" w:rsidRPr="00290181" w14:paraId="123A1941" w14:textId="77777777" w:rsidTr="00A73C73">
        <w:tc>
          <w:tcPr>
            <w:tcW w:w="4957" w:type="dxa"/>
          </w:tcPr>
          <w:p w14:paraId="7D90765B" w14:textId="77777777" w:rsidR="00201BB7" w:rsidRPr="00290181" w:rsidRDefault="00201BB7" w:rsidP="00201BB7">
            <w:pPr>
              <w:pStyle w:val="OT"/>
              <w:spacing w:after="0"/>
              <w:rPr>
                <w:sz w:val="24"/>
                <w:szCs w:val="24"/>
              </w:rPr>
            </w:pPr>
            <w:r w:rsidRPr="00290181">
              <w:rPr>
                <w:sz w:val="24"/>
                <w:szCs w:val="24"/>
              </w:rPr>
              <w:t>Гипогликемия</w:t>
            </w:r>
          </w:p>
        </w:tc>
        <w:tc>
          <w:tcPr>
            <w:tcW w:w="1984" w:type="dxa"/>
            <w:vAlign w:val="center"/>
          </w:tcPr>
          <w:p w14:paraId="2A1973A0" w14:textId="77777777" w:rsidR="00201BB7" w:rsidRPr="00290181" w:rsidRDefault="00201BB7" w:rsidP="00201BB7">
            <w:pPr>
              <w:pStyle w:val="OT"/>
              <w:spacing w:after="0"/>
              <w:jc w:val="center"/>
              <w:rPr>
                <w:sz w:val="24"/>
                <w:szCs w:val="24"/>
              </w:rPr>
            </w:pPr>
            <w:r w:rsidRPr="00290181">
              <w:rPr>
                <w:sz w:val="24"/>
                <w:szCs w:val="24"/>
              </w:rPr>
              <w:t>49 (4,1%)</w:t>
            </w:r>
          </w:p>
        </w:tc>
        <w:tc>
          <w:tcPr>
            <w:tcW w:w="2405" w:type="dxa"/>
            <w:vAlign w:val="center"/>
          </w:tcPr>
          <w:p w14:paraId="2D7590A0" w14:textId="77777777" w:rsidR="00201BB7" w:rsidRPr="00290181" w:rsidRDefault="00201BB7" w:rsidP="00201BB7">
            <w:pPr>
              <w:pStyle w:val="OT"/>
              <w:spacing w:after="0"/>
              <w:jc w:val="center"/>
              <w:rPr>
                <w:sz w:val="24"/>
                <w:szCs w:val="24"/>
              </w:rPr>
            </w:pPr>
            <w:r w:rsidRPr="00290181">
              <w:rPr>
                <w:sz w:val="24"/>
                <w:szCs w:val="24"/>
              </w:rPr>
              <w:t>195 (7,6%)</w:t>
            </w:r>
          </w:p>
        </w:tc>
      </w:tr>
      <w:tr w:rsidR="00201BB7" w:rsidRPr="00290181" w14:paraId="54CBBE95" w14:textId="77777777" w:rsidTr="00A73C73">
        <w:tc>
          <w:tcPr>
            <w:tcW w:w="4957" w:type="dxa"/>
          </w:tcPr>
          <w:p w14:paraId="59E77EE5" w14:textId="77777777" w:rsidR="00201BB7" w:rsidRPr="00BE477C" w:rsidRDefault="00201BB7" w:rsidP="00201BB7">
            <w:pPr>
              <w:pStyle w:val="OT"/>
              <w:spacing w:after="0"/>
              <w:rPr>
                <w:b/>
                <w:sz w:val="24"/>
                <w:szCs w:val="24"/>
              </w:rPr>
            </w:pPr>
            <w:r w:rsidRPr="00BE477C">
              <w:rPr>
                <w:b/>
                <w:sz w:val="24"/>
                <w:szCs w:val="24"/>
              </w:rPr>
              <w:t xml:space="preserve">Нарушения со стороны костной системы, </w:t>
            </w:r>
            <w:r w:rsidRPr="00BE477C">
              <w:rPr>
                <w:b/>
                <w:sz w:val="24"/>
                <w:szCs w:val="24"/>
              </w:rPr>
              <w:lastRenderedPageBreak/>
              <w:t>патология со стороны соединительной ткани</w:t>
            </w:r>
          </w:p>
        </w:tc>
        <w:tc>
          <w:tcPr>
            <w:tcW w:w="1984" w:type="dxa"/>
            <w:vAlign w:val="center"/>
          </w:tcPr>
          <w:p w14:paraId="20FBFE72" w14:textId="77777777" w:rsidR="00201BB7" w:rsidRPr="00290181" w:rsidRDefault="00201BB7" w:rsidP="00201BB7">
            <w:pPr>
              <w:pStyle w:val="OT"/>
              <w:spacing w:after="0"/>
              <w:jc w:val="center"/>
              <w:rPr>
                <w:sz w:val="24"/>
                <w:szCs w:val="24"/>
              </w:rPr>
            </w:pPr>
            <w:r w:rsidRPr="00290181">
              <w:rPr>
                <w:sz w:val="24"/>
                <w:szCs w:val="24"/>
              </w:rPr>
              <w:lastRenderedPageBreak/>
              <w:t>102 (8,6%)</w:t>
            </w:r>
          </w:p>
        </w:tc>
        <w:tc>
          <w:tcPr>
            <w:tcW w:w="2405" w:type="dxa"/>
            <w:vAlign w:val="center"/>
          </w:tcPr>
          <w:p w14:paraId="7E5D1A6D" w14:textId="77777777" w:rsidR="00201BB7" w:rsidRPr="00290181" w:rsidRDefault="00201BB7" w:rsidP="00201BB7">
            <w:pPr>
              <w:pStyle w:val="OT"/>
              <w:spacing w:after="0"/>
              <w:jc w:val="center"/>
              <w:rPr>
                <w:sz w:val="24"/>
                <w:szCs w:val="24"/>
              </w:rPr>
            </w:pPr>
            <w:r w:rsidRPr="00290181">
              <w:rPr>
                <w:sz w:val="24"/>
                <w:szCs w:val="24"/>
              </w:rPr>
              <w:t>264 (10,3%)</w:t>
            </w:r>
          </w:p>
        </w:tc>
      </w:tr>
      <w:tr w:rsidR="00201BB7" w:rsidRPr="00290181" w14:paraId="40EE6DC0" w14:textId="77777777" w:rsidTr="00A73C73">
        <w:tc>
          <w:tcPr>
            <w:tcW w:w="4957" w:type="dxa"/>
          </w:tcPr>
          <w:p w14:paraId="275B450E" w14:textId="77777777" w:rsidR="00201BB7" w:rsidRPr="00290181" w:rsidRDefault="00201BB7" w:rsidP="00201BB7">
            <w:pPr>
              <w:pStyle w:val="OT"/>
              <w:spacing w:after="0"/>
              <w:rPr>
                <w:sz w:val="24"/>
                <w:szCs w:val="24"/>
              </w:rPr>
            </w:pPr>
            <w:r w:rsidRPr="00290181">
              <w:rPr>
                <w:sz w:val="24"/>
                <w:szCs w:val="24"/>
              </w:rPr>
              <w:lastRenderedPageBreak/>
              <w:t xml:space="preserve">Артралгия </w:t>
            </w:r>
          </w:p>
        </w:tc>
        <w:tc>
          <w:tcPr>
            <w:tcW w:w="1984" w:type="dxa"/>
            <w:vAlign w:val="center"/>
          </w:tcPr>
          <w:p w14:paraId="7374E547" w14:textId="77777777" w:rsidR="00201BB7" w:rsidRPr="00290181" w:rsidRDefault="00201BB7" w:rsidP="00201BB7">
            <w:pPr>
              <w:pStyle w:val="OT"/>
              <w:spacing w:after="0"/>
              <w:jc w:val="center"/>
              <w:rPr>
                <w:sz w:val="24"/>
                <w:szCs w:val="24"/>
              </w:rPr>
            </w:pPr>
            <w:r w:rsidRPr="00290181">
              <w:rPr>
                <w:sz w:val="24"/>
                <w:szCs w:val="24"/>
              </w:rPr>
              <w:t>21 (1,8%)</w:t>
            </w:r>
          </w:p>
        </w:tc>
        <w:tc>
          <w:tcPr>
            <w:tcW w:w="2405" w:type="dxa"/>
            <w:vAlign w:val="center"/>
          </w:tcPr>
          <w:p w14:paraId="668CC1A9" w14:textId="77777777" w:rsidR="00201BB7" w:rsidRPr="00290181" w:rsidRDefault="00201BB7" w:rsidP="00201BB7">
            <w:pPr>
              <w:pStyle w:val="OT"/>
              <w:spacing w:after="0"/>
              <w:jc w:val="center"/>
              <w:rPr>
                <w:sz w:val="24"/>
                <w:szCs w:val="24"/>
              </w:rPr>
            </w:pPr>
            <w:r w:rsidRPr="00290181">
              <w:rPr>
                <w:sz w:val="24"/>
                <w:szCs w:val="24"/>
              </w:rPr>
              <w:t>47 (1,8%)</w:t>
            </w:r>
          </w:p>
        </w:tc>
      </w:tr>
      <w:tr w:rsidR="00201BB7" w:rsidRPr="00290181" w14:paraId="4E0BD2BC" w14:textId="77777777" w:rsidTr="00A73C73">
        <w:tc>
          <w:tcPr>
            <w:tcW w:w="4957" w:type="dxa"/>
          </w:tcPr>
          <w:p w14:paraId="15F5342C" w14:textId="77777777" w:rsidR="00201BB7" w:rsidRPr="00290181" w:rsidRDefault="00201BB7" w:rsidP="00201BB7">
            <w:pPr>
              <w:pStyle w:val="OT"/>
              <w:spacing w:after="0"/>
              <w:rPr>
                <w:sz w:val="24"/>
                <w:szCs w:val="24"/>
              </w:rPr>
            </w:pPr>
            <w:r w:rsidRPr="00290181">
              <w:rPr>
                <w:sz w:val="24"/>
                <w:szCs w:val="24"/>
              </w:rPr>
              <w:t>Боль в спине</w:t>
            </w:r>
          </w:p>
        </w:tc>
        <w:tc>
          <w:tcPr>
            <w:tcW w:w="1984" w:type="dxa"/>
            <w:vAlign w:val="center"/>
          </w:tcPr>
          <w:p w14:paraId="7ADF3227" w14:textId="77777777" w:rsidR="00201BB7" w:rsidRPr="00290181" w:rsidRDefault="00201BB7" w:rsidP="00201BB7">
            <w:pPr>
              <w:pStyle w:val="OT"/>
              <w:spacing w:after="0"/>
              <w:jc w:val="center"/>
              <w:rPr>
                <w:sz w:val="24"/>
                <w:szCs w:val="24"/>
                <w:lang w:val="en-US"/>
              </w:rPr>
            </w:pPr>
            <w:r w:rsidRPr="00290181">
              <w:rPr>
                <w:sz w:val="24"/>
                <w:szCs w:val="24"/>
              </w:rPr>
              <w:t>30 (2,5%)</w:t>
            </w:r>
          </w:p>
        </w:tc>
        <w:tc>
          <w:tcPr>
            <w:tcW w:w="2405" w:type="dxa"/>
            <w:vAlign w:val="center"/>
          </w:tcPr>
          <w:p w14:paraId="5F940EE2" w14:textId="77777777" w:rsidR="00201BB7" w:rsidRPr="00290181" w:rsidRDefault="00201BB7" w:rsidP="00201BB7">
            <w:pPr>
              <w:pStyle w:val="OT"/>
              <w:spacing w:after="0"/>
              <w:jc w:val="center"/>
              <w:rPr>
                <w:sz w:val="24"/>
                <w:szCs w:val="24"/>
              </w:rPr>
            </w:pPr>
            <w:r w:rsidRPr="00290181">
              <w:rPr>
                <w:sz w:val="24"/>
                <w:szCs w:val="24"/>
              </w:rPr>
              <w:t>50 (1,9%)</w:t>
            </w:r>
          </w:p>
        </w:tc>
      </w:tr>
      <w:tr w:rsidR="00201BB7" w:rsidRPr="00290181" w14:paraId="0EA93F12" w14:textId="77777777" w:rsidTr="00A73C73">
        <w:tc>
          <w:tcPr>
            <w:tcW w:w="4957" w:type="dxa"/>
          </w:tcPr>
          <w:p w14:paraId="36A05FF2" w14:textId="77777777" w:rsidR="00201BB7" w:rsidRPr="00290181" w:rsidRDefault="00201BB7" w:rsidP="00201BB7">
            <w:pPr>
              <w:pStyle w:val="OT"/>
              <w:spacing w:after="0"/>
              <w:rPr>
                <w:sz w:val="24"/>
                <w:szCs w:val="24"/>
                <w:lang w:val="en-US"/>
              </w:rPr>
            </w:pPr>
            <w:r w:rsidRPr="00290181">
              <w:rPr>
                <w:sz w:val="24"/>
                <w:szCs w:val="24"/>
              </w:rPr>
              <w:t>Боль в конечностях</w:t>
            </w:r>
          </w:p>
        </w:tc>
        <w:tc>
          <w:tcPr>
            <w:tcW w:w="1984" w:type="dxa"/>
            <w:vAlign w:val="center"/>
          </w:tcPr>
          <w:p w14:paraId="418DA519" w14:textId="77777777" w:rsidR="00201BB7" w:rsidRPr="00290181" w:rsidRDefault="00201BB7" w:rsidP="00201BB7">
            <w:pPr>
              <w:pStyle w:val="OT"/>
              <w:spacing w:after="0"/>
              <w:jc w:val="center"/>
              <w:rPr>
                <w:sz w:val="24"/>
                <w:szCs w:val="24"/>
              </w:rPr>
            </w:pPr>
            <w:r w:rsidRPr="00290181">
              <w:rPr>
                <w:sz w:val="24"/>
                <w:szCs w:val="24"/>
              </w:rPr>
              <w:t>11 (0,9%)</w:t>
            </w:r>
          </w:p>
        </w:tc>
        <w:tc>
          <w:tcPr>
            <w:tcW w:w="2405" w:type="dxa"/>
            <w:vAlign w:val="center"/>
          </w:tcPr>
          <w:p w14:paraId="72039648" w14:textId="77777777" w:rsidR="00201BB7" w:rsidRPr="00290181" w:rsidRDefault="00201BB7" w:rsidP="00201BB7">
            <w:pPr>
              <w:pStyle w:val="OT"/>
              <w:spacing w:after="0"/>
              <w:jc w:val="center"/>
              <w:rPr>
                <w:sz w:val="24"/>
                <w:szCs w:val="24"/>
              </w:rPr>
            </w:pPr>
            <w:r w:rsidRPr="00290181">
              <w:rPr>
                <w:sz w:val="24"/>
                <w:szCs w:val="24"/>
              </w:rPr>
              <w:t>34 (1,3%)</w:t>
            </w:r>
          </w:p>
        </w:tc>
      </w:tr>
      <w:tr w:rsidR="00201BB7" w:rsidRPr="00290181" w14:paraId="5B896441" w14:textId="77777777" w:rsidTr="00A73C73">
        <w:tc>
          <w:tcPr>
            <w:tcW w:w="4957" w:type="dxa"/>
          </w:tcPr>
          <w:p w14:paraId="0DE55335" w14:textId="77777777" w:rsidR="00201BB7" w:rsidRPr="00BE477C" w:rsidRDefault="00201BB7" w:rsidP="00201BB7">
            <w:pPr>
              <w:pStyle w:val="OT"/>
              <w:spacing w:after="0"/>
              <w:rPr>
                <w:b/>
                <w:sz w:val="24"/>
                <w:szCs w:val="24"/>
              </w:rPr>
            </w:pPr>
            <w:r w:rsidRPr="00BE477C">
              <w:rPr>
                <w:b/>
                <w:sz w:val="24"/>
                <w:szCs w:val="24"/>
              </w:rPr>
              <w:t>Нарушения со стороны нервной системы</w:t>
            </w:r>
          </w:p>
        </w:tc>
        <w:tc>
          <w:tcPr>
            <w:tcW w:w="1984" w:type="dxa"/>
            <w:vAlign w:val="center"/>
          </w:tcPr>
          <w:p w14:paraId="31B5DE8A" w14:textId="77777777" w:rsidR="00201BB7" w:rsidRPr="00290181" w:rsidRDefault="00201BB7" w:rsidP="00201BB7">
            <w:pPr>
              <w:pStyle w:val="OT"/>
              <w:spacing w:after="0"/>
              <w:jc w:val="center"/>
              <w:rPr>
                <w:sz w:val="24"/>
                <w:szCs w:val="24"/>
              </w:rPr>
            </w:pPr>
            <w:r w:rsidRPr="00290181">
              <w:rPr>
                <w:sz w:val="24"/>
                <w:szCs w:val="24"/>
              </w:rPr>
              <w:t>81 (</w:t>
            </w:r>
            <w:r w:rsidRPr="00290181">
              <w:rPr>
                <w:sz w:val="24"/>
                <w:szCs w:val="24"/>
                <w:lang w:val="en-US"/>
              </w:rPr>
              <w:t>6</w:t>
            </w:r>
            <w:r w:rsidRPr="00290181">
              <w:rPr>
                <w:sz w:val="24"/>
                <w:szCs w:val="24"/>
              </w:rPr>
              <w:t>,8%)</w:t>
            </w:r>
          </w:p>
        </w:tc>
        <w:tc>
          <w:tcPr>
            <w:tcW w:w="2405" w:type="dxa"/>
            <w:vAlign w:val="center"/>
          </w:tcPr>
          <w:p w14:paraId="29271625" w14:textId="77777777" w:rsidR="00201BB7" w:rsidRPr="00290181" w:rsidRDefault="00201BB7" w:rsidP="00201BB7">
            <w:pPr>
              <w:pStyle w:val="OT"/>
              <w:spacing w:after="0"/>
              <w:jc w:val="center"/>
              <w:rPr>
                <w:sz w:val="24"/>
                <w:szCs w:val="24"/>
              </w:rPr>
            </w:pPr>
            <w:r w:rsidRPr="00290181">
              <w:rPr>
                <w:sz w:val="24"/>
                <w:szCs w:val="24"/>
              </w:rPr>
              <w:t>183 (7,1%)</w:t>
            </w:r>
          </w:p>
        </w:tc>
      </w:tr>
      <w:tr w:rsidR="00201BB7" w:rsidRPr="00290181" w14:paraId="459B4447" w14:textId="77777777" w:rsidTr="00A73C73">
        <w:tc>
          <w:tcPr>
            <w:tcW w:w="4957" w:type="dxa"/>
          </w:tcPr>
          <w:p w14:paraId="40D7F126" w14:textId="77777777" w:rsidR="00201BB7" w:rsidRPr="00290181" w:rsidRDefault="00201BB7" w:rsidP="00201BB7">
            <w:pPr>
              <w:pStyle w:val="OT"/>
              <w:spacing w:after="0"/>
              <w:rPr>
                <w:sz w:val="24"/>
                <w:szCs w:val="24"/>
                <w:lang w:val="en-US"/>
              </w:rPr>
            </w:pPr>
            <w:r w:rsidRPr="00290181">
              <w:rPr>
                <w:sz w:val="24"/>
                <w:szCs w:val="24"/>
              </w:rPr>
              <w:t>Головокружение</w:t>
            </w:r>
            <w:r w:rsidRPr="00290181">
              <w:rPr>
                <w:sz w:val="24"/>
                <w:szCs w:val="24"/>
                <w:lang w:val="en-US"/>
              </w:rPr>
              <w:t xml:space="preserve"> </w:t>
            </w:r>
          </w:p>
        </w:tc>
        <w:tc>
          <w:tcPr>
            <w:tcW w:w="1984" w:type="dxa"/>
            <w:vAlign w:val="center"/>
          </w:tcPr>
          <w:p w14:paraId="374B08FC" w14:textId="77777777" w:rsidR="00201BB7" w:rsidRPr="00290181" w:rsidRDefault="00201BB7" w:rsidP="00201BB7">
            <w:pPr>
              <w:pStyle w:val="OT"/>
              <w:spacing w:after="0"/>
              <w:jc w:val="center"/>
              <w:rPr>
                <w:sz w:val="24"/>
                <w:szCs w:val="24"/>
              </w:rPr>
            </w:pPr>
            <w:r w:rsidRPr="00290181">
              <w:rPr>
                <w:sz w:val="24"/>
                <w:szCs w:val="24"/>
              </w:rPr>
              <w:t>21 (1,8%)</w:t>
            </w:r>
          </w:p>
        </w:tc>
        <w:tc>
          <w:tcPr>
            <w:tcW w:w="2405" w:type="dxa"/>
            <w:vAlign w:val="center"/>
          </w:tcPr>
          <w:p w14:paraId="54A47EA4" w14:textId="77777777" w:rsidR="00201BB7" w:rsidRPr="00290181" w:rsidRDefault="00201BB7" w:rsidP="00201BB7">
            <w:pPr>
              <w:pStyle w:val="OT"/>
              <w:spacing w:after="0"/>
              <w:jc w:val="center"/>
              <w:rPr>
                <w:sz w:val="24"/>
                <w:szCs w:val="24"/>
              </w:rPr>
            </w:pPr>
            <w:r>
              <w:rPr>
                <w:sz w:val="24"/>
                <w:szCs w:val="24"/>
              </w:rPr>
              <w:t>51 (2</w:t>
            </w:r>
            <w:r w:rsidRPr="00290181">
              <w:rPr>
                <w:sz w:val="24"/>
                <w:szCs w:val="24"/>
              </w:rPr>
              <w:t>,0%)</w:t>
            </w:r>
          </w:p>
        </w:tc>
      </w:tr>
      <w:tr w:rsidR="00201BB7" w:rsidRPr="00290181" w14:paraId="63FC5FE4" w14:textId="77777777" w:rsidTr="00A73C73">
        <w:tc>
          <w:tcPr>
            <w:tcW w:w="4957" w:type="dxa"/>
          </w:tcPr>
          <w:p w14:paraId="70972471" w14:textId="77777777" w:rsidR="00201BB7" w:rsidRPr="00290181" w:rsidRDefault="00201BB7" w:rsidP="00201BB7">
            <w:pPr>
              <w:pStyle w:val="OT"/>
              <w:spacing w:after="0"/>
              <w:rPr>
                <w:sz w:val="24"/>
                <w:szCs w:val="24"/>
              </w:rPr>
            </w:pPr>
            <w:r w:rsidRPr="00290181">
              <w:rPr>
                <w:sz w:val="24"/>
                <w:szCs w:val="24"/>
              </w:rPr>
              <w:t>Головная  боль</w:t>
            </w:r>
          </w:p>
        </w:tc>
        <w:tc>
          <w:tcPr>
            <w:tcW w:w="1984" w:type="dxa"/>
            <w:vAlign w:val="center"/>
          </w:tcPr>
          <w:p w14:paraId="715DFC48" w14:textId="77777777" w:rsidR="00201BB7" w:rsidRPr="00290181" w:rsidRDefault="00201BB7" w:rsidP="00201BB7">
            <w:pPr>
              <w:pStyle w:val="OT"/>
              <w:spacing w:after="0"/>
              <w:jc w:val="center"/>
              <w:rPr>
                <w:sz w:val="24"/>
                <w:szCs w:val="24"/>
              </w:rPr>
            </w:pPr>
            <w:r w:rsidRPr="00290181">
              <w:rPr>
                <w:sz w:val="24"/>
                <w:szCs w:val="24"/>
              </w:rPr>
              <w:t>41 (3,5%)</w:t>
            </w:r>
          </w:p>
        </w:tc>
        <w:tc>
          <w:tcPr>
            <w:tcW w:w="2405" w:type="dxa"/>
            <w:vAlign w:val="center"/>
          </w:tcPr>
          <w:p w14:paraId="3DA45276" w14:textId="77777777" w:rsidR="00201BB7" w:rsidRPr="00290181" w:rsidRDefault="00201BB7" w:rsidP="00201BB7">
            <w:pPr>
              <w:pStyle w:val="OT"/>
              <w:spacing w:after="0"/>
              <w:jc w:val="center"/>
              <w:rPr>
                <w:sz w:val="24"/>
                <w:szCs w:val="24"/>
              </w:rPr>
            </w:pPr>
            <w:r w:rsidRPr="00290181">
              <w:rPr>
                <w:sz w:val="24"/>
                <w:szCs w:val="24"/>
              </w:rPr>
              <w:t>76 (3,0%)</w:t>
            </w:r>
          </w:p>
        </w:tc>
      </w:tr>
      <w:tr w:rsidR="00201BB7" w14:paraId="7E4EB868" w14:textId="77777777" w:rsidTr="00A73C73">
        <w:tc>
          <w:tcPr>
            <w:tcW w:w="4957" w:type="dxa"/>
          </w:tcPr>
          <w:p w14:paraId="63F7A4AA" w14:textId="77777777" w:rsidR="00201BB7" w:rsidRPr="00BE477C" w:rsidRDefault="00201BB7" w:rsidP="00201BB7">
            <w:pPr>
              <w:pStyle w:val="OT"/>
              <w:spacing w:after="0"/>
              <w:rPr>
                <w:b/>
                <w:sz w:val="24"/>
                <w:szCs w:val="24"/>
              </w:rPr>
            </w:pPr>
            <w:r w:rsidRPr="00BE477C">
              <w:rPr>
                <w:b/>
                <w:sz w:val="24"/>
                <w:szCs w:val="24"/>
              </w:rPr>
              <w:t>Нарушения со стороны дыхательной системы, органов грудной клетки и средостения</w:t>
            </w:r>
          </w:p>
        </w:tc>
        <w:tc>
          <w:tcPr>
            <w:tcW w:w="1984" w:type="dxa"/>
            <w:vAlign w:val="center"/>
          </w:tcPr>
          <w:p w14:paraId="2E74EABF" w14:textId="77777777" w:rsidR="00201BB7" w:rsidRPr="00290181" w:rsidRDefault="00201BB7" w:rsidP="00201BB7">
            <w:pPr>
              <w:pStyle w:val="OT"/>
              <w:spacing w:after="0"/>
              <w:jc w:val="center"/>
              <w:rPr>
                <w:sz w:val="24"/>
                <w:szCs w:val="24"/>
              </w:rPr>
            </w:pPr>
            <w:r w:rsidRPr="00290181">
              <w:rPr>
                <w:sz w:val="24"/>
                <w:szCs w:val="24"/>
              </w:rPr>
              <w:t>26 (2,2%)</w:t>
            </w:r>
          </w:p>
        </w:tc>
        <w:tc>
          <w:tcPr>
            <w:tcW w:w="2405" w:type="dxa"/>
            <w:vAlign w:val="center"/>
          </w:tcPr>
          <w:p w14:paraId="565E64D2" w14:textId="77777777" w:rsidR="00201BB7" w:rsidRPr="00290181" w:rsidRDefault="00201BB7" w:rsidP="00201BB7">
            <w:pPr>
              <w:pStyle w:val="OT"/>
              <w:spacing w:after="0"/>
              <w:jc w:val="center"/>
              <w:rPr>
                <w:sz w:val="24"/>
                <w:szCs w:val="24"/>
              </w:rPr>
            </w:pPr>
            <w:r w:rsidRPr="00290181">
              <w:rPr>
                <w:sz w:val="24"/>
                <w:szCs w:val="24"/>
              </w:rPr>
              <w:t>102 (4,0%)</w:t>
            </w:r>
          </w:p>
        </w:tc>
      </w:tr>
      <w:tr w:rsidR="00201BB7" w14:paraId="7DDB5074" w14:textId="77777777" w:rsidTr="00A73C73">
        <w:tc>
          <w:tcPr>
            <w:tcW w:w="4957" w:type="dxa"/>
          </w:tcPr>
          <w:p w14:paraId="2D05721B" w14:textId="77777777" w:rsidR="00201BB7" w:rsidRPr="00290181" w:rsidRDefault="00201BB7" w:rsidP="00201BB7">
            <w:pPr>
              <w:pStyle w:val="OT"/>
              <w:spacing w:after="0"/>
              <w:rPr>
                <w:sz w:val="24"/>
                <w:szCs w:val="24"/>
              </w:rPr>
            </w:pPr>
            <w:r w:rsidRPr="00290181">
              <w:rPr>
                <w:sz w:val="24"/>
                <w:szCs w:val="24"/>
              </w:rPr>
              <w:t>Кашель</w:t>
            </w:r>
          </w:p>
        </w:tc>
        <w:tc>
          <w:tcPr>
            <w:tcW w:w="1984" w:type="dxa"/>
            <w:vAlign w:val="center"/>
          </w:tcPr>
          <w:p w14:paraId="44F74741" w14:textId="77777777" w:rsidR="00201BB7" w:rsidRPr="00290181" w:rsidRDefault="00201BB7" w:rsidP="00201BB7">
            <w:pPr>
              <w:pStyle w:val="OT"/>
              <w:spacing w:after="0"/>
              <w:jc w:val="center"/>
              <w:rPr>
                <w:sz w:val="24"/>
                <w:szCs w:val="24"/>
              </w:rPr>
            </w:pPr>
            <w:r w:rsidRPr="00290181">
              <w:rPr>
                <w:sz w:val="24"/>
                <w:szCs w:val="24"/>
              </w:rPr>
              <w:t>10 (0,8%)</w:t>
            </w:r>
          </w:p>
        </w:tc>
        <w:tc>
          <w:tcPr>
            <w:tcW w:w="2405" w:type="dxa"/>
            <w:vAlign w:val="center"/>
          </w:tcPr>
          <w:p w14:paraId="5D757376" w14:textId="77777777" w:rsidR="00201BB7" w:rsidRPr="00290181" w:rsidRDefault="00201BB7" w:rsidP="00201BB7">
            <w:pPr>
              <w:pStyle w:val="OT"/>
              <w:spacing w:after="0"/>
              <w:jc w:val="center"/>
              <w:rPr>
                <w:sz w:val="24"/>
                <w:szCs w:val="24"/>
              </w:rPr>
            </w:pPr>
            <w:r w:rsidRPr="00290181">
              <w:rPr>
                <w:sz w:val="24"/>
                <w:szCs w:val="24"/>
              </w:rPr>
              <w:t>47 (1,8%)</w:t>
            </w:r>
          </w:p>
        </w:tc>
      </w:tr>
      <w:tr w:rsidR="00201BB7" w14:paraId="28DA9E29" w14:textId="77777777" w:rsidTr="00A73C73">
        <w:tc>
          <w:tcPr>
            <w:tcW w:w="4957" w:type="dxa"/>
          </w:tcPr>
          <w:p w14:paraId="61AA6321" w14:textId="77777777" w:rsidR="00201BB7" w:rsidRPr="00BE477C" w:rsidRDefault="00201BB7" w:rsidP="00201BB7">
            <w:pPr>
              <w:pStyle w:val="OT"/>
              <w:spacing w:after="0"/>
              <w:rPr>
                <w:b/>
                <w:sz w:val="24"/>
                <w:szCs w:val="24"/>
              </w:rPr>
            </w:pPr>
            <w:r w:rsidRPr="00BE477C">
              <w:rPr>
                <w:b/>
                <w:sz w:val="24"/>
                <w:szCs w:val="24"/>
              </w:rPr>
              <w:t>Болезни сосудов</w:t>
            </w:r>
          </w:p>
        </w:tc>
        <w:tc>
          <w:tcPr>
            <w:tcW w:w="1984" w:type="dxa"/>
            <w:vAlign w:val="center"/>
          </w:tcPr>
          <w:p w14:paraId="60A9E5E4" w14:textId="77777777" w:rsidR="00201BB7" w:rsidRPr="00290181" w:rsidRDefault="00201BB7" w:rsidP="00201BB7">
            <w:pPr>
              <w:pStyle w:val="OT"/>
              <w:spacing w:after="0"/>
              <w:jc w:val="center"/>
              <w:rPr>
                <w:sz w:val="24"/>
                <w:szCs w:val="24"/>
              </w:rPr>
            </w:pPr>
            <w:r w:rsidRPr="00290181">
              <w:rPr>
                <w:sz w:val="24"/>
                <w:szCs w:val="24"/>
              </w:rPr>
              <w:t>28 (2,4 %)</w:t>
            </w:r>
          </w:p>
        </w:tc>
        <w:tc>
          <w:tcPr>
            <w:tcW w:w="2405" w:type="dxa"/>
            <w:vAlign w:val="center"/>
          </w:tcPr>
          <w:p w14:paraId="70E55429" w14:textId="77777777" w:rsidR="00201BB7" w:rsidRPr="00290181" w:rsidRDefault="00201BB7" w:rsidP="00201BB7">
            <w:pPr>
              <w:pStyle w:val="OT"/>
              <w:spacing w:after="0"/>
              <w:jc w:val="center"/>
              <w:rPr>
                <w:sz w:val="24"/>
                <w:szCs w:val="24"/>
              </w:rPr>
            </w:pPr>
            <w:r w:rsidRPr="00290181">
              <w:rPr>
                <w:sz w:val="24"/>
                <w:szCs w:val="24"/>
              </w:rPr>
              <w:t>92 (3,6%)</w:t>
            </w:r>
          </w:p>
        </w:tc>
      </w:tr>
      <w:tr w:rsidR="00201BB7" w14:paraId="3812E770" w14:textId="77777777" w:rsidTr="00A73C73">
        <w:tc>
          <w:tcPr>
            <w:tcW w:w="4957" w:type="dxa"/>
          </w:tcPr>
          <w:p w14:paraId="65F248B5" w14:textId="77777777" w:rsidR="00201BB7" w:rsidRPr="00290181" w:rsidRDefault="00201BB7" w:rsidP="00201BB7">
            <w:pPr>
              <w:pStyle w:val="OT"/>
              <w:spacing w:after="0"/>
              <w:rPr>
                <w:sz w:val="24"/>
                <w:szCs w:val="24"/>
              </w:rPr>
            </w:pPr>
            <w:r w:rsidRPr="00290181">
              <w:rPr>
                <w:sz w:val="24"/>
                <w:szCs w:val="24"/>
              </w:rPr>
              <w:t>Гипертензия</w:t>
            </w:r>
          </w:p>
        </w:tc>
        <w:tc>
          <w:tcPr>
            <w:tcW w:w="1984" w:type="dxa"/>
            <w:vAlign w:val="center"/>
          </w:tcPr>
          <w:p w14:paraId="1ADC4257" w14:textId="77777777" w:rsidR="00201BB7" w:rsidRPr="00290181" w:rsidRDefault="00201BB7" w:rsidP="00201BB7">
            <w:pPr>
              <w:pStyle w:val="OT"/>
              <w:spacing w:after="0"/>
              <w:jc w:val="center"/>
              <w:rPr>
                <w:sz w:val="24"/>
                <w:szCs w:val="24"/>
              </w:rPr>
            </w:pPr>
            <w:r w:rsidRPr="00290181">
              <w:rPr>
                <w:sz w:val="24"/>
                <w:szCs w:val="24"/>
              </w:rPr>
              <w:t>22 (1,9%)</w:t>
            </w:r>
          </w:p>
        </w:tc>
        <w:tc>
          <w:tcPr>
            <w:tcW w:w="2405" w:type="dxa"/>
            <w:vAlign w:val="center"/>
          </w:tcPr>
          <w:p w14:paraId="0EE9BD61" w14:textId="77777777" w:rsidR="00201BB7" w:rsidRPr="00290181" w:rsidRDefault="00201BB7" w:rsidP="00201BB7">
            <w:pPr>
              <w:pStyle w:val="OT"/>
              <w:spacing w:after="0"/>
              <w:jc w:val="center"/>
              <w:rPr>
                <w:sz w:val="24"/>
                <w:szCs w:val="24"/>
              </w:rPr>
            </w:pPr>
            <w:r w:rsidRPr="00290181">
              <w:rPr>
                <w:sz w:val="24"/>
                <w:szCs w:val="24"/>
              </w:rPr>
              <w:t>58 (2,3%)</w:t>
            </w:r>
          </w:p>
        </w:tc>
      </w:tr>
    </w:tbl>
    <w:p w14:paraId="7809D9EC" w14:textId="77777777" w:rsidR="00CA3463" w:rsidRDefault="00CA3463" w:rsidP="00CA3463">
      <w:pPr>
        <w:pStyle w:val="OT"/>
        <w:rPr>
          <w:b/>
          <w:bCs/>
          <w:sz w:val="24"/>
          <w:szCs w:val="24"/>
        </w:rPr>
      </w:pPr>
    </w:p>
    <w:p w14:paraId="2CFA3DA7" w14:textId="506974D8" w:rsidR="00CA3463" w:rsidRPr="00CF50A8" w:rsidRDefault="00CA3463" w:rsidP="00CA3463">
      <w:pPr>
        <w:pStyle w:val="OT"/>
        <w:rPr>
          <w:b/>
          <w:bCs/>
          <w:sz w:val="24"/>
          <w:szCs w:val="24"/>
        </w:rPr>
      </w:pPr>
      <w:r w:rsidRPr="00CF50A8">
        <w:rPr>
          <w:b/>
          <w:bCs/>
          <w:sz w:val="24"/>
          <w:szCs w:val="24"/>
        </w:rPr>
        <w:t>Серьезное нежелательное явление/смерть/другие значимые события</w:t>
      </w:r>
    </w:p>
    <w:p w14:paraId="284CA16B" w14:textId="544AE6FA" w:rsidR="00CA3463" w:rsidRPr="00785050" w:rsidRDefault="00CA3463" w:rsidP="00CA3463">
      <w:pPr>
        <w:pStyle w:val="OT"/>
        <w:ind w:firstLine="709"/>
        <w:rPr>
          <w:sz w:val="24"/>
          <w:szCs w:val="24"/>
        </w:rPr>
      </w:pPr>
      <w:r w:rsidRPr="00CF50A8">
        <w:rPr>
          <w:sz w:val="24"/>
          <w:szCs w:val="24"/>
        </w:rPr>
        <w:t xml:space="preserve">Всего в </w:t>
      </w:r>
      <w:r>
        <w:rPr>
          <w:sz w:val="24"/>
          <w:szCs w:val="24"/>
        </w:rPr>
        <w:t xml:space="preserve">ходе плацебоконтролируемых регистрационных клинических исследованиях </w:t>
      </w:r>
      <w:r w:rsidR="00285BA0" w:rsidRPr="00E7204C">
        <w:rPr>
          <w:sz w:val="24"/>
          <w:szCs w:val="24"/>
        </w:rPr>
        <w:t>3</w:t>
      </w:r>
      <w:r>
        <w:rPr>
          <w:sz w:val="24"/>
          <w:szCs w:val="24"/>
        </w:rPr>
        <w:t xml:space="preserve"> фазы </w:t>
      </w:r>
      <w:r w:rsidRPr="00CF50A8">
        <w:rPr>
          <w:sz w:val="24"/>
          <w:szCs w:val="24"/>
        </w:rPr>
        <w:t xml:space="preserve">было </w:t>
      </w:r>
      <w:r>
        <w:rPr>
          <w:sz w:val="24"/>
          <w:szCs w:val="24"/>
        </w:rPr>
        <w:t xml:space="preserve">зарегистрировано </w:t>
      </w:r>
      <w:r w:rsidRPr="00CF50A8">
        <w:rPr>
          <w:sz w:val="24"/>
          <w:szCs w:val="24"/>
        </w:rPr>
        <w:t>12 смертей: 7 пациентов умерли при лечении линаглиптином и 3 пациента умерли при лечении глимепиридом</w:t>
      </w:r>
      <w:r>
        <w:rPr>
          <w:sz w:val="24"/>
          <w:szCs w:val="24"/>
        </w:rPr>
        <w:t>,</w:t>
      </w:r>
      <w:r w:rsidRPr="00CF50A8">
        <w:rPr>
          <w:sz w:val="24"/>
          <w:szCs w:val="24"/>
        </w:rPr>
        <w:t xml:space="preserve"> 2 пациента умерли после лечения линаглиптином в </w:t>
      </w:r>
      <w:r>
        <w:rPr>
          <w:sz w:val="24"/>
          <w:szCs w:val="24"/>
        </w:rPr>
        <w:t>период наблюдения.</w:t>
      </w:r>
      <w:r w:rsidRPr="00CF50A8">
        <w:rPr>
          <w:sz w:val="24"/>
          <w:szCs w:val="24"/>
        </w:rPr>
        <w:t xml:space="preserve"> Из пациентов, получавших линаглиптин (n=9), 8 пациентов умерли от сердечных заболеваний и 1 пациент от тромбоэмболии легочной артерии. Ни одно из событий не </w:t>
      </w:r>
      <w:r>
        <w:rPr>
          <w:sz w:val="24"/>
          <w:szCs w:val="24"/>
        </w:rPr>
        <w:t xml:space="preserve">было расценено как </w:t>
      </w:r>
      <w:r w:rsidRPr="00CF50A8">
        <w:rPr>
          <w:sz w:val="24"/>
          <w:szCs w:val="24"/>
        </w:rPr>
        <w:t>связанн</w:t>
      </w:r>
      <w:r>
        <w:rPr>
          <w:sz w:val="24"/>
          <w:szCs w:val="24"/>
        </w:rPr>
        <w:t>ое с приемом</w:t>
      </w:r>
      <w:r w:rsidRPr="00CF50A8">
        <w:rPr>
          <w:sz w:val="24"/>
          <w:szCs w:val="24"/>
        </w:rPr>
        <w:t xml:space="preserve"> исследуем</w:t>
      </w:r>
      <w:r>
        <w:rPr>
          <w:sz w:val="24"/>
          <w:szCs w:val="24"/>
        </w:rPr>
        <w:t>ого</w:t>
      </w:r>
      <w:r w:rsidRPr="00CF50A8">
        <w:rPr>
          <w:sz w:val="24"/>
          <w:szCs w:val="24"/>
        </w:rPr>
        <w:t xml:space="preserve"> препарат</w:t>
      </w:r>
      <w:r>
        <w:rPr>
          <w:sz w:val="24"/>
          <w:szCs w:val="24"/>
        </w:rPr>
        <w:t>а</w:t>
      </w:r>
      <w:r w:rsidRPr="00CF50A8">
        <w:rPr>
          <w:sz w:val="24"/>
          <w:szCs w:val="24"/>
        </w:rPr>
        <w:t>. После поправки на годы воздействия, оценки показателей смертности (на 1000 пациент</w:t>
      </w:r>
      <w:r w:rsidR="00046DBE">
        <w:rPr>
          <w:sz w:val="24"/>
          <w:szCs w:val="24"/>
        </w:rPr>
        <w:t>о</w:t>
      </w:r>
      <w:r w:rsidRPr="00CF50A8">
        <w:rPr>
          <w:sz w:val="24"/>
          <w:szCs w:val="24"/>
        </w:rPr>
        <w:t>-лет воздействия)</w:t>
      </w:r>
      <w:r>
        <w:rPr>
          <w:sz w:val="24"/>
          <w:szCs w:val="24"/>
        </w:rPr>
        <w:t xml:space="preserve">, </w:t>
      </w:r>
      <w:r w:rsidRPr="00CF50A8">
        <w:rPr>
          <w:sz w:val="24"/>
          <w:szCs w:val="24"/>
        </w:rPr>
        <w:t>показатели смертности для линаглиптина и препаратов сравнения</w:t>
      </w:r>
      <w:r>
        <w:rPr>
          <w:sz w:val="24"/>
          <w:szCs w:val="24"/>
        </w:rPr>
        <w:t xml:space="preserve"> сопоставимы</w:t>
      </w:r>
      <w:r w:rsidRPr="00CF50A8">
        <w:rPr>
          <w:sz w:val="24"/>
          <w:szCs w:val="24"/>
        </w:rPr>
        <w:t xml:space="preserve"> </w:t>
      </w:r>
      <w:r>
        <w:rPr>
          <w:sz w:val="24"/>
          <w:szCs w:val="24"/>
        </w:rPr>
        <w:fldChar w:fldCharType="begin"/>
      </w:r>
      <w:r>
        <w:rPr>
          <w:sz w:val="24"/>
          <w:szCs w:val="24"/>
        </w:rPr>
        <w:instrText xml:space="preserve"> ADDIN ZOTERO_ITEM CSL_CITATION {"citationID":"iLDOzKPy","properties":{"formattedCitation":"[1,2,4]","plainCitation":"[1,2,4]","noteIndex":0},"citationItems":[{"id":3008,"uris":["http://zotero.org/users/5483459/items/A4YJC5H7"],"itemData":{"id":3008,"type":"document","title":"European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EMEA/H/C/002110/0000"},"label":"page"},{"id":3014,"uris":["http://zotero.org/users/5483459/items/GEX9J9W2"],"itemData":{"id":3014,"type":"document","title":"U.S. Food and Drug Administration. Drug Approval Package. Tradjenta (Linagliptin)  tablets. Company:  Boehringer Ingelheim Pharmaceuticals, Inc. Medical Review. Application No.:  201280 Approval Date: 04.03.2011"},"label":"page"}],"schema":"https://github.com/citation-style-language/schema/raw/master/csl-citation.json"} </w:instrText>
      </w:r>
      <w:r>
        <w:rPr>
          <w:sz w:val="24"/>
          <w:szCs w:val="24"/>
        </w:rPr>
        <w:fldChar w:fldCharType="separate"/>
      </w:r>
      <w:r w:rsidRPr="00326568">
        <w:rPr>
          <w:sz w:val="24"/>
        </w:rPr>
        <w:t>[1,2,4]</w:t>
      </w:r>
      <w:r>
        <w:rPr>
          <w:sz w:val="24"/>
          <w:szCs w:val="24"/>
        </w:rPr>
        <w:fldChar w:fldCharType="end"/>
      </w:r>
      <w:r w:rsidRPr="00785050">
        <w:rPr>
          <w:sz w:val="24"/>
          <w:szCs w:val="24"/>
        </w:rPr>
        <w:t>.</w:t>
      </w:r>
    </w:p>
    <w:p w14:paraId="1ED95B11" w14:textId="77777777" w:rsidR="00CA3463" w:rsidRPr="007B7CD8" w:rsidRDefault="00CA3463" w:rsidP="00CA3463">
      <w:pPr>
        <w:pStyle w:val="OT"/>
        <w:spacing w:before="240" w:after="240"/>
        <w:rPr>
          <w:b/>
          <w:bCs/>
          <w:sz w:val="24"/>
          <w:szCs w:val="24"/>
        </w:rPr>
      </w:pPr>
      <w:r w:rsidRPr="000F4B9F">
        <w:rPr>
          <w:b/>
          <w:bCs/>
          <w:sz w:val="24"/>
          <w:szCs w:val="24"/>
        </w:rPr>
        <w:t>Лабораторные данные</w:t>
      </w:r>
    </w:p>
    <w:p w14:paraId="138762CF" w14:textId="2CBDB296" w:rsidR="00CA3463" w:rsidRPr="00785050" w:rsidRDefault="00CA3463" w:rsidP="00CA3463">
      <w:pPr>
        <w:pStyle w:val="OT"/>
        <w:ind w:firstLine="709"/>
        <w:rPr>
          <w:sz w:val="24"/>
          <w:szCs w:val="24"/>
        </w:rPr>
      </w:pPr>
      <w:r w:rsidRPr="000F4B9F">
        <w:rPr>
          <w:sz w:val="24"/>
          <w:szCs w:val="24"/>
        </w:rPr>
        <w:t>Никаких клинически значимых результатов или различий между группами лечения не наблюдалось ни по одному из измеренных параметров (</w:t>
      </w:r>
      <w:r>
        <w:rPr>
          <w:sz w:val="24"/>
          <w:szCs w:val="24"/>
        </w:rPr>
        <w:t>гематологические показатели</w:t>
      </w:r>
      <w:r w:rsidRPr="000F4B9F">
        <w:rPr>
          <w:sz w:val="24"/>
          <w:szCs w:val="24"/>
        </w:rPr>
        <w:t xml:space="preserve">, электролиты, </w:t>
      </w:r>
      <w:r>
        <w:rPr>
          <w:sz w:val="24"/>
          <w:szCs w:val="24"/>
        </w:rPr>
        <w:t>биохимические показатели</w:t>
      </w:r>
      <w:r w:rsidRPr="000F4B9F">
        <w:rPr>
          <w:sz w:val="24"/>
          <w:szCs w:val="24"/>
        </w:rPr>
        <w:t>, анализ мочи)</w:t>
      </w:r>
      <w:r>
        <w:rPr>
          <w:sz w:val="24"/>
          <w:szCs w:val="24"/>
        </w:rPr>
        <w:t xml:space="preserve"> </w:t>
      </w:r>
      <w:r>
        <w:rPr>
          <w:sz w:val="24"/>
          <w:szCs w:val="24"/>
        </w:rPr>
        <w:fldChar w:fldCharType="begin"/>
      </w:r>
      <w:r>
        <w:rPr>
          <w:sz w:val="24"/>
          <w:szCs w:val="24"/>
        </w:rPr>
        <w:instrText xml:space="preserve"> ADDIN ZOTERO_ITEM CSL_CITATION {"citationID":"KMMvey25","properties":{"formattedCitation":"[1,2,4]","plainCitation":"[1,2,4]","noteIndex":0},"citationItems":[{"id":3008,"uris":["http://zotero.org/users/5483459/items/A4YJC5H7"],"itemData":{"id":3008,"type":"document","title":"European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EMEA/H/C/002110/0000"},"label":"page"},{"id":3014,"uris":["http://zotero.org/users/5483459/items/GEX9J9W2"],"itemData":{"id":3014,"type":"document","title":"U.S. Food and Drug Administration. Drug Approval Package. Tradjenta (Linagliptin)  tablets. Company:  Boehringer Ingelheim Pharmaceuticals, Inc. Medical Review. Application No.:  201280 Approval Date: 04.03.2011"},"label":"page"}],"schema":"https://github.com/citation-style-language/schema/raw/master/csl-citation.json"} </w:instrText>
      </w:r>
      <w:r>
        <w:rPr>
          <w:sz w:val="24"/>
          <w:szCs w:val="24"/>
        </w:rPr>
        <w:fldChar w:fldCharType="separate"/>
      </w:r>
      <w:r w:rsidRPr="00326568">
        <w:rPr>
          <w:sz w:val="24"/>
        </w:rPr>
        <w:t>[1,2,4]</w:t>
      </w:r>
      <w:r>
        <w:rPr>
          <w:sz w:val="24"/>
          <w:szCs w:val="24"/>
        </w:rPr>
        <w:fldChar w:fldCharType="end"/>
      </w:r>
      <w:r w:rsidRPr="00785050">
        <w:rPr>
          <w:sz w:val="24"/>
          <w:szCs w:val="24"/>
        </w:rPr>
        <w:t>.</w:t>
      </w:r>
    </w:p>
    <w:p w14:paraId="4BE66B8D" w14:textId="77777777" w:rsidR="00CA3463" w:rsidRPr="007B7CD8" w:rsidRDefault="00CA3463" w:rsidP="00CA3463">
      <w:pPr>
        <w:pStyle w:val="OT"/>
        <w:spacing w:before="240" w:after="240"/>
        <w:rPr>
          <w:b/>
          <w:bCs/>
          <w:sz w:val="24"/>
          <w:szCs w:val="24"/>
        </w:rPr>
      </w:pPr>
      <w:r w:rsidRPr="007B7CD8">
        <w:rPr>
          <w:b/>
          <w:bCs/>
          <w:sz w:val="24"/>
          <w:szCs w:val="24"/>
        </w:rPr>
        <w:t xml:space="preserve">Безопасность в особых группах </w:t>
      </w:r>
    </w:p>
    <w:p w14:paraId="61B8DD95" w14:textId="774766EE" w:rsidR="00CA3463" w:rsidRPr="00785050" w:rsidRDefault="00CA3463" w:rsidP="00CA3463">
      <w:pPr>
        <w:pStyle w:val="OT"/>
        <w:ind w:firstLine="709"/>
        <w:rPr>
          <w:sz w:val="24"/>
          <w:szCs w:val="24"/>
        </w:rPr>
      </w:pPr>
      <w:r w:rsidRPr="000F4B9F">
        <w:rPr>
          <w:sz w:val="24"/>
          <w:szCs w:val="24"/>
        </w:rPr>
        <w:t>Исследования фармакокинетики у пациентов с печеночной и почечной недостаточностью не выявили существенных изменений фармакокинетики в этих группах пациентов. Исследования на животных выявили</w:t>
      </w:r>
      <w:r>
        <w:rPr>
          <w:sz w:val="24"/>
          <w:szCs w:val="24"/>
        </w:rPr>
        <w:t xml:space="preserve"> признаки</w:t>
      </w:r>
      <w:r w:rsidRPr="000F4B9F">
        <w:rPr>
          <w:sz w:val="24"/>
          <w:szCs w:val="24"/>
        </w:rPr>
        <w:t xml:space="preserve"> </w:t>
      </w:r>
      <w:r>
        <w:rPr>
          <w:sz w:val="24"/>
          <w:szCs w:val="24"/>
        </w:rPr>
        <w:t>почечной и печеночной токсичности</w:t>
      </w:r>
      <w:r w:rsidR="00632B7C">
        <w:rPr>
          <w:sz w:val="24"/>
          <w:szCs w:val="24"/>
        </w:rPr>
        <w:t xml:space="preserve"> только при высоких </w:t>
      </w:r>
      <w:r w:rsidRPr="000F4B9F">
        <w:rPr>
          <w:sz w:val="24"/>
          <w:szCs w:val="24"/>
        </w:rPr>
        <w:t>дозах</w:t>
      </w:r>
      <w:r w:rsidR="00632B7C">
        <w:rPr>
          <w:sz w:val="24"/>
          <w:szCs w:val="24"/>
        </w:rPr>
        <w:t>, не применяющихся в клинической практике</w:t>
      </w:r>
      <w:r w:rsidRPr="000F4B9F">
        <w:rPr>
          <w:sz w:val="24"/>
          <w:szCs w:val="24"/>
        </w:rPr>
        <w:t xml:space="preserve">. Исследование 1218.43 проведено для изучения эффективности и безопасности линаглиптина у пациентов с СД2 с тяжелой хронической почечной недостаточностью. В целом не наблюдалось существенной разницы в частоте НЯ между группой линаглиптина и группой плацебо. Количество пациентов с печеночной недостаточностью, получавших линаглиптин, было слишком мало, чтобы можно было </w:t>
      </w:r>
      <w:r w:rsidR="00632B7C">
        <w:rPr>
          <w:sz w:val="24"/>
          <w:szCs w:val="24"/>
        </w:rPr>
        <w:t>провести анализ подгрупп</w:t>
      </w:r>
      <w:r>
        <w:rPr>
          <w:sz w:val="24"/>
          <w:szCs w:val="24"/>
        </w:rPr>
        <w:t xml:space="preserve"> </w:t>
      </w:r>
      <w:r>
        <w:rPr>
          <w:sz w:val="24"/>
          <w:szCs w:val="24"/>
        </w:rPr>
        <w:fldChar w:fldCharType="begin"/>
      </w:r>
      <w:r>
        <w:rPr>
          <w:sz w:val="24"/>
          <w:szCs w:val="24"/>
        </w:rPr>
        <w:instrText xml:space="preserve"> ADDIN ZOTERO_ITEM CSL_CITATION {"citationID":"lDw39wG3","properties":{"formattedCitation":"[1,2,4]","plainCitation":"[1,2,4]","noteIndex":0},"citationItems":[{"id":3008,"uris":["http://zotero.org/users/5483459/items/A4YJC5H7"],"itemData":{"id":3008,"type":"document","title":"European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EMEA/H/C/002110/0000"},"label":"page"},{"id":3014,"uris":["http://zotero.org/users/5483459/items/GEX9J9W2"],"itemData":{"id":3014,"type":"document","title":"U.S. Food and Drug Administration. Drug Approval Package. Tradjenta (Linagliptin)  tablets. Company:  Boehringer Ingelheim Pharmaceuticals, Inc. Medical Review. Application No.:  201280 Approval Date: 04.03.2011"},"label":"page"}],"schema":"https://github.com/citation-style-language/schema/raw/master/csl-citation.json"} </w:instrText>
      </w:r>
      <w:r>
        <w:rPr>
          <w:sz w:val="24"/>
          <w:szCs w:val="24"/>
        </w:rPr>
        <w:fldChar w:fldCharType="separate"/>
      </w:r>
      <w:r w:rsidRPr="00326568">
        <w:rPr>
          <w:sz w:val="24"/>
        </w:rPr>
        <w:t>[1,2,4]</w:t>
      </w:r>
      <w:r>
        <w:rPr>
          <w:sz w:val="24"/>
          <w:szCs w:val="24"/>
        </w:rPr>
        <w:fldChar w:fldCharType="end"/>
      </w:r>
      <w:r w:rsidRPr="00785050">
        <w:rPr>
          <w:sz w:val="24"/>
          <w:szCs w:val="24"/>
        </w:rPr>
        <w:t>.</w:t>
      </w:r>
    </w:p>
    <w:p w14:paraId="460CFB74" w14:textId="77777777" w:rsidR="007F5E52" w:rsidRDefault="007F5E52" w:rsidP="00CA3463">
      <w:pPr>
        <w:pStyle w:val="OT"/>
        <w:spacing w:before="240" w:after="240"/>
        <w:rPr>
          <w:b/>
          <w:bCs/>
          <w:sz w:val="24"/>
          <w:szCs w:val="24"/>
        </w:rPr>
        <w:sectPr w:rsidR="007F5E52" w:rsidSect="00AB01E2">
          <w:footnotePr>
            <w:pos w:val="beneathText"/>
          </w:footnotePr>
          <w:pgSz w:w="11906" w:h="16838"/>
          <w:pgMar w:top="1134" w:right="849" w:bottom="1134" w:left="1701" w:header="708" w:footer="709" w:gutter="0"/>
          <w:cols w:space="708"/>
          <w:docGrid w:linePitch="360"/>
        </w:sectPr>
      </w:pPr>
    </w:p>
    <w:p w14:paraId="0C198369" w14:textId="23F69709" w:rsidR="00CA3463" w:rsidRPr="007B7CD8" w:rsidRDefault="00CA3463" w:rsidP="00CA3463">
      <w:pPr>
        <w:pStyle w:val="OT"/>
        <w:spacing w:before="240" w:after="240"/>
        <w:rPr>
          <w:b/>
          <w:bCs/>
          <w:sz w:val="24"/>
          <w:szCs w:val="24"/>
        </w:rPr>
      </w:pPr>
      <w:r w:rsidRPr="007B7CD8">
        <w:rPr>
          <w:b/>
          <w:bCs/>
          <w:sz w:val="24"/>
          <w:szCs w:val="24"/>
        </w:rPr>
        <w:lastRenderedPageBreak/>
        <w:t>Безопасность, связанная с лекарственными взаимодействиями и другими взаимодействиями</w:t>
      </w:r>
    </w:p>
    <w:p w14:paraId="49D3044C" w14:textId="5F37FEA4" w:rsidR="00CA3463" w:rsidRPr="00785050" w:rsidRDefault="00CA3463" w:rsidP="00CA3463">
      <w:pPr>
        <w:pStyle w:val="OT"/>
        <w:ind w:firstLine="709"/>
        <w:rPr>
          <w:sz w:val="24"/>
          <w:szCs w:val="24"/>
        </w:rPr>
      </w:pPr>
      <w:r w:rsidRPr="000F4B9F">
        <w:rPr>
          <w:sz w:val="24"/>
          <w:szCs w:val="24"/>
        </w:rPr>
        <w:t>Абсорбция и распределение линаглиптина зависят от действия P-gp. P-gp ограничивает пероральную биодоступность линаглиптина. Ингибитор P-gp ритонавир удв</w:t>
      </w:r>
      <w:r w:rsidR="00EF46CA">
        <w:rPr>
          <w:sz w:val="24"/>
          <w:szCs w:val="24"/>
        </w:rPr>
        <w:t>аивал</w:t>
      </w:r>
      <w:r w:rsidRPr="000F4B9F">
        <w:rPr>
          <w:sz w:val="24"/>
          <w:szCs w:val="24"/>
        </w:rPr>
        <w:t xml:space="preserve"> пероральную биодоступность линаглиптина. Однако в клинических исследованиях фазы </w:t>
      </w:r>
      <w:r w:rsidR="00EF46CA">
        <w:rPr>
          <w:sz w:val="24"/>
          <w:szCs w:val="24"/>
        </w:rPr>
        <w:t>2</w:t>
      </w:r>
      <w:r>
        <w:rPr>
          <w:sz w:val="24"/>
          <w:szCs w:val="24"/>
        </w:rPr>
        <w:t xml:space="preserve"> и </w:t>
      </w:r>
      <w:r w:rsidR="00EF46CA">
        <w:rPr>
          <w:sz w:val="24"/>
          <w:szCs w:val="24"/>
        </w:rPr>
        <w:t>3</w:t>
      </w:r>
      <w:r w:rsidRPr="000F4B9F">
        <w:rPr>
          <w:sz w:val="24"/>
          <w:szCs w:val="24"/>
        </w:rPr>
        <w:t xml:space="preserve"> установлено, что линаглиптин безопасен в сочетании с ингибиторами CYP3A4/P-gp. Максимальная общая концентрация и максимальная общая AUC, наблюдаемые после приема однократной дозы 600 мг, были в 161 и 134 раза выше, чем после приема 5 мг линаглиптина в комбинации с ритонавиром</w:t>
      </w:r>
      <w:r>
        <w:rPr>
          <w:sz w:val="24"/>
          <w:szCs w:val="24"/>
        </w:rPr>
        <w:t xml:space="preserve"> </w:t>
      </w:r>
      <w:r>
        <w:rPr>
          <w:sz w:val="24"/>
          <w:szCs w:val="24"/>
        </w:rPr>
        <w:fldChar w:fldCharType="begin"/>
      </w:r>
      <w:r>
        <w:rPr>
          <w:sz w:val="24"/>
          <w:szCs w:val="24"/>
        </w:rPr>
        <w:instrText xml:space="preserve"> ADDIN ZOTERO_ITEM CSL_CITATION {"citationID":"9NT2UpJW","properties":{"formattedCitation":"[1,2,4]","plainCitation":"[1,2,4]","noteIndex":0},"citationItems":[{"id":3008,"uris":["http://zotero.org/users/5483459/items/A4YJC5H7"],"itemData":{"id":3008,"type":"document","title":"European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EMEA/H/C/002110/0000"},"label":"page"},{"id":3014,"uris":["http://zotero.org/users/5483459/items/GEX9J9W2"],"itemData":{"id":3014,"type":"document","title":"U.S. Food and Drug Administration. Drug Approval Package. Tradjenta (Linagliptin)  tablets. Company:  Boehringer Ingelheim Pharmaceuticals, Inc. Medical Review. Application No.:  201280 Approval Date: 04.03.2011"},"label":"page"}],"schema":"https://github.com/citation-style-language/schema/raw/master/csl-citation.json"} </w:instrText>
      </w:r>
      <w:r>
        <w:rPr>
          <w:sz w:val="24"/>
          <w:szCs w:val="24"/>
        </w:rPr>
        <w:fldChar w:fldCharType="separate"/>
      </w:r>
      <w:r w:rsidRPr="00326568">
        <w:rPr>
          <w:sz w:val="24"/>
        </w:rPr>
        <w:t>[1,2,4]</w:t>
      </w:r>
      <w:r>
        <w:rPr>
          <w:sz w:val="24"/>
          <w:szCs w:val="24"/>
        </w:rPr>
        <w:fldChar w:fldCharType="end"/>
      </w:r>
      <w:r w:rsidRPr="00785050">
        <w:rPr>
          <w:sz w:val="24"/>
          <w:szCs w:val="24"/>
        </w:rPr>
        <w:t>.</w:t>
      </w:r>
    </w:p>
    <w:p w14:paraId="3F58B771" w14:textId="77777777" w:rsidR="00CA3463" w:rsidRPr="007B7CD8" w:rsidRDefault="00CA3463" w:rsidP="00CA3463">
      <w:pPr>
        <w:pStyle w:val="OT"/>
        <w:spacing w:before="240" w:after="240"/>
        <w:rPr>
          <w:b/>
          <w:bCs/>
          <w:sz w:val="24"/>
          <w:szCs w:val="24"/>
        </w:rPr>
      </w:pPr>
      <w:r w:rsidRPr="007B7CD8">
        <w:rPr>
          <w:b/>
          <w:bCs/>
          <w:sz w:val="24"/>
          <w:szCs w:val="24"/>
        </w:rPr>
        <w:t>Прекращение лечения из-за нежелательных явлений</w:t>
      </w:r>
    </w:p>
    <w:p w14:paraId="4982501A" w14:textId="0CBB8A3D" w:rsidR="007637BA" w:rsidRDefault="00CA3463" w:rsidP="00E7209E">
      <w:pPr>
        <w:pStyle w:val="OT"/>
        <w:spacing w:after="0"/>
        <w:ind w:firstLine="709"/>
        <w:rPr>
          <w:sz w:val="24"/>
          <w:szCs w:val="24"/>
        </w:rPr>
      </w:pPr>
      <w:r w:rsidRPr="000F4B9F">
        <w:rPr>
          <w:sz w:val="24"/>
          <w:szCs w:val="24"/>
        </w:rPr>
        <w:t>Частота прекращения лечения в целом была ниже в группах линаглиптина, чем в группах плацебо. Недостаток эффективности часто был причиной прекращения лечения</w:t>
      </w:r>
      <w:r>
        <w:rPr>
          <w:sz w:val="24"/>
          <w:szCs w:val="24"/>
        </w:rPr>
        <w:t xml:space="preserve"> </w:t>
      </w:r>
      <w:r>
        <w:rPr>
          <w:sz w:val="24"/>
          <w:szCs w:val="24"/>
        </w:rPr>
        <w:fldChar w:fldCharType="begin"/>
      </w:r>
      <w:r>
        <w:rPr>
          <w:sz w:val="24"/>
          <w:szCs w:val="24"/>
        </w:rPr>
        <w:instrText xml:space="preserve"> ADDIN ZOTERO_ITEM CSL_CITATION {"citationID":"NnDNv2ox","properties":{"formattedCitation":"[1,2,4]","plainCitation":"[1,2,4]","noteIndex":0},"citationItems":[{"id":3008,"uris":["http://zotero.org/users/5483459/items/A4YJC5H7"],"itemData":{"id":3008,"type":"document","title":"European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EMEA/H/C/002110/0000"},"label":"page"},{"id":3014,"uris":["http://zotero.org/users/5483459/items/GEX9J9W2"],"itemData":{"id":3014,"type":"document","title":"U.S. Food and Drug Administration. Drug Approval Package. Tradjenta (Linagliptin)  tablets. Company:  Boehringer Ingelheim Pharmaceuticals, Inc. Medical Review. Application No.:  201280 Approval Date: 04.03.2011"},"label":"page"}],"schema":"https://github.com/citation-style-language/schema/raw/master/csl-citation.json"} </w:instrText>
      </w:r>
      <w:r>
        <w:rPr>
          <w:sz w:val="24"/>
          <w:szCs w:val="24"/>
        </w:rPr>
        <w:fldChar w:fldCharType="separate"/>
      </w:r>
      <w:r w:rsidRPr="00326568">
        <w:rPr>
          <w:sz w:val="24"/>
        </w:rPr>
        <w:t>[1,2,4]</w:t>
      </w:r>
      <w:r>
        <w:rPr>
          <w:sz w:val="24"/>
          <w:szCs w:val="24"/>
        </w:rPr>
        <w:fldChar w:fldCharType="end"/>
      </w:r>
      <w:r w:rsidRPr="00785050">
        <w:rPr>
          <w:sz w:val="24"/>
          <w:szCs w:val="24"/>
        </w:rPr>
        <w:t>.</w:t>
      </w:r>
    </w:p>
    <w:p w14:paraId="4F8C51BD" w14:textId="63B909CD" w:rsidR="00E7209E" w:rsidRPr="007637BA" w:rsidRDefault="00E7209E" w:rsidP="007637BA">
      <w:pPr>
        <w:rPr>
          <w:rFonts w:eastAsia="Times New Roman"/>
          <w:snapToGrid w:val="0"/>
          <w:lang w:eastAsia="ru-RU"/>
        </w:rPr>
      </w:pPr>
    </w:p>
    <w:p w14:paraId="1A8A495B" w14:textId="43F26F8D" w:rsidR="001F7C84" w:rsidRDefault="001F7C84" w:rsidP="00E7209E">
      <w:pPr>
        <w:rPr>
          <w:b/>
          <w:bCs/>
        </w:rPr>
      </w:pPr>
      <w:bookmarkStart w:id="261" w:name="_Hlk121102607"/>
      <w:bookmarkStart w:id="262" w:name="_Hlk121691611"/>
      <w:r w:rsidRPr="00027CCE">
        <w:rPr>
          <w:b/>
          <w:bCs/>
        </w:rPr>
        <w:t>4</w:t>
      </w:r>
      <w:r w:rsidRPr="00837623">
        <w:rPr>
          <w:b/>
          <w:bCs/>
        </w:rPr>
        <w:t>.3.2.</w:t>
      </w:r>
      <w:r>
        <w:rPr>
          <w:b/>
          <w:bCs/>
        </w:rPr>
        <w:t>4</w:t>
      </w:r>
      <w:r w:rsidRPr="00837623">
        <w:rPr>
          <w:b/>
          <w:bCs/>
        </w:rPr>
        <w:t xml:space="preserve">. </w:t>
      </w:r>
      <w:r>
        <w:rPr>
          <w:b/>
          <w:bCs/>
        </w:rPr>
        <w:t>Пострегистрационный опыт</w:t>
      </w:r>
    </w:p>
    <w:p w14:paraId="4134D3C3" w14:textId="77777777" w:rsidR="007637BA" w:rsidRDefault="007637BA" w:rsidP="00CA3463">
      <w:pPr>
        <w:ind w:firstLine="709"/>
      </w:pPr>
    </w:p>
    <w:p w14:paraId="0B2C9B12" w14:textId="5738974B" w:rsidR="00CA3463" w:rsidRPr="004C6B7F" w:rsidRDefault="00CA3463" w:rsidP="00CA3463">
      <w:pPr>
        <w:ind w:firstLine="709"/>
      </w:pPr>
      <w:r w:rsidRPr="004C6B7F">
        <w:t xml:space="preserve">В исследованиях на постмаркетинговом этапе был выявлен ряд НЯ, которые не были обнаружены во время исследований </w:t>
      </w:r>
      <w:r w:rsidR="007637BA">
        <w:t>2</w:t>
      </w:r>
      <w:r>
        <w:t xml:space="preserve"> и </w:t>
      </w:r>
      <w:r w:rsidR="007637BA" w:rsidRPr="007637BA">
        <w:t>3</w:t>
      </w:r>
      <w:r w:rsidRPr="0019762C">
        <w:t xml:space="preserve"> </w:t>
      </w:r>
      <w:r>
        <w:t>фаз</w:t>
      </w:r>
      <w:r w:rsidRPr="004C6B7F">
        <w:t>. Поскольку эти НЯ получены из баз данных о репортировании побочных эффектов лекарственных препаратов, оценить реальную частоту их возникновения и определить причинно-следственную связь невозможно. Сообщалось о следующих побочных реакциях:</w:t>
      </w:r>
    </w:p>
    <w:p w14:paraId="4945C01B" w14:textId="77777777" w:rsidR="00CA3463" w:rsidRPr="004C6B7F" w:rsidRDefault="00CA3463" w:rsidP="00CA3463">
      <w:pPr>
        <w:pStyle w:val="af3"/>
        <w:numPr>
          <w:ilvl w:val="0"/>
          <w:numId w:val="46"/>
        </w:numPr>
      </w:pPr>
      <w:r w:rsidRPr="004C6B7F">
        <w:t>Инфекционные и паразитарные заболевания – назофарингит.</w:t>
      </w:r>
    </w:p>
    <w:p w14:paraId="13E798FD" w14:textId="77777777" w:rsidR="00CA3463" w:rsidRPr="004C6B7F" w:rsidRDefault="00CA3463" w:rsidP="00CA3463">
      <w:pPr>
        <w:pStyle w:val="af3"/>
        <w:numPr>
          <w:ilvl w:val="0"/>
          <w:numId w:val="46"/>
        </w:numPr>
      </w:pPr>
      <w:r w:rsidRPr="004C6B7F">
        <w:t xml:space="preserve">Нарушения со стороны иммунной системы – </w:t>
      </w:r>
      <w:r>
        <w:t>г</w:t>
      </w:r>
      <w:r w:rsidRPr="004C6B7F">
        <w:t>иперчувствительность (например, гиперреактивность бронхов.</w:t>
      </w:r>
    </w:p>
    <w:p w14:paraId="36E4D8D5" w14:textId="77777777" w:rsidR="00CA3463" w:rsidRPr="004C6B7F" w:rsidRDefault="00CA3463" w:rsidP="00CA3463">
      <w:pPr>
        <w:pStyle w:val="af3"/>
        <w:numPr>
          <w:ilvl w:val="0"/>
          <w:numId w:val="46"/>
        </w:numPr>
      </w:pPr>
      <w:r w:rsidRPr="004C6B7F">
        <w:t xml:space="preserve">Нарушения со стороны дыхательной системы, органов грудной клетки и средостения </w:t>
      </w:r>
      <w:r>
        <w:t xml:space="preserve">– </w:t>
      </w:r>
      <w:r w:rsidRPr="004C6B7F">
        <w:t>кашель.</w:t>
      </w:r>
    </w:p>
    <w:p w14:paraId="045F42B1" w14:textId="77777777" w:rsidR="00CA3463" w:rsidRPr="004C6B7F" w:rsidRDefault="00CA3463" w:rsidP="00CA3463">
      <w:pPr>
        <w:pStyle w:val="af3"/>
        <w:numPr>
          <w:ilvl w:val="0"/>
          <w:numId w:val="46"/>
        </w:numPr>
      </w:pPr>
      <w:r w:rsidRPr="004C6B7F">
        <w:t>Нарушения со стороны желудочно-кишечного тракта – панкреатит.</w:t>
      </w:r>
    </w:p>
    <w:p w14:paraId="558E3593" w14:textId="77777777" w:rsidR="00CA3463" w:rsidRPr="004C6B7F" w:rsidRDefault="00CA3463" w:rsidP="00CA3463">
      <w:pPr>
        <w:pStyle w:val="af3"/>
        <w:numPr>
          <w:ilvl w:val="0"/>
          <w:numId w:val="46"/>
        </w:numPr>
      </w:pPr>
      <w:r w:rsidRPr="004C6B7F">
        <w:t>Нарушения со стороны кожи и подкожных тканей – ангионевротический отек, крапивница, сыпь, буллезный пемфигоид.</w:t>
      </w:r>
    </w:p>
    <w:p w14:paraId="4BAA27DC" w14:textId="77777777" w:rsidR="00CA3463" w:rsidRPr="004C6B7F" w:rsidRDefault="00CA3463" w:rsidP="00CA3463">
      <w:pPr>
        <w:pStyle w:val="af3"/>
        <w:numPr>
          <w:ilvl w:val="0"/>
          <w:numId w:val="46"/>
        </w:numPr>
      </w:pPr>
      <w:r w:rsidRPr="004C6B7F">
        <w:t>Лабораторные и инструментальные данные – повышение активности амилазы в плазме крови, повышение активности липазы в плазме крови.</w:t>
      </w:r>
    </w:p>
    <w:p w14:paraId="59C80C7F" w14:textId="753A5815" w:rsidR="00CA3463" w:rsidRPr="008620D6" w:rsidRDefault="00CA3463" w:rsidP="00CA3463">
      <w:pPr>
        <w:pStyle w:val="OT"/>
        <w:ind w:firstLine="709"/>
        <w:rPr>
          <w:sz w:val="24"/>
          <w:szCs w:val="24"/>
          <w:lang w:val="en-US"/>
        </w:rPr>
      </w:pPr>
      <w:r w:rsidRPr="004C6B7F">
        <w:rPr>
          <w:sz w:val="24"/>
          <w:szCs w:val="24"/>
        </w:rPr>
        <w:t xml:space="preserve">Поскольку об этих реакциях сообщается добровольно </w:t>
      </w:r>
      <w:r w:rsidR="00C22BA5">
        <w:rPr>
          <w:sz w:val="24"/>
          <w:szCs w:val="24"/>
        </w:rPr>
        <w:t>и для</w:t>
      </w:r>
      <w:r w:rsidRPr="004C6B7F">
        <w:rPr>
          <w:sz w:val="24"/>
          <w:szCs w:val="24"/>
        </w:rPr>
        <w:t xml:space="preserve"> популяции неопределенного размера, не всегда можно достоверно оценить их частоту или установить причинно-следственную связь с</w:t>
      </w:r>
      <w:r w:rsidR="00C22BA5">
        <w:rPr>
          <w:sz w:val="24"/>
          <w:szCs w:val="24"/>
        </w:rPr>
        <w:t xml:space="preserve"> приемом</w:t>
      </w:r>
      <w:r w:rsidRPr="004C6B7F">
        <w:rPr>
          <w:sz w:val="24"/>
          <w:szCs w:val="24"/>
        </w:rPr>
        <w:t xml:space="preserve"> лекарственн</w:t>
      </w:r>
      <w:r w:rsidR="00C22BA5">
        <w:rPr>
          <w:sz w:val="24"/>
          <w:szCs w:val="24"/>
        </w:rPr>
        <w:t>ого</w:t>
      </w:r>
      <w:r w:rsidRPr="004C6B7F">
        <w:rPr>
          <w:sz w:val="24"/>
          <w:szCs w:val="24"/>
        </w:rPr>
        <w:t xml:space="preserve"> препарата</w:t>
      </w:r>
      <w:bookmarkEnd w:id="261"/>
      <w:r>
        <w:t xml:space="preserve"> </w:t>
      </w:r>
      <w:bookmarkEnd w:id="262"/>
      <w:r>
        <w:rPr>
          <w:sz w:val="24"/>
          <w:szCs w:val="24"/>
        </w:rPr>
        <w:fldChar w:fldCharType="begin"/>
      </w:r>
      <w:r>
        <w:rPr>
          <w:sz w:val="24"/>
          <w:szCs w:val="24"/>
        </w:rPr>
        <w:instrText xml:space="preserve"> ADDIN ZOTERO_ITEM CSL_CITATION {"citationID":"7dqAtx6L","properties":{"formattedCitation":"[1,2,4,23,23,27]","plainCitation":"[1,2,4,23,23,27]","noteIndex":0},"citationItems":[{"id":3008,"uris":["http://zotero.org/users/5483459/items/A4YJC5H7"],"itemData":{"id":3008,"type":"document","title":"European  Medicines agency.Summary of product characteristics.Trajenta 5 mg film-coated tablets.First published: 06/10/2011. Last updated: 15/04/2013"},"label":"page"},{"id":2939,"uris":["http://zotero.org/users/5483459/items/SJBZ4HU2"],"itemData":{"id":2939,"type":"document","title":"European  Medicines Agency.Assessment report Trajenta (linagliptin). Procedure No.: EMEA/H/C/002110/0000"},"label":"page"},{"id":3014,"uris":["http://zotero.org/users/5483459/items/GEX9J9W2"],"itemData":{"id":3014,"type":"document","title":"U.S. Food and Drug Administration. Drug Approval Package. Tradjenta (Linagliptin)  tablets. Company:  Boehringer Ingelheim Pharmaceuticals, Inc. Medical Review. Application No.:  201280 Approval Date: 04.03.2011"},"label":"page"},{"id":3073,"uris":["http://zotero.org/users/5483459/items/KD4JA3AM"],"itemData":{"id":3073,"type":"article-journal","abstract":"Dipeptidyl peptidase-4 (DPP-4) inhibitors or gliptins belong to the class of incretin mimetics. These drugs have been available on the market for the management of type 2 diabetes mellitus (T2DM) for over a decade. Sitagliptin, linagliptin, vildagliptin, saxagliptin and alogliptin are widely available globally, whilst anagliptin, gemigliptin and teneliptin are used mainly in the Asian countries. The glycemic control conferred by DPP-4 inhibitors varies among individual molecules with an average reduction of glycated hemoglobin (HbA1c) ranging between -0.5 to -1.0% with monotherapy. Additive effects on HbA1c reduction may result from combination therapy with other antidiabetics. Weak evidence from various studies suggests that DPP-4 inhibitors may be useful in treating nonalcoholic fatty liver disease (NAFLD) and polycystic ovary syndrome (PCOS). DPP-4 inhibitors safety is not established in pregnancy, and there is only meagre evidence of its use in T2DM among children. In line with the United States Food and Drug Administration (US FDA) recommendations, sitagliptin, linagliptin, saxagliptin and alogliptin have undergone rigorous cardiovascular outcome trials (CVOTs) in recent years, and the safety data for vildagliptin is available through retrospective analysis of various studies in meta-analysis. Small clinical trial, and meta-analysis based data are available for the CV safety of other DPP-4 inhibitors. In general, the CVOTs and other safety data do not reveal serious warning signals except for saxagliptin (higher risk of hospitalization from heart failure [hHF]), although there is no robust data on the risk of hHF among patients with moderate to severe HF at baseline treated with other DPP-4 inhibitors. This review critically appraises the efficacy and cardiovascular safety of DPP-4 inhibitors to empower clinicians to use this class of antidiabetic medications judiciously.","container-title":"Current Drug Safety","DOI":"10.2174/1574886315999200819150544","ISSN":"2212-3911","issue":"2","journalAbbreviation":"Curr Drug Saf","language":"eng","note":"PMID: 32819262","page":"154-164","source":"PubMed","title":"Efficacy and Cardiovascular Safety of DPP-4 Inhibitors","volume":"16","author":[{"family":"Subrahmanyan","given":"Nikhila A."},{"family":"Koshy","given":"Rithika M."},{"family":"Jacob","given":"Koshy"},{"family":"Pappachan","given":"Joseph M."}],"issued":{"date-parts":[["2021"]]}},"label":"page"},{"id":3073,"uris":["http://zotero.org/users/5483459/items/KD4JA3AM"],"itemData":{"id":3073,"type":"article-journal","abstract":"Dipeptidyl peptidase-4 (DPP-4) inhibitors or gliptins belong to the class of incretin mimetics. These drugs have been available on the market for the management of type 2 diabetes mellitus (T2DM) for over a decade. Sitagliptin, linagliptin, vildagliptin, saxagliptin and alogliptin are widely available globally, whilst anagliptin, gemigliptin and teneliptin are used mainly in the Asian countries. The glycemic control conferred by DPP-4 inhibitors varies among individual molecules with an average reduction of glycated hemoglobin (HbA1c) ranging between -0.5 to -1.0% with monotherapy. Additive effects on HbA1c reduction may result from combination therapy with other antidiabetics. Weak evidence from various studies suggests that DPP-4 inhibitors may be useful in treating nonalcoholic fatty liver disease (NAFLD) and polycystic ovary syndrome (PCOS). DPP-4 inhibitors safety is not established in pregnancy, and there is only meagre evidence of its use in T2DM among children. In line with the United States Food and Drug Administration (US FDA) recommendations, sitagliptin, linagliptin, saxagliptin and alogliptin have undergone rigorous cardiovascular outcome trials (CVOTs) in recent years, and the safety data for vildagliptin is available through retrospective analysis of various studies in meta-analysis. Small clinical trial, </w:instrText>
      </w:r>
      <w:r w:rsidRPr="0080586F">
        <w:rPr>
          <w:sz w:val="24"/>
          <w:szCs w:val="24"/>
          <w:lang w:val="en-US"/>
        </w:rPr>
        <w:instrText xml:space="preserve">and meta-analysis based data are available for the CV safety of other DPP-4 inhibitors. In general, the CVOTs and other safety data do not reveal serious warning signals except for saxagliptin (higher risk of hospitalization from heart failure [hHF]), although there is no robust data on the risk of hHF among patients with moderate to severe HF at baseline treated with other DPP-4 inhibitors. This review critically appraises the efficacy and cardiovascular safety of DPP-4 inhibitors to empower clinicians to use this class of antidiabetic medications judiciously.","container-title":"Current Drug Safety","DOI":"10.2174/1574886315999200819150544","ISSN":"2212-3911","issue":"2","journalAbbreviation":"Curr Drug Saf","language":"eng","note":"PMID: 32819262","page":"154-164","source":"PubMed","title":"Efficacy and Cardiovascular Safety of DPP-4 Inhibitors","volume":"16","author":[{"family":"Subrahmanyan","given":"Nikhila A."},{"family":"Koshy","given":"Rithika M."},{"family":"Jacob","given":"Koshy"},{"family":"Pappachan","given":"Joseph M."}],"issued":{"date-parts":[["2021"]]}},"label":"page"},{"id":3035,"uris":["http://zotero.org/users/5483459/items/A4NC89C5"],"itemData":{"id":3035,"type":"document","title":"Australian government. Australian Public Assessment Report for Linagliptin. Proprietary Product Name: Trajenta Sponsor: Boehringer Ingleheim (Australia) Pty Ltd. 2011."},"label":"page"}],"schema":"https://github.com/citation-style-language/schema/raw/master/csl-citation.json"} </w:instrText>
      </w:r>
      <w:r>
        <w:rPr>
          <w:sz w:val="24"/>
          <w:szCs w:val="24"/>
        </w:rPr>
        <w:fldChar w:fldCharType="separate"/>
      </w:r>
      <w:r w:rsidRPr="0080586F">
        <w:rPr>
          <w:sz w:val="24"/>
          <w:lang w:val="en-US"/>
        </w:rPr>
        <w:t>[1,2,4,23,23,27]</w:t>
      </w:r>
      <w:r>
        <w:rPr>
          <w:sz w:val="24"/>
          <w:szCs w:val="24"/>
        </w:rPr>
        <w:fldChar w:fldCharType="end"/>
      </w:r>
      <w:r w:rsidRPr="008620D6">
        <w:rPr>
          <w:sz w:val="24"/>
          <w:szCs w:val="24"/>
          <w:lang w:val="en-US"/>
        </w:rPr>
        <w:t>.</w:t>
      </w:r>
    </w:p>
    <w:p w14:paraId="29806A87" w14:textId="02E36376" w:rsidR="004B1452" w:rsidRPr="008620D6" w:rsidRDefault="004B1452" w:rsidP="00CA3463">
      <w:pPr>
        <w:pStyle w:val="2"/>
        <w:spacing w:line="240" w:lineRule="auto"/>
        <w:rPr>
          <w:color w:val="000000" w:themeColor="text1"/>
          <w:szCs w:val="24"/>
          <w:lang w:val="en-US"/>
        </w:rPr>
      </w:pPr>
      <w:bookmarkStart w:id="263" w:name="_Toc139362016"/>
      <w:r>
        <w:rPr>
          <w:color w:val="000000" w:themeColor="text1"/>
          <w:szCs w:val="24"/>
        </w:rPr>
        <w:t>Список</w:t>
      </w:r>
      <w:r w:rsidRPr="008620D6">
        <w:rPr>
          <w:color w:val="000000" w:themeColor="text1"/>
          <w:szCs w:val="24"/>
          <w:lang w:val="en-US"/>
        </w:rPr>
        <w:t xml:space="preserve"> </w:t>
      </w:r>
      <w:r>
        <w:rPr>
          <w:color w:val="000000" w:themeColor="text1"/>
          <w:szCs w:val="24"/>
        </w:rPr>
        <w:t>литературы</w:t>
      </w:r>
      <w:bookmarkEnd w:id="263"/>
    </w:p>
    <w:p w14:paraId="3E838B0B" w14:textId="76C4270B" w:rsidR="004B1452" w:rsidRPr="008620D6" w:rsidRDefault="004B1452" w:rsidP="00CA3463">
      <w:pPr>
        <w:pStyle w:val="afff2"/>
        <w:spacing w:after="0"/>
        <w:rPr>
          <w:lang w:val="en-US"/>
        </w:rPr>
      </w:pPr>
      <w:r>
        <w:fldChar w:fldCharType="begin"/>
      </w:r>
      <w:r w:rsidRPr="008620D6">
        <w:rPr>
          <w:lang w:val="en-US"/>
        </w:rPr>
        <w:instrText xml:space="preserve"> ADDIN ZOTERO_BIBL {"uncited":[],"omitted":[],"custom":[]} CSL_BIBLIOGRAPHY </w:instrText>
      </w:r>
      <w:r>
        <w:fldChar w:fldCharType="separate"/>
      </w:r>
      <w:r w:rsidR="00281DBD">
        <w:rPr>
          <w:lang w:val="en-US"/>
        </w:rPr>
        <w:t xml:space="preserve">1. </w:t>
      </w:r>
      <w:r w:rsidR="00281DBD">
        <w:rPr>
          <w:lang w:val="en-US"/>
        </w:rPr>
        <w:tab/>
        <w:t xml:space="preserve">European </w:t>
      </w:r>
      <w:r w:rsidRPr="008620D6">
        <w:rPr>
          <w:lang w:val="en-US"/>
        </w:rPr>
        <w:t>Medicines agency.Summary of product characteristics.Trajenta 5 mg film-coated tablets.</w:t>
      </w:r>
      <w:r w:rsidR="00281DBD" w:rsidRPr="00281DBD">
        <w:rPr>
          <w:lang w:val="en-US"/>
        </w:rPr>
        <w:t xml:space="preserve"> </w:t>
      </w:r>
      <w:r w:rsidRPr="008620D6">
        <w:rPr>
          <w:lang w:val="en-US"/>
        </w:rPr>
        <w:t xml:space="preserve">First published: 06/10/2011. Last updated: 15/04/2013. </w:t>
      </w:r>
    </w:p>
    <w:p w14:paraId="577A0235" w14:textId="3B9C438B" w:rsidR="004B1452" w:rsidRPr="008620D6" w:rsidRDefault="00281DBD" w:rsidP="00CA3463">
      <w:pPr>
        <w:pStyle w:val="afff2"/>
        <w:spacing w:after="0"/>
        <w:rPr>
          <w:lang w:val="en-US"/>
        </w:rPr>
      </w:pPr>
      <w:r>
        <w:rPr>
          <w:lang w:val="en-US"/>
        </w:rPr>
        <w:t xml:space="preserve">2. </w:t>
      </w:r>
      <w:r>
        <w:rPr>
          <w:lang w:val="en-US"/>
        </w:rPr>
        <w:tab/>
        <w:t xml:space="preserve">European </w:t>
      </w:r>
      <w:r w:rsidR="004B1452" w:rsidRPr="008620D6">
        <w:rPr>
          <w:lang w:val="en-US"/>
        </w:rPr>
        <w:t>Medicines Agency.</w:t>
      </w:r>
      <w:r w:rsidR="00555D11" w:rsidRPr="00555D11">
        <w:rPr>
          <w:lang w:val="en-US"/>
        </w:rPr>
        <w:t xml:space="preserve"> </w:t>
      </w:r>
      <w:r w:rsidR="004B1452" w:rsidRPr="008620D6">
        <w:rPr>
          <w:lang w:val="en-US"/>
        </w:rPr>
        <w:t xml:space="preserve">Assessment report Trajenta (linagliptin). Procedure No.: EMEA/H/C/002110/0000. </w:t>
      </w:r>
    </w:p>
    <w:p w14:paraId="7EB38397" w14:textId="77777777" w:rsidR="004B1452" w:rsidRPr="008620D6" w:rsidRDefault="004B1452" w:rsidP="00CA3463">
      <w:pPr>
        <w:pStyle w:val="afff2"/>
        <w:spacing w:after="0"/>
        <w:rPr>
          <w:lang w:val="en-US"/>
        </w:rPr>
      </w:pPr>
      <w:r w:rsidRPr="008620D6">
        <w:rPr>
          <w:lang w:val="en-US"/>
        </w:rPr>
        <w:t xml:space="preserve">3. </w:t>
      </w:r>
      <w:r w:rsidRPr="008620D6">
        <w:rPr>
          <w:lang w:val="en-US"/>
        </w:rPr>
        <w:tab/>
        <w:t xml:space="preserve">Graefe-Mody U, Giessmann T, Ring A, Iovino M, Woerle HJ. A randomized, open-label, crossover study evaluating the effect of food on the relative bioavailability of linagliptin in healthy subjects. Clin Ther. </w:t>
      </w:r>
      <w:r w:rsidRPr="008620D6">
        <w:t>август</w:t>
      </w:r>
      <w:r w:rsidRPr="008620D6">
        <w:rPr>
          <w:lang w:val="en-US"/>
        </w:rPr>
        <w:t xml:space="preserve"> 2011 </w:t>
      </w:r>
      <w:r w:rsidRPr="008620D6">
        <w:t>г</w:t>
      </w:r>
      <w:r w:rsidRPr="008620D6">
        <w:rPr>
          <w:lang w:val="en-US"/>
        </w:rPr>
        <w:t xml:space="preserve">.;33(8):1096–103. </w:t>
      </w:r>
    </w:p>
    <w:p w14:paraId="47CC3DFA" w14:textId="77777777" w:rsidR="004B1452" w:rsidRPr="008620D6" w:rsidRDefault="004B1452" w:rsidP="00CA3463">
      <w:pPr>
        <w:pStyle w:val="afff2"/>
        <w:spacing w:after="0"/>
        <w:rPr>
          <w:lang w:val="en-US"/>
        </w:rPr>
      </w:pPr>
      <w:r w:rsidRPr="008620D6">
        <w:rPr>
          <w:lang w:val="en-US"/>
        </w:rPr>
        <w:lastRenderedPageBreak/>
        <w:t xml:space="preserve">4. </w:t>
      </w:r>
      <w:r w:rsidRPr="008620D6">
        <w:rPr>
          <w:lang w:val="en-US"/>
        </w:rPr>
        <w:tab/>
        <w:t xml:space="preserve">U.S. Food and Drug Administration. Drug Approval Package. Tradjenta (Linagliptin)  tablets. Company:  Boehringer Ingelheim Pharmaceuticals, Inc. Medical Review. Application No.:  201280 Approval Date: 04.03.2011. </w:t>
      </w:r>
    </w:p>
    <w:p w14:paraId="01727F0F" w14:textId="77777777" w:rsidR="004B1452" w:rsidRPr="008620D6" w:rsidRDefault="004B1452" w:rsidP="00CA3463">
      <w:pPr>
        <w:pStyle w:val="afff2"/>
        <w:spacing w:after="0"/>
        <w:rPr>
          <w:lang w:val="en-US"/>
        </w:rPr>
      </w:pPr>
      <w:r w:rsidRPr="008620D6">
        <w:rPr>
          <w:lang w:val="en-US"/>
        </w:rPr>
        <w:t xml:space="preserve">5. </w:t>
      </w:r>
      <w:r w:rsidRPr="008620D6">
        <w:rPr>
          <w:lang w:val="en-US"/>
        </w:rPr>
        <w:tab/>
        <w:t>Boehringer Ingelheim. Pharmacokinetics, Pharmacodynamics, Safety and Tolerability of Single and Multiple 5 mg Doses of Linagliptin Tablets in Patients With Different Degrees of Renal Impairment in Comparison to Subjects With Normal Renal Function in a Monocentric, Open, Parallel-group, Phase I Trial [</w:t>
      </w:r>
      <w:r w:rsidRPr="008620D6">
        <w:t>Интернет</w:t>
      </w:r>
      <w:r w:rsidRPr="008620D6">
        <w:rPr>
          <w:lang w:val="en-US"/>
        </w:rPr>
        <w:t xml:space="preserve">]. clinicaltrials.gov; 2014 </w:t>
      </w:r>
      <w:r w:rsidRPr="008620D6">
        <w:t>июл</w:t>
      </w:r>
      <w:r w:rsidRPr="008620D6">
        <w:rPr>
          <w:lang w:val="en-US"/>
        </w:rPr>
        <w:t xml:space="preserve"> [</w:t>
      </w:r>
      <w:r w:rsidRPr="008620D6">
        <w:t>цитируется</w:t>
      </w:r>
      <w:r w:rsidRPr="008620D6">
        <w:rPr>
          <w:lang w:val="en-US"/>
        </w:rPr>
        <w:t xml:space="preserve"> </w:t>
      </w:r>
      <w:r w:rsidRPr="008620D6">
        <w:t>по</w:t>
      </w:r>
      <w:r w:rsidRPr="008620D6">
        <w:rPr>
          <w:lang w:val="en-US"/>
        </w:rPr>
        <w:t xml:space="preserve"> 2 </w:t>
      </w:r>
      <w:r w:rsidRPr="008620D6">
        <w:t>декабрь</w:t>
      </w:r>
      <w:r w:rsidRPr="008620D6">
        <w:rPr>
          <w:lang w:val="en-US"/>
        </w:rPr>
        <w:t xml:space="preserve"> 2022 </w:t>
      </w:r>
      <w:r w:rsidRPr="008620D6">
        <w:t>г</w:t>
      </w:r>
      <w:r w:rsidRPr="008620D6">
        <w:rPr>
          <w:lang w:val="en-US"/>
        </w:rPr>
        <w:t xml:space="preserve">.]. Report No.: NCT02191228. </w:t>
      </w:r>
      <w:r w:rsidRPr="008620D6">
        <w:t>Доступно</w:t>
      </w:r>
      <w:r w:rsidRPr="008620D6">
        <w:rPr>
          <w:lang w:val="en-US"/>
        </w:rPr>
        <w:t xml:space="preserve"> </w:t>
      </w:r>
      <w:r w:rsidRPr="008620D6">
        <w:t>на</w:t>
      </w:r>
      <w:r w:rsidRPr="008620D6">
        <w:rPr>
          <w:lang w:val="en-US"/>
        </w:rPr>
        <w:t>: https://clinicaltrials.gov/ct2/show/NCT02191228</w:t>
      </w:r>
    </w:p>
    <w:p w14:paraId="208110C2" w14:textId="77777777" w:rsidR="004B1452" w:rsidRPr="008620D6" w:rsidRDefault="004B1452" w:rsidP="00CA3463">
      <w:pPr>
        <w:pStyle w:val="afff2"/>
        <w:spacing w:after="0"/>
        <w:rPr>
          <w:lang w:val="en-US"/>
        </w:rPr>
      </w:pPr>
      <w:r w:rsidRPr="008620D6">
        <w:rPr>
          <w:lang w:val="en-US"/>
        </w:rPr>
        <w:t xml:space="preserve">6. </w:t>
      </w:r>
      <w:r w:rsidRPr="008620D6">
        <w:rPr>
          <w:lang w:val="en-US"/>
        </w:rPr>
        <w:tab/>
        <w:t>Boehringer Ingelheim. Pharmacokinetics and Pharmacodynamics of BI 1356 5 mg Once Daily in Male and Female Subjects With Different Degrees of Liver Impairment (Child Pugh Classification A-C) as Compared to Male and Female Healthy Subjects (a Non-blinded, Parallel Group Study of Phase I) [</w:t>
      </w:r>
      <w:r w:rsidRPr="008620D6">
        <w:t>Интернет</w:t>
      </w:r>
      <w:r w:rsidRPr="008620D6">
        <w:rPr>
          <w:lang w:val="en-US"/>
        </w:rPr>
        <w:t xml:space="preserve">]. clinicaltrials.gov; 2014 </w:t>
      </w:r>
      <w:r w:rsidRPr="008620D6">
        <w:t>июл</w:t>
      </w:r>
      <w:r w:rsidRPr="008620D6">
        <w:rPr>
          <w:lang w:val="en-US"/>
        </w:rPr>
        <w:t xml:space="preserve"> [</w:t>
      </w:r>
      <w:r w:rsidRPr="008620D6">
        <w:t>цитируется</w:t>
      </w:r>
      <w:r w:rsidRPr="008620D6">
        <w:rPr>
          <w:lang w:val="en-US"/>
        </w:rPr>
        <w:t xml:space="preserve"> </w:t>
      </w:r>
      <w:r w:rsidRPr="008620D6">
        <w:t>по</w:t>
      </w:r>
      <w:r w:rsidRPr="008620D6">
        <w:rPr>
          <w:lang w:val="en-US"/>
        </w:rPr>
        <w:t xml:space="preserve"> 2 </w:t>
      </w:r>
      <w:r w:rsidRPr="008620D6">
        <w:t>декабрь</w:t>
      </w:r>
      <w:r w:rsidRPr="008620D6">
        <w:rPr>
          <w:lang w:val="en-US"/>
        </w:rPr>
        <w:t xml:space="preserve"> 2022 </w:t>
      </w:r>
      <w:r w:rsidRPr="008620D6">
        <w:t>г</w:t>
      </w:r>
      <w:r w:rsidRPr="008620D6">
        <w:rPr>
          <w:lang w:val="en-US"/>
        </w:rPr>
        <w:t xml:space="preserve">.]. Report No.: NCT02183376. </w:t>
      </w:r>
      <w:r w:rsidRPr="008620D6">
        <w:t>Доступно</w:t>
      </w:r>
      <w:r w:rsidRPr="008620D6">
        <w:rPr>
          <w:lang w:val="en-US"/>
        </w:rPr>
        <w:t xml:space="preserve"> </w:t>
      </w:r>
      <w:r w:rsidRPr="008620D6">
        <w:t>на</w:t>
      </w:r>
      <w:r w:rsidRPr="008620D6">
        <w:rPr>
          <w:lang w:val="en-US"/>
        </w:rPr>
        <w:t>: https://clinicaltrials.gov/ct2/show/NCT02183376</w:t>
      </w:r>
    </w:p>
    <w:p w14:paraId="126C9FB2" w14:textId="77777777" w:rsidR="004B1452" w:rsidRPr="008620D6" w:rsidRDefault="004B1452" w:rsidP="00CA3463">
      <w:pPr>
        <w:pStyle w:val="afff2"/>
        <w:spacing w:after="0"/>
        <w:rPr>
          <w:lang w:val="en-US"/>
        </w:rPr>
      </w:pPr>
      <w:r w:rsidRPr="008620D6">
        <w:rPr>
          <w:lang w:val="en-US"/>
        </w:rPr>
        <w:t xml:space="preserve">7. </w:t>
      </w:r>
      <w:r w:rsidRPr="008620D6">
        <w:rPr>
          <w:lang w:val="en-US"/>
        </w:rPr>
        <w:tab/>
        <w:t xml:space="preserve">Retlich S, Duval V, Graefe-Mody U, Friedrich C, Patel S, Jaehde U, </w:t>
      </w:r>
      <w:r w:rsidRPr="008620D6">
        <w:t>и</w:t>
      </w:r>
      <w:r w:rsidRPr="008620D6">
        <w:rPr>
          <w:lang w:val="en-US"/>
        </w:rPr>
        <w:t xml:space="preserve"> </w:t>
      </w:r>
      <w:r w:rsidRPr="008620D6">
        <w:t>др</w:t>
      </w:r>
      <w:r w:rsidRPr="008620D6">
        <w:rPr>
          <w:lang w:val="en-US"/>
        </w:rPr>
        <w:t xml:space="preserve">. Population Pharmacokinetics and Pharmacodynamics of Linagliptin in Patients with Type 2 Diabetes Mellitus. Clin Pharmacokinet. 1 </w:t>
      </w:r>
      <w:r w:rsidRPr="008620D6">
        <w:t>июль</w:t>
      </w:r>
      <w:r w:rsidRPr="008620D6">
        <w:rPr>
          <w:lang w:val="en-US"/>
        </w:rPr>
        <w:t xml:space="preserve"> 2015 </w:t>
      </w:r>
      <w:r w:rsidRPr="008620D6">
        <w:t>г</w:t>
      </w:r>
      <w:r w:rsidRPr="008620D6">
        <w:rPr>
          <w:lang w:val="en-US"/>
        </w:rPr>
        <w:t xml:space="preserve">.;54(7):737–50. </w:t>
      </w:r>
    </w:p>
    <w:p w14:paraId="6C373E00" w14:textId="77777777" w:rsidR="004B1452" w:rsidRPr="008620D6" w:rsidRDefault="004B1452" w:rsidP="00CA3463">
      <w:pPr>
        <w:pStyle w:val="afff2"/>
        <w:spacing w:after="0"/>
        <w:rPr>
          <w:lang w:val="en-US"/>
        </w:rPr>
      </w:pPr>
      <w:r w:rsidRPr="008620D6">
        <w:rPr>
          <w:lang w:val="en-US"/>
        </w:rPr>
        <w:t xml:space="preserve">8. </w:t>
      </w:r>
      <w:r w:rsidRPr="008620D6">
        <w:rPr>
          <w:lang w:val="en-US"/>
        </w:rPr>
        <w:tab/>
        <w:t xml:space="preserve">Ceriello A, Inagaki N. Pharmacokinetic and pharmacodynamic evaluation of linagliptin for the treatment of type 2 diabetes mellitus, with consideration of Asian patient populations. J Diabetes Investig. </w:t>
      </w:r>
      <w:r w:rsidRPr="008620D6">
        <w:t>январь</w:t>
      </w:r>
      <w:r w:rsidRPr="008620D6">
        <w:rPr>
          <w:lang w:val="en-US"/>
        </w:rPr>
        <w:t xml:space="preserve"> 2017 </w:t>
      </w:r>
      <w:r w:rsidRPr="008620D6">
        <w:t>г</w:t>
      </w:r>
      <w:r w:rsidRPr="008620D6">
        <w:rPr>
          <w:lang w:val="en-US"/>
        </w:rPr>
        <w:t xml:space="preserve">.;8(1):19–28. </w:t>
      </w:r>
    </w:p>
    <w:p w14:paraId="1E526F64" w14:textId="77777777" w:rsidR="004B1452" w:rsidRPr="008620D6" w:rsidRDefault="004B1452" w:rsidP="00CA3463">
      <w:pPr>
        <w:pStyle w:val="afff2"/>
        <w:spacing w:after="0"/>
        <w:rPr>
          <w:lang w:val="en-US"/>
        </w:rPr>
      </w:pPr>
      <w:r w:rsidRPr="008620D6">
        <w:rPr>
          <w:lang w:val="en-US"/>
        </w:rPr>
        <w:t xml:space="preserve">9. </w:t>
      </w:r>
      <w:r w:rsidRPr="008620D6">
        <w:rPr>
          <w:lang w:val="en-US"/>
        </w:rPr>
        <w:tab/>
        <w:t xml:space="preserve">Friedrich C, Ring A, Brand T, Sennewald R, Graefe-Mody EU, Woerle HJ. Evaluation of the pharmacokinetic interaction after multiple oral doses of linagliptin and digoxin in healthy volunteers. Eur J Drug Metab Pharmacokinet. </w:t>
      </w:r>
      <w:r w:rsidRPr="008620D6">
        <w:t>март</w:t>
      </w:r>
      <w:r w:rsidRPr="008620D6">
        <w:rPr>
          <w:lang w:val="en-US"/>
        </w:rPr>
        <w:t xml:space="preserve"> 2011 </w:t>
      </w:r>
      <w:r w:rsidRPr="008620D6">
        <w:t>г</w:t>
      </w:r>
      <w:r w:rsidRPr="008620D6">
        <w:rPr>
          <w:lang w:val="en-US"/>
        </w:rPr>
        <w:t xml:space="preserve">.;36(1):17–24. </w:t>
      </w:r>
    </w:p>
    <w:p w14:paraId="5B88020E" w14:textId="77777777" w:rsidR="004B1452" w:rsidRPr="008620D6" w:rsidRDefault="004B1452" w:rsidP="00CA3463">
      <w:pPr>
        <w:pStyle w:val="afff2"/>
        <w:spacing w:after="0"/>
        <w:rPr>
          <w:lang w:val="en-US"/>
        </w:rPr>
      </w:pPr>
      <w:r w:rsidRPr="008620D6">
        <w:rPr>
          <w:lang w:val="en-US"/>
        </w:rPr>
        <w:t xml:space="preserve">10. </w:t>
      </w:r>
      <w:r w:rsidRPr="008620D6">
        <w:rPr>
          <w:lang w:val="en-US"/>
        </w:rPr>
        <w:tab/>
        <w:t xml:space="preserve">Graefe-Mody EU, Padula S, Ring A, Withopf B, Dugi KA. Evaluation of the potential for steady-state pharmacokinetic and pharmacodynamic interactions between the DPP-4 inhibitor linagliptin and metformin in healthy subjects. Curr Med Res Opin. </w:t>
      </w:r>
      <w:r w:rsidRPr="008620D6">
        <w:t>август</w:t>
      </w:r>
      <w:r w:rsidRPr="008620D6">
        <w:rPr>
          <w:lang w:val="en-US"/>
        </w:rPr>
        <w:t xml:space="preserve"> 2009 </w:t>
      </w:r>
      <w:r w:rsidRPr="008620D6">
        <w:t>г</w:t>
      </w:r>
      <w:r w:rsidRPr="008620D6">
        <w:rPr>
          <w:lang w:val="en-US"/>
        </w:rPr>
        <w:t xml:space="preserve">.;25(8):1963–72. </w:t>
      </w:r>
    </w:p>
    <w:p w14:paraId="0BC3ABCE" w14:textId="77777777" w:rsidR="004B1452" w:rsidRPr="008620D6" w:rsidRDefault="004B1452" w:rsidP="00CA3463">
      <w:pPr>
        <w:pStyle w:val="afff2"/>
        <w:spacing w:after="0"/>
        <w:rPr>
          <w:lang w:val="en-US"/>
        </w:rPr>
      </w:pPr>
      <w:r w:rsidRPr="008620D6">
        <w:rPr>
          <w:lang w:val="en-US"/>
        </w:rPr>
        <w:t xml:space="preserve">11. </w:t>
      </w:r>
      <w:r w:rsidRPr="008620D6">
        <w:rPr>
          <w:lang w:val="en-US"/>
        </w:rPr>
        <w:tab/>
        <w:t>Boehringer Ingelheim. Safety, Tolerability, Pharmacokinetics and Pharmacodynamics of Single Rising Oral Doses of BI 1356 BS as a Solution at Dose Levels 2.5 -5 mg and Tablets at Dose Levels 25 - 600 mg Administered to Healthy Male Subjects. A Randomised, Double-blind, Placebo-controlled Trial, Including an Intra-subject Bioavailability Comparison of 100 mg BI 1356 BS as Tablet and as Solution. BI 1356 BS as Tablet and as Solution [</w:t>
      </w:r>
      <w:r w:rsidRPr="008620D6">
        <w:t>Интернет</w:t>
      </w:r>
      <w:r w:rsidRPr="008620D6">
        <w:rPr>
          <w:lang w:val="en-US"/>
        </w:rPr>
        <w:t xml:space="preserve">]. clinicaltrials.gov; 2014 </w:t>
      </w:r>
      <w:r w:rsidRPr="008620D6">
        <w:t>июл</w:t>
      </w:r>
      <w:r w:rsidRPr="008620D6">
        <w:rPr>
          <w:lang w:val="en-US"/>
        </w:rPr>
        <w:t xml:space="preserve"> [</w:t>
      </w:r>
      <w:r w:rsidRPr="008620D6">
        <w:t>цитируется</w:t>
      </w:r>
      <w:r w:rsidRPr="008620D6">
        <w:rPr>
          <w:lang w:val="en-US"/>
        </w:rPr>
        <w:t xml:space="preserve"> </w:t>
      </w:r>
      <w:r w:rsidRPr="008620D6">
        <w:t>по</w:t>
      </w:r>
      <w:r w:rsidRPr="008620D6">
        <w:rPr>
          <w:lang w:val="en-US"/>
        </w:rPr>
        <w:t xml:space="preserve"> 2 </w:t>
      </w:r>
      <w:r w:rsidRPr="008620D6">
        <w:t>декабрь</w:t>
      </w:r>
      <w:r w:rsidRPr="008620D6">
        <w:rPr>
          <w:lang w:val="en-US"/>
        </w:rPr>
        <w:t xml:space="preserve"> 2022 </w:t>
      </w:r>
      <w:r w:rsidRPr="008620D6">
        <w:t>г</w:t>
      </w:r>
      <w:r w:rsidRPr="008620D6">
        <w:rPr>
          <w:lang w:val="en-US"/>
        </w:rPr>
        <w:t xml:space="preserve">.]. Report No.: NCT02173665. </w:t>
      </w:r>
      <w:r w:rsidRPr="008620D6">
        <w:t>Доступно</w:t>
      </w:r>
      <w:r w:rsidRPr="008620D6">
        <w:rPr>
          <w:lang w:val="en-US"/>
        </w:rPr>
        <w:t xml:space="preserve"> </w:t>
      </w:r>
      <w:r w:rsidRPr="008620D6">
        <w:t>на</w:t>
      </w:r>
      <w:r w:rsidRPr="008620D6">
        <w:rPr>
          <w:lang w:val="en-US"/>
        </w:rPr>
        <w:t>: https://clinicaltrials.gov/ct2/show/NCT02173665</w:t>
      </w:r>
    </w:p>
    <w:p w14:paraId="6CA2B3B5" w14:textId="77777777" w:rsidR="004B1452" w:rsidRPr="008620D6" w:rsidRDefault="004B1452" w:rsidP="00CA3463">
      <w:pPr>
        <w:pStyle w:val="afff2"/>
        <w:spacing w:after="0"/>
        <w:rPr>
          <w:lang w:val="en-US"/>
        </w:rPr>
      </w:pPr>
      <w:r w:rsidRPr="008620D6">
        <w:rPr>
          <w:lang w:val="en-US"/>
        </w:rPr>
        <w:t xml:space="preserve">12. </w:t>
      </w:r>
      <w:r w:rsidRPr="008620D6">
        <w:rPr>
          <w:lang w:val="en-US"/>
        </w:rPr>
        <w:tab/>
        <w:t>Boehringer Ingelheim. Assessment of the Effect of 5 mg and 100 mg of BI 1356 as Single Dose on the QT Interval in Healthy Female and Male Subjects. A Randomised, Placebo Controlled, Double-blind, Four-way Crossover Study With Moxifloxacin as Positive Control [</w:t>
      </w:r>
      <w:r w:rsidRPr="008620D6">
        <w:t>Интернет</w:t>
      </w:r>
      <w:r w:rsidRPr="008620D6">
        <w:rPr>
          <w:lang w:val="en-US"/>
        </w:rPr>
        <w:t xml:space="preserve">]. clinicaltrials.gov; 2014 </w:t>
      </w:r>
      <w:r w:rsidRPr="008620D6">
        <w:t>июл</w:t>
      </w:r>
      <w:r w:rsidRPr="008620D6">
        <w:rPr>
          <w:lang w:val="en-US"/>
        </w:rPr>
        <w:t xml:space="preserve"> [</w:t>
      </w:r>
      <w:r w:rsidRPr="008620D6">
        <w:t>цитируется</w:t>
      </w:r>
      <w:r w:rsidRPr="008620D6">
        <w:rPr>
          <w:lang w:val="en-US"/>
        </w:rPr>
        <w:t xml:space="preserve"> </w:t>
      </w:r>
      <w:r w:rsidRPr="008620D6">
        <w:t>по</w:t>
      </w:r>
      <w:r w:rsidRPr="008620D6">
        <w:rPr>
          <w:lang w:val="en-US"/>
        </w:rPr>
        <w:t xml:space="preserve"> 2 </w:t>
      </w:r>
      <w:r w:rsidRPr="008620D6">
        <w:t>декабрь</w:t>
      </w:r>
      <w:r w:rsidRPr="008620D6">
        <w:rPr>
          <w:lang w:val="en-US"/>
        </w:rPr>
        <w:t xml:space="preserve"> 2022 </w:t>
      </w:r>
      <w:r w:rsidRPr="008620D6">
        <w:t>г</w:t>
      </w:r>
      <w:r w:rsidRPr="008620D6">
        <w:rPr>
          <w:lang w:val="en-US"/>
        </w:rPr>
        <w:t xml:space="preserve">.]. Report No.: NCT02183467. </w:t>
      </w:r>
      <w:r w:rsidRPr="008620D6">
        <w:t>Доступно</w:t>
      </w:r>
      <w:r w:rsidRPr="008620D6">
        <w:rPr>
          <w:lang w:val="en-US"/>
        </w:rPr>
        <w:t xml:space="preserve"> </w:t>
      </w:r>
      <w:r w:rsidRPr="008620D6">
        <w:t>на</w:t>
      </w:r>
      <w:r w:rsidRPr="008620D6">
        <w:rPr>
          <w:lang w:val="en-US"/>
        </w:rPr>
        <w:t>: https://clinicaltrials.gov/ct2/show/NCT02183467</w:t>
      </w:r>
    </w:p>
    <w:p w14:paraId="38D51799" w14:textId="77777777" w:rsidR="004B1452" w:rsidRPr="008620D6" w:rsidRDefault="004B1452" w:rsidP="00CA3463">
      <w:pPr>
        <w:pStyle w:val="afff2"/>
        <w:spacing w:after="0"/>
        <w:rPr>
          <w:lang w:val="en-US"/>
        </w:rPr>
      </w:pPr>
      <w:r w:rsidRPr="008620D6">
        <w:rPr>
          <w:lang w:val="en-US"/>
        </w:rPr>
        <w:t xml:space="preserve">13. </w:t>
      </w:r>
      <w:r w:rsidRPr="008620D6">
        <w:rPr>
          <w:lang w:val="en-US"/>
        </w:rPr>
        <w:tab/>
        <w:t xml:space="preserve">Komorizono Y, Hosoyamada K, Imamura N, Kajiya S, Hashiguchi Y, Ueyama N, </w:t>
      </w:r>
      <w:r w:rsidRPr="008620D6">
        <w:t>и</w:t>
      </w:r>
      <w:r w:rsidRPr="008620D6">
        <w:rPr>
          <w:lang w:val="en-US"/>
        </w:rPr>
        <w:t xml:space="preserve"> </w:t>
      </w:r>
      <w:r w:rsidRPr="008620D6">
        <w:t>др</w:t>
      </w:r>
      <w:r w:rsidRPr="008620D6">
        <w:rPr>
          <w:lang w:val="en-US"/>
        </w:rPr>
        <w:t xml:space="preserve">. Metformin dose increase versus added linagliptin in non-alcoholic fatty liver disease and type 2 diabetes: An analysis of the J-LINK study. Diabetes Obes Metab. </w:t>
      </w:r>
      <w:r w:rsidRPr="008620D6">
        <w:t>март</w:t>
      </w:r>
      <w:r w:rsidRPr="008620D6">
        <w:rPr>
          <w:lang w:val="en-US"/>
        </w:rPr>
        <w:t xml:space="preserve"> 2021 </w:t>
      </w:r>
      <w:r w:rsidRPr="008620D6">
        <w:t>г</w:t>
      </w:r>
      <w:r w:rsidRPr="008620D6">
        <w:rPr>
          <w:lang w:val="en-US"/>
        </w:rPr>
        <w:t xml:space="preserve">.;23(3):832–7. </w:t>
      </w:r>
    </w:p>
    <w:p w14:paraId="61F71156" w14:textId="77777777" w:rsidR="004B1452" w:rsidRPr="008620D6" w:rsidRDefault="004B1452" w:rsidP="00CA3463">
      <w:pPr>
        <w:pStyle w:val="afff2"/>
        <w:spacing w:after="0"/>
        <w:rPr>
          <w:lang w:val="en-US"/>
        </w:rPr>
      </w:pPr>
      <w:r w:rsidRPr="008620D6">
        <w:rPr>
          <w:lang w:val="en-US"/>
        </w:rPr>
        <w:t xml:space="preserve">14. </w:t>
      </w:r>
      <w:r w:rsidRPr="008620D6">
        <w:rPr>
          <w:lang w:val="en-US"/>
        </w:rPr>
        <w:tab/>
        <w:t xml:space="preserve">Yang W, Xu X, Lei T, Ma J, Li L, Shen J, </w:t>
      </w:r>
      <w:r w:rsidRPr="008620D6">
        <w:t>и</w:t>
      </w:r>
      <w:r w:rsidRPr="008620D6">
        <w:rPr>
          <w:lang w:val="en-US"/>
        </w:rPr>
        <w:t xml:space="preserve"> </w:t>
      </w:r>
      <w:r w:rsidRPr="008620D6">
        <w:t>др</w:t>
      </w:r>
      <w:r w:rsidRPr="008620D6">
        <w:rPr>
          <w:lang w:val="en-US"/>
        </w:rPr>
        <w:t xml:space="preserve">. Efficacy and safety of linagliptin as add-on therapy to insulin in Chinese patients with type 2 diabetes mellitus: A randomized, double-blind, placebo-controlled trial. Diabetes Obes Metab. </w:t>
      </w:r>
      <w:r w:rsidRPr="008620D6">
        <w:t>февраль</w:t>
      </w:r>
      <w:r w:rsidRPr="008620D6">
        <w:rPr>
          <w:lang w:val="en-US"/>
        </w:rPr>
        <w:t xml:space="preserve"> 2021 </w:t>
      </w:r>
      <w:r w:rsidRPr="008620D6">
        <w:t>г</w:t>
      </w:r>
      <w:r w:rsidRPr="008620D6">
        <w:rPr>
          <w:lang w:val="en-US"/>
        </w:rPr>
        <w:t xml:space="preserve">.;23(2):642–7. </w:t>
      </w:r>
    </w:p>
    <w:p w14:paraId="5E60F864" w14:textId="77777777" w:rsidR="004B1452" w:rsidRPr="008620D6" w:rsidRDefault="004B1452" w:rsidP="00CA3463">
      <w:pPr>
        <w:pStyle w:val="afff2"/>
        <w:spacing w:after="0"/>
        <w:rPr>
          <w:lang w:val="en-US"/>
        </w:rPr>
      </w:pPr>
      <w:r w:rsidRPr="008620D6">
        <w:rPr>
          <w:lang w:val="en-US"/>
        </w:rPr>
        <w:lastRenderedPageBreak/>
        <w:t xml:space="preserve">15. </w:t>
      </w:r>
      <w:r w:rsidRPr="008620D6">
        <w:rPr>
          <w:lang w:val="en-US"/>
        </w:rPr>
        <w:tab/>
        <w:t xml:space="preserve">Lingvay I, Beetz N, Sennewald R, Schuler-Metz A, Bertulis J, Loley C, </w:t>
      </w:r>
      <w:r w:rsidRPr="008620D6">
        <w:t>и</w:t>
      </w:r>
      <w:r w:rsidRPr="008620D6">
        <w:rPr>
          <w:lang w:val="en-US"/>
        </w:rPr>
        <w:t xml:space="preserve"> </w:t>
      </w:r>
      <w:r w:rsidRPr="008620D6">
        <w:t>др</w:t>
      </w:r>
      <w:r w:rsidRPr="008620D6">
        <w:rPr>
          <w:lang w:val="en-US"/>
        </w:rPr>
        <w:t xml:space="preserve">. Triple fixed-dose combination empagliflozin, linagliptin, and metformin for patients with type 2 diabetes. Postgrad Med. </w:t>
      </w:r>
      <w:r w:rsidRPr="008620D6">
        <w:t>май</w:t>
      </w:r>
      <w:r w:rsidRPr="008620D6">
        <w:rPr>
          <w:lang w:val="en-US"/>
        </w:rPr>
        <w:t xml:space="preserve"> 2020 </w:t>
      </w:r>
      <w:r w:rsidRPr="008620D6">
        <w:t>г</w:t>
      </w:r>
      <w:r w:rsidRPr="008620D6">
        <w:rPr>
          <w:lang w:val="en-US"/>
        </w:rPr>
        <w:t xml:space="preserve">.;132(4):337–45. </w:t>
      </w:r>
    </w:p>
    <w:p w14:paraId="49260099" w14:textId="77777777" w:rsidR="004B1452" w:rsidRPr="008620D6" w:rsidRDefault="004B1452" w:rsidP="00CA3463">
      <w:pPr>
        <w:pStyle w:val="afff2"/>
        <w:spacing w:after="0"/>
        <w:rPr>
          <w:lang w:val="en-US"/>
        </w:rPr>
      </w:pPr>
      <w:r w:rsidRPr="008620D6">
        <w:rPr>
          <w:lang w:val="en-US"/>
        </w:rPr>
        <w:t xml:space="preserve">16. </w:t>
      </w:r>
      <w:r w:rsidRPr="008620D6">
        <w:rPr>
          <w:lang w:val="en-US"/>
        </w:rPr>
        <w:tab/>
        <w:t xml:space="preserve">Del Prato S, Barnett AH, Huisman H, Neubacher D, Woerle HJ, Dugi KA. Effect of linagliptin monotherapy on glycaemic control and markers of </w:t>
      </w:r>
      <w:r w:rsidRPr="008620D6">
        <w:t>β</w:t>
      </w:r>
      <w:r w:rsidRPr="008620D6">
        <w:rPr>
          <w:lang w:val="en-US"/>
        </w:rPr>
        <w:t xml:space="preserve">-cell function in patients with inadequately controlled type 2 diabetes: a randomized controlled trial. Diabetes Obes Metab. </w:t>
      </w:r>
      <w:r w:rsidRPr="008620D6">
        <w:t>март</w:t>
      </w:r>
      <w:r w:rsidRPr="008620D6">
        <w:rPr>
          <w:lang w:val="en-US"/>
        </w:rPr>
        <w:t xml:space="preserve"> 2011 </w:t>
      </w:r>
      <w:r w:rsidRPr="008620D6">
        <w:t>г</w:t>
      </w:r>
      <w:r w:rsidRPr="008620D6">
        <w:rPr>
          <w:lang w:val="en-US"/>
        </w:rPr>
        <w:t xml:space="preserve">.;13(3):258–67. </w:t>
      </w:r>
    </w:p>
    <w:p w14:paraId="51F1D97A" w14:textId="77777777" w:rsidR="004B1452" w:rsidRPr="008620D6" w:rsidRDefault="004B1452" w:rsidP="00CA3463">
      <w:pPr>
        <w:pStyle w:val="afff2"/>
        <w:spacing w:after="0"/>
        <w:rPr>
          <w:lang w:val="en-US"/>
        </w:rPr>
      </w:pPr>
      <w:r w:rsidRPr="008620D6">
        <w:rPr>
          <w:lang w:val="en-US"/>
        </w:rPr>
        <w:t xml:space="preserve">17. </w:t>
      </w:r>
      <w:r w:rsidRPr="008620D6">
        <w:rPr>
          <w:lang w:val="en-US"/>
        </w:rPr>
        <w:tab/>
        <w:t xml:space="preserve">Gomis R, Espadero RM, Jones R, Woerle HJ, Dugi KA. Efficacy and safety of initial combination therapy with linagliptin and pioglitazone in patients with inadequately controlled type 2 diabetes: a randomized, double-blind, placebo-controlled study. Diabetes Obes Metab. </w:t>
      </w:r>
      <w:r w:rsidRPr="008620D6">
        <w:t>июль</w:t>
      </w:r>
      <w:r w:rsidRPr="008620D6">
        <w:rPr>
          <w:lang w:val="en-US"/>
        </w:rPr>
        <w:t xml:space="preserve"> 2011 </w:t>
      </w:r>
      <w:r w:rsidRPr="008620D6">
        <w:t>г</w:t>
      </w:r>
      <w:r w:rsidRPr="008620D6">
        <w:rPr>
          <w:lang w:val="en-US"/>
        </w:rPr>
        <w:t xml:space="preserve">.;13(7):653–61. </w:t>
      </w:r>
    </w:p>
    <w:p w14:paraId="46310CBD" w14:textId="77777777" w:rsidR="004B1452" w:rsidRPr="008620D6" w:rsidRDefault="004B1452" w:rsidP="00CA3463">
      <w:pPr>
        <w:pStyle w:val="afff2"/>
        <w:spacing w:after="0"/>
        <w:rPr>
          <w:lang w:val="en-US"/>
        </w:rPr>
      </w:pPr>
      <w:r w:rsidRPr="008620D6">
        <w:rPr>
          <w:lang w:val="en-US"/>
        </w:rPr>
        <w:t xml:space="preserve">18. </w:t>
      </w:r>
      <w:r w:rsidRPr="008620D6">
        <w:rPr>
          <w:lang w:val="en-US"/>
        </w:rPr>
        <w:tab/>
        <w:t xml:space="preserve">Taskinen MR, Rosenstock J, Tamminen I, Kubiak R, Patel S, Dugi KA, </w:t>
      </w:r>
      <w:r w:rsidRPr="008620D6">
        <w:t>и</w:t>
      </w:r>
      <w:r w:rsidRPr="008620D6">
        <w:rPr>
          <w:lang w:val="en-US"/>
        </w:rPr>
        <w:t xml:space="preserve"> </w:t>
      </w:r>
      <w:r w:rsidRPr="008620D6">
        <w:t>др</w:t>
      </w:r>
      <w:r w:rsidRPr="008620D6">
        <w:rPr>
          <w:lang w:val="en-US"/>
        </w:rPr>
        <w:t xml:space="preserve">. Safety and efficacy of linagliptin as add-on therapy to metformin in patients with type 2 diabetes: a randomized, double-blind, placebo-controlled study. Diabetes Obes Metab. </w:t>
      </w:r>
      <w:r w:rsidRPr="008620D6">
        <w:t>январь</w:t>
      </w:r>
      <w:r w:rsidRPr="008620D6">
        <w:rPr>
          <w:lang w:val="en-US"/>
        </w:rPr>
        <w:t xml:space="preserve"> 2011 </w:t>
      </w:r>
      <w:r w:rsidRPr="008620D6">
        <w:t>г</w:t>
      </w:r>
      <w:r w:rsidRPr="008620D6">
        <w:rPr>
          <w:lang w:val="en-US"/>
        </w:rPr>
        <w:t xml:space="preserve">.;13(1):65–74. </w:t>
      </w:r>
    </w:p>
    <w:p w14:paraId="62C28C52" w14:textId="77777777" w:rsidR="004B1452" w:rsidRPr="008620D6" w:rsidRDefault="004B1452" w:rsidP="00CA3463">
      <w:pPr>
        <w:pStyle w:val="afff2"/>
        <w:spacing w:after="0"/>
        <w:rPr>
          <w:lang w:val="en-US"/>
        </w:rPr>
      </w:pPr>
      <w:r w:rsidRPr="008620D6">
        <w:rPr>
          <w:lang w:val="en-US"/>
        </w:rPr>
        <w:t xml:space="preserve">19. </w:t>
      </w:r>
      <w:r w:rsidRPr="008620D6">
        <w:rPr>
          <w:lang w:val="en-US"/>
        </w:rPr>
        <w:tab/>
        <w:t xml:space="preserve">Owens DR, Swallow R, Dugi KA, Woerle HJ. Efficacy and safety of linagliptin in persons with type 2 diabetes inadequately controlled by a combination of metformin and sulphonylurea: a 24-week randomized study. Diabet Med. </w:t>
      </w:r>
      <w:r w:rsidRPr="008620D6">
        <w:t>ноябрь</w:t>
      </w:r>
      <w:r w:rsidRPr="008620D6">
        <w:rPr>
          <w:lang w:val="en-US"/>
        </w:rPr>
        <w:t xml:space="preserve"> 2011 </w:t>
      </w:r>
      <w:r w:rsidRPr="008620D6">
        <w:t>г</w:t>
      </w:r>
      <w:r w:rsidRPr="008620D6">
        <w:rPr>
          <w:lang w:val="en-US"/>
        </w:rPr>
        <w:t xml:space="preserve">.;28(11):1352–61. </w:t>
      </w:r>
    </w:p>
    <w:p w14:paraId="5C8E0193" w14:textId="77777777" w:rsidR="004B1452" w:rsidRPr="008620D6" w:rsidRDefault="004B1452" w:rsidP="00CA3463">
      <w:pPr>
        <w:pStyle w:val="afff2"/>
        <w:spacing w:after="0"/>
        <w:rPr>
          <w:lang w:val="en-US"/>
        </w:rPr>
      </w:pPr>
      <w:r w:rsidRPr="008620D6">
        <w:rPr>
          <w:lang w:val="en-US"/>
        </w:rPr>
        <w:t xml:space="preserve">20. </w:t>
      </w:r>
      <w:r w:rsidRPr="008620D6">
        <w:rPr>
          <w:lang w:val="en-US"/>
        </w:rPr>
        <w:tab/>
        <w:t xml:space="preserve">Subrahmanyan NA, Koshy RM, Jacob K, Pappachan JM. Efficacy and Cardiovascular Safety of DPP-4 Inhibitors. Curr Drug Saf. 2021 </w:t>
      </w:r>
      <w:r w:rsidRPr="008620D6">
        <w:t>г</w:t>
      </w:r>
      <w:r w:rsidRPr="008620D6">
        <w:rPr>
          <w:lang w:val="en-US"/>
        </w:rPr>
        <w:t xml:space="preserve">.;16(2):154–64. </w:t>
      </w:r>
    </w:p>
    <w:p w14:paraId="4EDF51CC" w14:textId="77777777" w:rsidR="004B1452" w:rsidRPr="008620D6" w:rsidRDefault="004B1452" w:rsidP="00CA3463">
      <w:pPr>
        <w:pStyle w:val="afff2"/>
        <w:spacing w:after="0"/>
        <w:rPr>
          <w:lang w:val="en-US"/>
        </w:rPr>
      </w:pPr>
      <w:r w:rsidRPr="008620D6">
        <w:rPr>
          <w:lang w:val="en-US"/>
        </w:rPr>
        <w:t xml:space="preserve">21. </w:t>
      </w:r>
      <w:r w:rsidRPr="008620D6">
        <w:rPr>
          <w:lang w:val="en-US"/>
        </w:rPr>
        <w:tab/>
        <w:t xml:space="preserve">Scheen AJ. Safety of dipeptidyl peptidase-4 inhibitors for treating type 2 diabetes. Expert Opin Drug Saf. </w:t>
      </w:r>
      <w:r w:rsidRPr="008620D6">
        <w:t>апрель</w:t>
      </w:r>
      <w:r w:rsidRPr="008620D6">
        <w:rPr>
          <w:lang w:val="en-US"/>
        </w:rPr>
        <w:t xml:space="preserve"> 2015 </w:t>
      </w:r>
      <w:r w:rsidRPr="008620D6">
        <w:t>г</w:t>
      </w:r>
      <w:r w:rsidRPr="008620D6">
        <w:rPr>
          <w:lang w:val="en-US"/>
        </w:rPr>
        <w:t xml:space="preserve">.;14(4):505–24. </w:t>
      </w:r>
    </w:p>
    <w:p w14:paraId="597EE138" w14:textId="1D1E5DA0" w:rsidR="007F5E52" w:rsidRPr="007F5E52" w:rsidRDefault="004B1452" w:rsidP="007F5E52">
      <w:pPr>
        <w:pStyle w:val="afff2"/>
        <w:spacing w:after="0"/>
        <w:rPr>
          <w:lang w:val="en-US"/>
        </w:rPr>
      </w:pPr>
      <w:r w:rsidRPr="008620D6">
        <w:rPr>
          <w:lang w:val="en-US"/>
        </w:rPr>
        <w:t xml:space="preserve">22. </w:t>
      </w:r>
      <w:r w:rsidRPr="008620D6">
        <w:rPr>
          <w:lang w:val="en-US"/>
        </w:rPr>
        <w:tab/>
        <w:t xml:space="preserve">Australian government. Australian Public Assessment Report for Linagliptin. Proprietary Product Name: Trajenta Sponsor: Boehringer Ingleheim (Australia) Pty Ltd. 2011. </w:t>
      </w:r>
      <w:r>
        <w:fldChar w:fldCharType="end"/>
      </w:r>
    </w:p>
    <w:p w14:paraId="5B11A7BB" w14:textId="3639D570" w:rsidR="004B1452" w:rsidRPr="007F5E52" w:rsidRDefault="004B1452" w:rsidP="007F5E52">
      <w:pPr>
        <w:pStyle w:val="12"/>
        <w:tabs>
          <w:tab w:val="left" w:pos="142"/>
          <w:tab w:val="left" w:pos="284"/>
        </w:tabs>
        <w:spacing w:line="240" w:lineRule="auto"/>
      </w:pPr>
      <w:bookmarkStart w:id="264" w:name="_Toc139362017"/>
      <w:bookmarkEnd w:id="214"/>
      <w:r w:rsidRPr="007F5E52">
        <w:t>5. ОБСУЖДЕНИЕ ДАННЫХ И ИНСТРУКЦИИ ДЛЯ ИССЛЕДОВАТЕЛЯ</w:t>
      </w:r>
      <w:bookmarkEnd w:id="264"/>
    </w:p>
    <w:p w14:paraId="4F5CA49F" w14:textId="77777777" w:rsidR="004B1452" w:rsidRDefault="004B1452" w:rsidP="004B1452">
      <w:pPr>
        <w:pStyle w:val="2"/>
        <w:spacing w:line="240" w:lineRule="auto"/>
        <w:rPr>
          <w:color w:val="000000" w:themeColor="text1"/>
          <w:szCs w:val="24"/>
        </w:rPr>
      </w:pPr>
      <w:bookmarkStart w:id="265" w:name="_Toc139362018"/>
      <w:r w:rsidRPr="00095D49">
        <w:rPr>
          <w:color w:val="000000" w:themeColor="text1"/>
          <w:szCs w:val="24"/>
        </w:rPr>
        <w:t>5.1. Обсуждение данных доклинических исследований</w:t>
      </w:r>
      <w:bookmarkEnd w:id="265"/>
    </w:p>
    <w:p w14:paraId="7391D9F0" w14:textId="25071DC6" w:rsidR="001C08B7" w:rsidRDefault="001C08B7" w:rsidP="001C08B7">
      <w:pPr>
        <w:ind w:firstLine="709"/>
      </w:pPr>
      <w:bookmarkStart w:id="266" w:name="_Hlk484355353"/>
      <w:r>
        <w:rPr>
          <w:bCs/>
          <w:lang w:eastAsia="ru-RU"/>
        </w:rPr>
        <w:t xml:space="preserve">Так как препарат </w:t>
      </w:r>
      <w:r w:rsidRPr="002561BB">
        <w:rPr>
          <w:bCs/>
          <w:lang w:val="en-US" w:eastAsia="ru-RU"/>
        </w:rPr>
        <w:t>D</w:t>
      </w:r>
      <w:r w:rsidRPr="002561BB">
        <w:rPr>
          <w:lang w:val="en-US"/>
        </w:rPr>
        <w:t>T</w:t>
      </w:r>
      <w:r w:rsidRPr="002561BB">
        <w:t>-</w:t>
      </w:r>
      <w:r w:rsidRPr="002561BB">
        <w:rPr>
          <w:lang w:val="en-US"/>
        </w:rPr>
        <w:t>LNG</w:t>
      </w:r>
      <w:r>
        <w:t xml:space="preserve"> </w:t>
      </w:r>
      <w:r>
        <w:rPr>
          <w:bCs/>
          <w:lang w:eastAsia="ru-RU"/>
        </w:rPr>
        <w:t>(АО «Р-Фарм», Россия) представляет собой</w:t>
      </w:r>
      <w:r w:rsidRPr="002561BB">
        <w:rPr>
          <w:bCs/>
          <w:lang w:eastAsia="ru-RU"/>
        </w:rPr>
        <w:t xml:space="preserve"> воспроизведенный препарат линаглиптина, </w:t>
      </w:r>
      <w:r>
        <w:rPr>
          <w:bCs/>
          <w:lang w:eastAsia="ru-RU"/>
        </w:rPr>
        <w:t>который</w:t>
      </w:r>
      <w:r w:rsidRPr="002561BB">
        <w:rPr>
          <w:color w:val="000000"/>
        </w:rPr>
        <w:t xml:space="preserve"> полностью соответствует по качественному и количественному соста</w:t>
      </w:r>
      <w:r>
        <w:rPr>
          <w:color w:val="000000"/>
        </w:rPr>
        <w:t>ву действующего вещества и качест</w:t>
      </w:r>
      <w:r w:rsidRPr="002561BB">
        <w:rPr>
          <w:color w:val="000000"/>
        </w:rPr>
        <w:t xml:space="preserve">венному составу </w:t>
      </w:r>
      <w:r w:rsidRPr="004F5B1B">
        <w:rPr>
          <w:color w:val="000000"/>
        </w:rPr>
        <w:t xml:space="preserve">вспомогательных веществ, лекарственной форме и дозировке референтному препарату </w:t>
      </w:r>
      <w:r w:rsidRPr="00965A69">
        <w:rPr>
          <w:color w:val="000000"/>
        </w:rPr>
        <w:t xml:space="preserve">линаглиптина </w:t>
      </w:r>
      <w:r w:rsidRPr="00965A69">
        <w:t>Тражента</w:t>
      </w:r>
      <w:r w:rsidRPr="00965A69">
        <w:rPr>
          <w:vertAlign w:val="superscript"/>
          <w:lang w:eastAsia="ru-RU"/>
        </w:rPr>
        <w:t>®</w:t>
      </w:r>
      <w:r w:rsidRPr="00965A69">
        <w:rPr>
          <w:lang w:eastAsia="ru-RU"/>
        </w:rPr>
        <w:t>, таблетки, покрытыте пленочной оболочкой, 5 мг</w:t>
      </w:r>
      <w:r w:rsidRPr="00965A69">
        <w:rPr>
          <w:rFonts w:eastAsia="Calibri"/>
        </w:rPr>
        <w:t xml:space="preserve"> </w:t>
      </w:r>
      <w:r w:rsidRPr="00965A69">
        <w:rPr>
          <w:color w:val="000000"/>
        </w:rPr>
        <w:t>(</w:t>
      </w:r>
      <w:r w:rsidRPr="00965A69">
        <w:rPr>
          <w:rFonts w:eastAsia="Calibri"/>
          <w:bCs/>
        </w:rPr>
        <w:t>Берингер Ингельхайм Интернешнл ГмбХ, Германия</w:t>
      </w:r>
      <w:r w:rsidRPr="00965A69">
        <w:rPr>
          <w:color w:val="000000"/>
        </w:rPr>
        <w:t xml:space="preserve">), </w:t>
      </w:r>
      <w:r w:rsidRPr="00965A69">
        <w:t>ожидается, что его свойства</w:t>
      </w:r>
      <w:r w:rsidRPr="00965A69">
        <w:rPr>
          <w:rFonts w:eastAsia="Calibri"/>
        </w:rPr>
        <w:t xml:space="preserve"> будут идентичны свойствам оригинального препарата. </w:t>
      </w:r>
      <w:r w:rsidRPr="00965A69">
        <w:t xml:space="preserve">Для прогнозирования токсического </w:t>
      </w:r>
      <w:r>
        <w:t>действия</w:t>
      </w:r>
      <w:r w:rsidR="00AD5C28">
        <w:t>,</w:t>
      </w:r>
      <w:r w:rsidRPr="00965A69">
        <w:t xml:space="preserve"> планируемого к регистрации и коммерческому выпуску препарата </w:t>
      </w:r>
      <w:r w:rsidRPr="00965A69">
        <w:rPr>
          <w:lang w:val="en-US" w:eastAsia="ru-RU"/>
        </w:rPr>
        <w:t>D</w:t>
      </w:r>
      <w:r w:rsidRPr="00965A69">
        <w:rPr>
          <w:lang w:eastAsia="ru-RU"/>
        </w:rPr>
        <w:t>T-</w:t>
      </w:r>
      <w:r w:rsidRPr="00965A69">
        <w:rPr>
          <w:lang w:val="en-US" w:eastAsia="ru-RU"/>
        </w:rPr>
        <w:t>LNG</w:t>
      </w:r>
      <w:r w:rsidR="004922B8">
        <w:rPr>
          <w:lang w:eastAsia="ru-RU"/>
        </w:rPr>
        <w:t>,</w:t>
      </w:r>
      <w:r w:rsidRPr="00965A69">
        <w:rPr>
          <w:rFonts w:eastAsia="Calibri"/>
        </w:rPr>
        <w:t xml:space="preserve"> </w:t>
      </w:r>
      <w:r w:rsidRPr="00965A69">
        <w:t xml:space="preserve">были проанализированы данные исследований по изучению фармакологии и токсикологии оригинального препарата линаглиптина. Поскольку лекарственный препарат </w:t>
      </w:r>
      <w:r w:rsidRPr="00965A69">
        <w:rPr>
          <w:lang w:val="en-US" w:eastAsia="ru-RU"/>
        </w:rPr>
        <w:t>D</w:t>
      </w:r>
      <w:r w:rsidRPr="00965A69">
        <w:rPr>
          <w:lang w:eastAsia="ru-RU"/>
        </w:rPr>
        <w:t>T-</w:t>
      </w:r>
      <w:r w:rsidRPr="00965A69">
        <w:rPr>
          <w:lang w:val="en-US" w:eastAsia="ru-RU"/>
        </w:rPr>
        <w:t>LNG</w:t>
      </w:r>
      <w:r w:rsidRPr="00965A69">
        <w:rPr>
          <w:rFonts w:eastAsia="Calibri"/>
        </w:rPr>
        <w:t xml:space="preserve"> </w:t>
      </w:r>
      <w:r w:rsidRPr="00965A69">
        <w:t>является воспроизведенным препаратом</w:t>
      </w:r>
      <w:r w:rsidR="00304AD0">
        <w:t xml:space="preserve"> (при этом относится к классу </w:t>
      </w:r>
      <w:r w:rsidR="00304AD0">
        <w:rPr>
          <w:lang w:val="en-US"/>
        </w:rPr>
        <w:t>III</w:t>
      </w:r>
      <w:r w:rsidR="00304AD0" w:rsidRPr="00C239EE">
        <w:t xml:space="preserve"> </w:t>
      </w:r>
      <w:r w:rsidR="00304AD0">
        <w:t>по БКС)</w:t>
      </w:r>
      <w:r w:rsidRPr="00965A69">
        <w:t>, собственные доклинические исследования не проводились.</w:t>
      </w:r>
    </w:p>
    <w:p w14:paraId="20A094A5" w14:textId="77777777" w:rsidR="00A53415" w:rsidRDefault="00A53415" w:rsidP="00A53415">
      <w:pPr>
        <w:ind w:firstLine="709"/>
        <w:rPr>
          <w:bCs/>
          <w:color w:val="FF0000"/>
        </w:rPr>
      </w:pPr>
      <w:r w:rsidRPr="00AF7CFB">
        <w:rPr>
          <w:color w:val="000000" w:themeColor="text1"/>
        </w:rPr>
        <w:t xml:space="preserve">Для изучения </w:t>
      </w:r>
      <w:r w:rsidRPr="009C3181">
        <w:rPr>
          <w:bCs/>
        </w:rPr>
        <w:t>линаглиптин</w:t>
      </w:r>
      <w:r>
        <w:rPr>
          <w:color w:val="000000" w:themeColor="text1"/>
        </w:rPr>
        <w:t>а</w:t>
      </w:r>
      <w:r w:rsidRPr="009C3181">
        <w:rPr>
          <w:color w:val="000000" w:themeColor="text1"/>
        </w:rPr>
        <w:t xml:space="preserve"> </w:t>
      </w:r>
      <w:r w:rsidRPr="00AF7CFB">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AF7CFB">
        <w:rPr>
          <w:i/>
          <w:iCs/>
          <w:color w:val="000000" w:themeColor="text1"/>
        </w:rPr>
        <w:t>in vitro</w:t>
      </w:r>
      <w:r w:rsidRPr="00AF7CFB">
        <w:rPr>
          <w:color w:val="000000" w:themeColor="text1"/>
        </w:rPr>
        <w:t xml:space="preserve">, так и </w:t>
      </w:r>
      <w:r w:rsidRPr="00AF7CFB">
        <w:rPr>
          <w:i/>
          <w:iCs/>
          <w:color w:val="000000" w:themeColor="text1"/>
        </w:rPr>
        <w:t>in vivo</w:t>
      </w:r>
      <w:r w:rsidRPr="00AF7CFB">
        <w:rPr>
          <w:color w:val="000000" w:themeColor="text1"/>
        </w:rPr>
        <w:t xml:space="preserve">, в результате которых были хорошо изучены фармакодинамические, фармакокинетические и токсикологические свойства </w:t>
      </w:r>
      <w:r w:rsidRPr="009C3181">
        <w:rPr>
          <w:bCs/>
        </w:rPr>
        <w:t>линаглиптина.</w:t>
      </w:r>
    </w:p>
    <w:p w14:paraId="4B734E1D" w14:textId="77777777" w:rsidR="00A53415" w:rsidRDefault="00A53415" w:rsidP="00A53415">
      <w:pPr>
        <w:ind w:firstLine="709"/>
      </w:pPr>
      <w:r w:rsidRPr="009F43BF">
        <w:t xml:space="preserve">При </w:t>
      </w:r>
      <w:r w:rsidRPr="00F1363D">
        <w:t xml:space="preserve">изучении </w:t>
      </w:r>
      <w:r w:rsidRPr="00F1363D">
        <w:rPr>
          <w:bCs/>
        </w:rPr>
        <w:t>первичной фармакодинамики</w:t>
      </w:r>
      <w:r w:rsidRPr="00F1363D">
        <w:t xml:space="preserve"> </w:t>
      </w:r>
      <w:r w:rsidRPr="00F1363D">
        <w:rPr>
          <w:bCs/>
          <w:i/>
          <w:iCs/>
        </w:rPr>
        <w:t>in vitro</w:t>
      </w:r>
      <w:r w:rsidRPr="00F1363D">
        <w:t xml:space="preserve"> </w:t>
      </w:r>
      <w:r>
        <w:t xml:space="preserve">установлено, что линаглиптин является высокоэффективным, конкурентным, обратимым ингибитором ДПП-4. Высокая эффективность была показана </w:t>
      </w:r>
      <w:r w:rsidRPr="00A172B6">
        <w:rPr>
          <w:i/>
          <w:iCs/>
        </w:rPr>
        <w:t>in vitro</w:t>
      </w:r>
      <w:r>
        <w:t xml:space="preserve"> в экстрактах клеток CaCo-2 человека, при этом полумаксимальное ингибирование (IC</w:t>
      </w:r>
      <w:r w:rsidRPr="00A0598A">
        <w:rPr>
          <w:vertAlign w:val="subscript"/>
        </w:rPr>
        <w:t>50</w:t>
      </w:r>
      <w:r>
        <w:t xml:space="preserve">) линаглиптина составило 1 нМ. Эффективность </w:t>
      </w:r>
      <w:r>
        <w:lastRenderedPageBreak/>
        <w:t>также была показана в плазме крови человека, при этом IC</w:t>
      </w:r>
      <w:r w:rsidRPr="00A0598A">
        <w:rPr>
          <w:vertAlign w:val="subscript"/>
        </w:rPr>
        <w:t>50</w:t>
      </w:r>
      <w:r>
        <w:t xml:space="preserve"> линаглиптина составил 3,6 нМ. Линаглиптин ингибирует ДПП-4 у нескольких видов животных, при этом IC</w:t>
      </w:r>
      <w:r w:rsidRPr="00A172B6">
        <w:rPr>
          <w:vertAlign w:val="subscript"/>
        </w:rPr>
        <w:t>50</w:t>
      </w:r>
      <w:r>
        <w:t xml:space="preserve"> составил 6,8, 10,2 и 10,4 нМ у крыс, мышей и собак, соответственно. </w:t>
      </w:r>
    </w:p>
    <w:p w14:paraId="21889603" w14:textId="77777777" w:rsidR="00A53415" w:rsidRDefault="00A53415" w:rsidP="00A53415">
      <w:pPr>
        <w:ind w:firstLine="709"/>
      </w:pPr>
      <w:r>
        <w:t xml:space="preserve">Линаглиптин обладает высоким сродством к белку ДПП-4. Высокая аффинность к ДПП-4 влияет на фармакокинетику линаглиптина и на зависимое от концентрации ингибирование ДПП-4. Моделирование и исследования связывания показали, что константа сродства связывания с ДПП-4 составляет 231 пМ, насыщение связывания отмечается при приблизительно 1 нМ линаглиптина. ДПП-4 определялся в плазме крови при концентрации приблизительно 5 нМ. </w:t>
      </w:r>
    </w:p>
    <w:p w14:paraId="0FEFC503" w14:textId="77777777" w:rsidR="00A53415" w:rsidRDefault="00A53415" w:rsidP="00A53415">
      <w:pPr>
        <w:ind w:firstLine="709"/>
      </w:pPr>
      <w:r w:rsidRPr="001F057F">
        <w:rPr>
          <w:bCs/>
        </w:rPr>
        <w:t xml:space="preserve">Первичную фармакодинамику </w:t>
      </w:r>
      <w:r w:rsidRPr="001F057F">
        <w:rPr>
          <w:bCs/>
          <w:i/>
          <w:iCs/>
        </w:rPr>
        <w:t>in vivo</w:t>
      </w:r>
      <w:r>
        <w:t xml:space="preserve"> линаглиптина оценивали на различных экспериментальных моделях животных. Было оценено влияние линаглиптина на уровень глюкозы в крови здоровых животных и животных с СД. </w:t>
      </w:r>
    </w:p>
    <w:p w14:paraId="7C65C859" w14:textId="77777777" w:rsidR="00A53415" w:rsidRDefault="00A53415" w:rsidP="00A53415">
      <w:pPr>
        <w:ind w:firstLine="709"/>
      </w:pPr>
      <w:r>
        <w:t xml:space="preserve">При оценке влияния линаглиптина на уровень глюкозы в крови здоровых крыс, собак и обезьян установлено, что эффект снижения уровня глюкозы в крови ожидается при примерно 80% ингибировании </w:t>
      </w:r>
      <w:r w:rsidRPr="00DB6987">
        <w:t>ДПП-4</w:t>
      </w:r>
      <w:r>
        <w:t xml:space="preserve">. Ингибирование </w:t>
      </w:r>
      <w:r w:rsidRPr="00DB6987">
        <w:t>ДПП-4</w:t>
      </w:r>
      <w:r>
        <w:t xml:space="preserve"> </w:t>
      </w:r>
      <w:r w:rsidRPr="00987CD0">
        <w:rPr>
          <w:i/>
          <w:iCs/>
        </w:rPr>
        <w:t>in viv</w:t>
      </w:r>
      <w:r>
        <w:t xml:space="preserve">o происходило быстро, в течение 30 минут после перорального приема линаглиптина на модели здоровых крыс, собак и обезьян. Эффективное ингибирование </w:t>
      </w:r>
      <w:r w:rsidRPr="00DB6987">
        <w:t>ДПП-4</w:t>
      </w:r>
      <w:r>
        <w:t xml:space="preserve"> развивалось в течение ≥ 7 ч после однократного перорального приема линаглиптина у крыс (0,26 мг/кг), собак (1 мг/кг) и макак-резусов (1 мг/кг). Несколько более высокие дозы приводили к ингибированию </w:t>
      </w:r>
      <w:r w:rsidRPr="00DB6987">
        <w:t>ДПП-4</w:t>
      </w:r>
      <w:r>
        <w:t xml:space="preserve"> в течение 24 ч (например, 0,69 мг/кг у крыс). </w:t>
      </w:r>
    </w:p>
    <w:p w14:paraId="67C3EA60" w14:textId="77777777" w:rsidR="00A53415" w:rsidRDefault="00A53415" w:rsidP="00A53415">
      <w:pPr>
        <w:ind w:firstLine="709"/>
      </w:pPr>
      <w:r>
        <w:t xml:space="preserve">Аналогичное ингибирование </w:t>
      </w:r>
      <w:r w:rsidRPr="00DB6987">
        <w:t>ДПП-4</w:t>
      </w:r>
      <w:r>
        <w:t xml:space="preserve"> </w:t>
      </w:r>
      <w:r w:rsidRPr="0031677C">
        <w:rPr>
          <w:i/>
          <w:iCs/>
        </w:rPr>
        <w:t>in vivo</w:t>
      </w:r>
      <w:r>
        <w:t xml:space="preserve"> наблюдалось у животных с экспериментальным диабетом, например, ≥ 70% ингибирование у крыс Zucker Fatty (fa/fa) в течение 20 мин после введения 1 мг/кг линаглиптина через желудочный зонд.</w:t>
      </w:r>
    </w:p>
    <w:p w14:paraId="62036261" w14:textId="77777777" w:rsidR="00A53415" w:rsidRDefault="00A53415" w:rsidP="00A53415">
      <w:pPr>
        <w:ind w:firstLine="709"/>
      </w:pPr>
      <w:r>
        <w:t xml:space="preserve">Эффект снижения уровня глюкозы при лечении линаглиптином был продемонстрирован </w:t>
      </w:r>
      <w:r w:rsidRPr="00BB3E21">
        <w:rPr>
          <w:i/>
          <w:iCs/>
        </w:rPr>
        <w:t>in vivo</w:t>
      </w:r>
      <w:r>
        <w:t xml:space="preserve">. Ингибирование у крыс </w:t>
      </w:r>
      <w:r w:rsidRPr="00DB6987">
        <w:t>ДПП-4</w:t>
      </w:r>
      <w:r>
        <w:t xml:space="preserve"> наступает через 0,5 часа после введения линаглиптина, устойчивое ингибирование наступает через 7 ч после введения дозы и продолжается до 24 ч после введения в эффективных дозах. Исследования на собаках и макаках-резусах показали, что ингибирование </w:t>
      </w:r>
      <w:r w:rsidRPr="00DB6987">
        <w:t>ДПП-4</w:t>
      </w:r>
      <w:r>
        <w:t xml:space="preserve"> после однократного введения линаглиптина через желудочный зонд продолжается до 48 часов у собак и до 72 часов у обезьян.</w:t>
      </w:r>
    </w:p>
    <w:p w14:paraId="36E20698" w14:textId="77777777" w:rsidR="00A53415" w:rsidRPr="00D15235" w:rsidRDefault="00A53415" w:rsidP="00A53415">
      <w:pPr>
        <w:ind w:firstLine="709"/>
      </w:pPr>
      <w:r w:rsidRPr="0070277A">
        <w:rPr>
          <w:bCs/>
        </w:rPr>
        <w:t>Фармакокинетика</w:t>
      </w:r>
      <w:r w:rsidRPr="00D36158">
        <w:t xml:space="preserve"> линаглиптина оценивалась </w:t>
      </w:r>
      <w:r w:rsidRPr="00D36158">
        <w:rPr>
          <w:i/>
          <w:iCs/>
        </w:rPr>
        <w:t>in vivo</w:t>
      </w:r>
      <w:r w:rsidRPr="00D36158">
        <w:t xml:space="preserve"> после перорального введения у мышей, крыс, собак и обезьян. </w:t>
      </w:r>
      <w:r w:rsidRPr="00D15235">
        <w:t>Линаглиптин быстро всасывается после перорального приема, максимальная концентрация в плазме (T</w:t>
      </w:r>
      <w:r w:rsidRPr="00705C41">
        <w:rPr>
          <w:vertAlign w:val="subscript"/>
        </w:rPr>
        <w:t>max</w:t>
      </w:r>
      <w:r w:rsidRPr="00D15235">
        <w:t>) обычно достигается через 30-60 минут после приема</w:t>
      </w:r>
      <w:r>
        <w:t xml:space="preserve"> у экспериментальных животных (мыши, крысы, собаки и обезьяны), </w:t>
      </w:r>
      <w:r w:rsidRPr="00D15235">
        <w:t>T</w:t>
      </w:r>
      <w:r w:rsidRPr="00705C41">
        <w:rPr>
          <w:vertAlign w:val="subscript"/>
        </w:rPr>
        <w:t>max</w:t>
      </w:r>
      <w:r w:rsidRPr="00D15235">
        <w:t xml:space="preserve"> = 1,5 часа у людей. Двухфазная абсорбция наблюдалась у крыс после однократного перорального приема с быстрым достижением T</w:t>
      </w:r>
      <w:r w:rsidRPr="00D36158">
        <w:rPr>
          <w:vertAlign w:val="subscript"/>
        </w:rPr>
        <w:t>max</w:t>
      </w:r>
      <w:r w:rsidRPr="00D15235">
        <w:t xml:space="preserve"> в плазме через 30 минут, за которым последовал второй, более низкий пик в плазме через 4 часа после приема </w:t>
      </w:r>
      <w:r>
        <w:t>л</w:t>
      </w:r>
      <w:r w:rsidRPr="00D15235">
        <w:t>инаглиптин</w:t>
      </w:r>
      <w:r>
        <w:t>а</w:t>
      </w:r>
      <w:r w:rsidRPr="00D15235">
        <w:t xml:space="preserve">. Двухфазная абсорбция не наблюдалась после многократного приема. Пероральная биодоступность варьировалась от 18% до 69% у разных видов </w:t>
      </w:r>
      <w:r>
        <w:t>животных.</w:t>
      </w:r>
      <w:r w:rsidRPr="00D15235">
        <w:t xml:space="preserve"> </w:t>
      </w:r>
    </w:p>
    <w:p w14:paraId="1823C984" w14:textId="77777777" w:rsidR="00A53415" w:rsidRDefault="00A53415" w:rsidP="00A53415">
      <w:pPr>
        <w:ind w:firstLine="709"/>
      </w:pPr>
      <w:r w:rsidRPr="00D15235">
        <w:t xml:space="preserve">Время </w:t>
      </w:r>
      <w:r>
        <w:t>полувыведения</w:t>
      </w:r>
      <w:r w:rsidRPr="00D15235">
        <w:t xml:space="preserve"> (</w:t>
      </w:r>
      <w:r>
        <w:rPr>
          <w:lang w:val="en-US"/>
        </w:rPr>
        <w:t>T</w:t>
      </w:r>
      <w:r w:rsidRPr="003C6D2C">
        <w:rPr>
          <w:vertAlign w:val="subscript"/>
        </w:rPr>
        <w:t>1/2</w:t>
      </w:r>
      <w:r w:rsidRPr="00D15235">
        <w:t>) в плазме также было высоким у всех видов</w:t>
      </w:r>
      <w:r>
        <w:t xml:space="preserve"> животных</w:t>
      </w:r>
      <w:r w:rsidRPr="00D15235">
        <w:t xml:space="preserve">, начиная с минимального </w:t>
      </w:r>
      <w:r>
        <w:rPr>
          <w:lang w:val="en-US"/>
        </w:rPr>
        <w:t>T</w:t>
      </w:r>
      <w:r w:rsidRPr="003C6D2C">
        <w:rPr>
          <w:vertAlign w:val="subscript"/>
        </w:rPr>
        <w:t>1/2</w:t>
      </w:r>
      <w:r>
        <w:rPr>
          <w:vertAlign w:val="subscript"/>
        </w:rPr>
        <w:t xml:space="preserve"> </w:t>
      </w:r>
      <w:r w:rsidRPr="00D15235">
        <w:t xml:space="preserve">10-12 часов после </w:t>
      </w:r>
      <w:r>
        <w:t>введения</w:t>
      </w:r>
      <w:r w:rsidRPr="00D15235">
        <w:t xml:space="preserve"> высокой дозы</w:t>
      </w:r>
      <w:r>
        <w:t xml:space="preserve"> </w:t>
      </w:r>
      <w:r w:rsidRPr="00D15235">
        <w:t>у кроликов и крыс и до 131 час</w:t>
      </w:r>
      <w:r>
        <w:t>ов</w:t>
      </w:r>
      <w:r w:rsidRPr="00D15235">
        <w:t xml:space="preserve"> у людей</w:t>
      </w:r>
      <w:r>
        <w:t>.</w:t>
      </w:r>
    </w:p>
    <w:p w14:paraId="2FF68DB1" w14:textId="77777777" w:rsidR="00A53415" w:rsidRDefault="00A53415" w:rsidP="00A53415">
      <w:pPr>
        <w:ind w:firstLine="709"/>
      </w:pPr>
      <w:r>
        <w:t xml:space="preserve">Метаболизм линаглиптина изучался в нескольких специальных исследованиях. Уровень метаболизма линаглиптина </w:t>
      </w:r>
      <w:r w:rsidRPr="00E40FF5">
        <w:rPr>
          <w:i/>
          <w:iCs/>
        </w:rPr>
        <w:t>in vitro</w:t>
      </w:r>
      <w:r w:rsidRPr="009E45B3">
        <w:t xml:space="preserve"> в печени человека</w:t>
      </w:r>
      <w:r>
        <w:t xml:space="preserve">, </w:t>
      </w:r>
      <w:r w:rsidRPr="009E45B3">
        <w:t>микросом</w:t>
      </w:r>
      <w:r>
        <w:t>ах</w:t>
      </w:r>
      <w:r w:rsidRPr="009E45B3">
        <w:t xml:space="preserve"> почек и гепатоцит</w:t>
      </w:r>
      <w:r>
        <w:t>ах</w:t>
      </w:r>
      <w:r w:rsidRPr="009E45B3">
        <w:t xml:space="preserve"> человека был очень низким (менее 2% метаболизма после</w:t>
      </w:r>
      <w:r>
        <w:t xml:space="preserve"> 90 минут), CYP3A4 является преобладающим метаболизирующим ферментом. </w:t>
      </w:r>
    </w:p>
    <w:p w14:paraId="20A696BF" w14:textId="77777777" w:rsidR="00A53415" w:rsidRDefault="00A53415" w:rsidP="00A53415">
      <w:pPr>
        <w:ind w:firstLine="709"/>
      </w:pPr>
      <w:r>
        <w:t xml:space="preserve">Линаглиптин в целом хорошо переносился здоровыми животными и животными с диабетом. Необратимая и/или неконтролируемая токсичность возникала только при очень </w:t>
      </w:r>
      <w:r>
        <w:lastRenderedPageBreak/>
        <w:t xml:space="preserve">высоких дозах, достигавших 50 </w:t>
      </w:r>
      <w:r w:rsidRPr="00543150">
        <w:t>кратно</w:t>
      </w:r>
      <w:r>
        <w:t>го</w:t>
      </w:r>
      <w:r w:rsidRPr="00543150">
        <w:t xml:space="preserve"> увеличени</w:t>
      </w:r>
      <w:r>
        <w:t>я</w:t>
      </w:r>
      <w:r w:rsidRPr="00543150">
        <w:t xml:space="preserve"> максимально рекомендованной дозы человека</w:t>
      </w:r>
      <w:r>
        <w:t>.</w:t>
      </w:r>
      <w:r w:rsidRPr="00543150">
        <w:t xml:space="preserve"> </w:t>
      </w:r>
      <w:r>
        <w:t xml:space="preserve">Реакция гиперчувствительности по типу псевдоаллергии наблюдалась у собак и у обезьян только после внутривенного введения при чрезвычайно высокой экспозиции кратные (&gt;600 </w:t>
      </w:r>
      <w:r w:rsidRPr="00543150">
        <w:t>кратно</w:t>
      </w:r>
      <w:r>
        <w:t>го</w:t>
      </w:r>
      <w:r w:rsidRPr="00543150">
        <w:t xml:space="preserve"> увеличени</w:t>
      </w:r>
      <w:r>
        <w:t>я</w:t>
      </w:r>
      <w:r w:rsidRPr="00543150">
        <w:t xml:space="preserve"> максимально рекомендованной дозы человека</w:t>
      </w:r>
      <w:r>
        <w:t>). Органы-мишени – почки, печень, легкие, желудок.</w:t>
      </w:r>
    </w:p>
    <w:p w14:paraId="31F1CFE4" w14:textId="77777777" w:rsidR="00A53415" w:rsidRDefault="00A53415" w:rsidP="00A53415">
      <w:pPr>
        <w:ind w:firstLine="709"/>
      </w:pPr>
      <w:r>
        <w:t xml:space="preserve">Линаглиптин </w:t>
      </w:r>
      <w:r w:rsidRPr="003B3424">
        <w:t>и</w:t>
      </w:r>
      <w:r>
        <w:t xml:space="preserve"> его метаболит CD 1750 не показали признаков генотоксичности в стандартной батарее тестов по изучению генотоксичности. </w:t>
      </w:r>
      <w:r w:rsidRPr="00F70097">
        <w:rPr>
          <w:bCs/>
        </w:rPr>
        <w:t>Канцерогенный потенциал</w:t>
      </w:r>
      <w:r w:rsidRPr="00F70097">
        <w:t xml:space="preserve"> линаглиптина</w:t>
      </w:r>
      <w:r>
        <w:t xml:space="preserve"> при пероральном введении изучался в двухгодичных исследованиях у мышей и крыс. Не наблюдалось дозозависимого или статистически значимого увеличения частоты возникновения опухолей в исследовании крыс. Таким образом, NOAEL для опухолей, связанных с введением линаглиптина, равно 80 и 60 мг/кг/день перорально у мышей и крыс, соответственно. </w:t>
      </w:r>
    </w:p>
    <w:p w14:paraId="24C121A4" w14:textId="77777777" w:rsidR="00A53415" w:rsidRDefault="00A53415" w:rsidP="00A53415">
      <w:pPr>
        <w:ind w:firstLine="709"/>
      </w:pPr>
      <w:r>
        <w:t>NOAEL (д</w:t>
      </w:r>
      <w:r w:rsidRPr="00923E2B">
        <w:t>оза, не оказывающая видимого нежелательного эффекта</w:t>
      </w:r>
      <w:r>
        <w:t xml:space="preserve">) для </w:t>
      </w:r>
      <w:r w:rsidRPr="00F70097">
        <w:rPr>
          <w:bCs/>
        </w:rPr>
        <w:t>репродуктивной и ранней эмбриофетальной</w:t>
      </w:r>
      <w:r>
        <w:t xml:space="preserve"> токсичности у крыс был &gt; 240 мг/кг/</w:t>
      </w:r>
      <w:r w:rsidRPr="00D37B19">
        <w:t xml:space="preserve"> </w:t>
      </w:r>
      <w:r>
        <w:t>сутки. При дозе 240 мг/кг/</w:t>
      </w:r>
      <w:r w:rsidRPr="00D37B19">
        <w:t xml:space="preserve"> </w:t>
      </w:r>
      <w:r>
        <w:t>сутки</w:t>
      </w:r>
      <w:r w:rsidRPr="00D21625">
        <w:t xml:space="preserve"> </w:t>
      </w:r>
      <w:r>
        <w:t xml:space="preserve">наблюдались признаки легкой токсичности у половозрелых самцов и самок крыс, характеризующиеся значительным снижением прибавки массы тела и снижение потребления пищи по сравнению с контролем. При исследовании влияния </w:t>
      </w:r>
      <w:r w:rsidRPr="00D21625">
        <w:t>линаглиптин</w:t>
      </w:r>
      <w:r>
        <w:t>а</w:t>
      </w:r>
      <w:r w:rsidRPr="00D21625">
        <w:t xml:space="preserve"> </w:t>
      </w:r>
      <w:r>
        <w:t xml:space="preserve">на развитие эмбриона и плода у крыс, </w:t>
      </w:r>
      <w:r w:rsidRPr="00D21625">
        <w:t xml:space="preserve">линаглиптин вводили перорально один раз в </w:t>
      </w:r>
      <w:r>
        <w:t>сутки</w:t>
      </w:r>
      <w:r w:rsidRPr="00D21625">
        <w:t xml:space="preserve"> через желудочный зонд </w:t>
      </w:r>
      <w:r>
        <w:t>в дозах 10, 30, 240 мг/кг/сутки. NOAEL (материнский) = 25 мг/кг (78 кратное увеличении максимально</w:t>
      </w:r>
      <w:r w:rsidRPr="00093E95">
        <w:t xml:space="preserve"> </w:t>
      </w:r>
      <w:r>
        <w:t>рекомендованной дозы человека). Определение NOAEL для материнской токсичности было основан на 39% снижении прибавки массы тела по сравнению с контрольной группой на 28-й день беременности и снижение потребление пищи в период приема препарата при дозе 150 мг/кг/день. NOAEL (фетальный) = 150 мг/кг (пороки развития плода 200</w:t>
      </w:r>
      <w:r w:rsidRPr="004B1C8B">
        <w:t xml:space="preserve"> </w:t>
      </w:r>
      <w:r>
        <w:t>кратном увеличении максимально</w:t>
      </w:r>
      <w:r w:rsidRPr="00093E95">
        <w:t xml:space="preserve"> </w:t>
      </w:r>
      <w:r>
        <w:t xml:space="preserve">рекомендованной дозы человека). Определение NOAEL для фетальной токсичности было основано на выявлении повышенная частота внутриутробных вариаций малого желчного пузыря/гипоплазии желчного пузыря). </w:t>
      </w:r>
    </w:p>
    <w:p w14:paraId="35B752FC" w14:textId="77777777" w:rsidR="00A53415" w:rsidRDefault="00A53415" w:rsidP="00A53415">
      <w:pPr>
        <w:ind w:firstLine="709"/>
      </w:pPr>
      <w:r>
        <w:t>Введение крысам во время беременности (F0), в период внутриутробного развития и в период лактации (F1) 300 мг/кг линаглиптина (&gt; 1000 кратное увеличении максимально</w:t>
      </w:r>
      <w:r w:rsidRPr="00093E95">
        <w:t xml:space="preserve"> </w:t>
      </w:r>
      <w:r>
        <w:t>рекомендованной дозы человека) приводили к задержке роста и развития потомства в исследовании. Вес потомства (F1) был низким при рождении и оставался ниже, чем в контрольной группе. Потомство (F1) также имели умеренные задержки в физическом развитии, обучении/памяти, физической активность/исследовательском поведении и в количестве жизнеспособного потомства (F2) после спаривания.</w:t>
      </w:r>
    </w:p>
    <w:p w14:paraId="3556CCEC" w14:textId="44456819" w:rsidR="0009226D" w:rsidRDefault="0009226D" w:rsidP="00A53415">
      <w:pPr>
        <w:ind w:firstLine="709"/>
      </w:pPr>
      <w:r>
        <w:t xml:space="preserve">Таким образом, при доклиническом изучении препарата линаглиптин было выяснено, что линаглиптин в целом хорошо переносился здоровыми животными и животными с диабетом. Необратимая и/или неконтролируемая токсичность возникала только при очень высоких дозах, достигавших 50 </w:t>
      </w:r>
      <w:r w:rsidRPr="00543150">
        <w:t>кратно</w:t>
      </w:r>
      <w:r>
        <w:t>го</w:t>
      </w:r>
      <w:r w:rsidRPr="00543150">
        <w:t xml:space="preserve"> увеличени</w:t>
      </w:r>
      <w:r>
        <w:t>я</w:t>
      </w:r>
      <w:r w:rsidRPr="00543150">
        <w:t xml:space="preserve"> максимально рекомендованной дозы человека</w:t>
      </w:r>
      <w:r w:rsidR="00B2585B">
        <w:t xml:space="preserve">, линаглиптин не обладает </w:t>
      </w:r>
      <w:r w:rsidR="008200B5">
        <w:t>генотоксическими</w:t>
      </w:r>
      <w:r w:rsidR="00B2585B">
        <w:t xml:space="preserve"> и канцерогенными свойствами</w:t>
      </w:r>
      <w:r w:rsidR="00496F99">
        <w:t>.</w:t>
      </w:r>
    </w:p>
    <w:p w14:paraId="09450E6B" w14:textId="5A722F0A" w:rsidR="004B1452" w:rsidRDefault="004B1452" w:rsidP="004B1452">
      <w:pPr>
        <w:pStyle w:val="2"/>
        <w:spacing w:line="240" w:lineRule="auto"/>
        <w:rPr>
          <w:color w:val="000000" w:themeColor="text1"/>
          <w:szCs w:val="24"/>
        </w:rPr>
      </w:pPr>
      <w:bookmarkStart w:id="267" w:name="_Toc139362019"/>
      <w:r w:rsidRPr="00F37EE0">
        <w:rPr>
          <w:color w:val="000000" w:themeColor="text1"/>
          <w:szCs w:val="24"/>
        </w:rPr>
        <w:t>5.2. Обсуждение данных клинических исследований</w:t>
      </w:r>
      <w:bookmarkEnd w:id="267"/>
    </w:p>
    <w:p w14:paraId="2A6ECE73" w14:textId="4256C9DC" w:rsidR="00304AD0" w:rsidRPr="00304AD0" w:rsidRDefault="00304AD0" w:rsidP="00304AD0">
      <w:pPr>
        <w:ind w:firstLine="709"/>
      </w:pPr>
      <w:bookmarkStart w:id="268" w:name="_Hlk484365438"/>
      <w:bookmarkStart w:id="269" w:name="_Hlk484354093"/>
      <w:bookmarkStart w:id="270" w:name="_Hlk484365465"/>
      <w:bookmarkStart w:id="271" w:name="_Toc301482877"/>
      <w:bookmarkStart w:id="272" w:name="_Toc298775567"/>
      <w:bookmarkEnd w:id="266"/>
      <w:r>
        <w:rPr>
          <w:bCs/>
          <w:lang w:eastAsia="ru-RU"/>
        </w:rPr>
        <w:t xml:space="preserve">Так как препарат </w:t>
      </w:r>
      <w:r w:rsidRPr="002561BB">
        <w:rPr>
          <w:bCs/>
          <w:lang w:val="en-US" w:eastAsia="ru-RU"/>
        </w:rPr>
        <w:t>D</w:t>
      </w:r>
      <w:r w:rsidRPr="002561BB">
        <w:rPr>
          <w:lang w:val="en-US"/>
        </w:rPr>
        <w:t>T</w:t>
      </w:r>
      <w:r w:rsidRPr="002561BB">
        <w:t>-</w:t>
      </w:r>
      <w:r w:rsidRPr="002561BB">
        <w:rPr>
          <w:lang w:val="en-US"/>
        </w:rPr>
        <w:t>LNG</w:t>
      </w:r>
      <w:r>
        <w:t xml:space="preserve"> </w:t>
      </w:r>
      <w:r>
        <w:rPr>
          <w:bCs/>
          <w:lang w:eastAsia="ru-RU"/>
        </w:rPr>
        <w:t>(АО «Р-Фарм», Россия) представляет собой</w:t>
      </w:r>
      <w:r w:rsidRPr="002561BB">
        <w:rPr>
          <w:bCs/>
          <w:lang w:eastAsia="ru-RU"/>
        </w:rPr>
        <w:t xml:space="preserve"> воспроизведенный препарат линаглиптина, </w:t>
      </w:r>
      <w:r>
        <w:rPr>
          <w:bCs/>
          <w:lang w:eastAsia="ru-RU"/>
        </w:rPr>
        <w:t>который</w:t>
      </w:r>
      <w:r w:rsidRPr="002561BB">
        <w:rPr>
          <w:color w:val="000000"/>
        </w:rPr>
        <w:t xml:space="preserve"> полностью соответствует по качественному и количественному соста</w:t>
      </w:r>
      <w:r>
        <w:rPr>
          <w:color w:val="000000"/>
        </w:rPr>
        <w:t>ву действующего вещества и качест</w:t>
      </w:r>
      <w:r w:rsidRPr="002561BB">
        <w:rPr>
          <w:color w:val="000000"/>
        </w:rPr>
        <w:t xml:space="preserve">венному составу </w:t>
      </w:r>
      <w:r w:rsidRPr="004F5B1B">
        <w:rPr>
          <w:color w:val="000000"/>
        </w:rPr>
        <w:t xml:space="preserve">вспомогательных веществ, лекарственной форме и дозировке референтному препарату </w:t>
      </w:r>
      <w:r w:rsidRPr="00965A69">
        <w:rPr>
          <w:color w:val="000000"/>
        </w:rPr>
        <w:t xml:space="preserve">линаглиптина </w:t>
      </w:r>
      <w:r w:rsidRPr="00965A69">
        <w:t>Тражента</w:t>
      </w:r>
      <w:r w:rsidRPr="00965A69">
        <w:rPr>
          <w:vertAlign w:val="superscript"/>
          <w:lang w:eastAsia="ru-RU"/>
        </w:rPr>
        <w:t>®</w:t>
      </w:r>
      <w:r w:rsidR="00F57CDD">
        <w:rPr>
          <w:lang w:eastAsia="ru-RU"/>
        </w:rPr>
        <w:t>, таблетки, покрытые</w:t>
      </w:r>
      <w:r w:rsidRPr="00965A69">
        <w:rPr>
          <w:lang w:eastAsia="ru-RU"/>
        </w:rPr>
        <w:t xml:space="preserve"> пленочной оболочкой, 5 мг</w:t>
      </w:r>
      <w:r w:rsidRPr="00965A69">
        <w:rPr>
          <w:rFonts w:eastAsia="Calibri"/>
        </w:rPr>
        <w:t xml:space="preserve"> </w:t>
      </w:r>
      <w:r w:rsidRPr="00965A69">
        <w:rPr>
          <w:color w:val="000000"/>
        </w:rPr>
        <w:lastRenderedPageBreak/>
        <w:t>(</w:t>
      </w:r>
      <w:r w:rsidRPr="00965A69">
        <w:rPr>
          <w:rFonts w:eastAsia="Calibri"/>
          <w:bCs/>
        </w:rPr>
        <w:t>Берингер Ингельхайм Интернешнл ГмбХ, Германия</w:t>
      </w:r>
      <w:r w:rsidRPr="00965A69">
        <w:rPr>
          <w:color w:val="000000"/>
        </w:rPr>
        <w:t xml:space="preserve">), </w:t>
      </w:r>
      <w:r w:rsidRPr="00965A69">
        <w:t>ожидается, что его свойства</w:t>
      </w:r>
      <w:r w:rsidRPr="00965A69">
        <w:rPr>
          <w:rFonts w:eastAsia="Calibri"/>
        </w:rPr>
        <w:t xml:space="preserve"> будут идентичны свойствам оригинального препарата. </w:t>
      </w:r>
      <w:r>
        <w:t xml:space="preserve">Клинических исследований препарата </w:t>
      </w:r>
      <w:r>
        <w:rPr>
          <w:lang w:val="en-US"/>
        </w:rPr>
        <w:t>DT</w:t>
      </w:r>
      <w:r w:rsidRPr="00304AD0">
        <w:t>-</w:t>
      </w:r>
      <w:r>
        <w:rPr>
          <w:lang w:val="en-US"/>
        </w:rPr>
        <w:t>LNG</w:t>
      </w:r>
      <w:r w:rsidRPr="00304AD0">
        <w:t xml:space="preserve"> </w:t>
      </w:r>
      <w:r>
        <w:t>на данный момент не проводилось.</w:t>
      </w:r>
    </w:p>
    <w:p w14:paraId="4680E486" w14:textId="0478F32C" w:rsidR="003E2346" w:rsidRDefault="003E2346" w:rsidP="003E2346">
      <w:pPr>
        <w:ind w:firstLine="709"/>
        <w:rPr>
          <w:noProof/>
        </w:rPr>
      </w:pPr>
      <w:r>
        <w:rPr>
          <w:noProof/>
        </w:rPr>
        <w:t>Линаглиптин участвует в инактивации гормонов инкретинов — ГПП-1 и ГИП. Эти гормоны быстро разрушаются ферментом ДПП-4. Оба эти инкретина участвуют в поддержании концентрации глюкозы на физиологическом уровне. Базальные концентрации ГПП-1 и ГИП в течение суток низкие, они быстро повышаются в ответ на прием пищи. ГПП-1 и ГИП усиливают биосинтез инсулина и его секрецию бета-клетками поджелудочной железы при нормальной или повышенной концентрации глюкозы крови. Линаглиптин активно связывается с ферментом ДПП-4 (связь обратимая), что вызывает устойчивое повышение концентрации инкретинов и длительное сохранение их активности.</w:t>
      </w:r>
    </w:p>
    <w:p w14:paraId="59CBC2BE" w14:textId="77777777" w:rsidR="003E2346" w:rsidRDefault="003E2346" w:rsidP="003E2346">
      <w:pPr>
        <w:ind w:firstLine="709"/>
      </w:pPr>
      <w:r>
        <w:t xml:space="preserve">После перорального приема дозы 5 мг линаглиптин быстро всасывается с пиком концентрации в плазме крови, возникающим через 1,5–2,5 часа после введения (медиана </w:t>
      </w:r>
      <w:r>
        <w:rPr>
          <w:lang w:val="en-US"/>
        </w:rPr>
        <w:t>T</w:t>
      </w:r>
      <w:r w:rsidRPr="003979D6">
        <w:rPr>
          <w:vertAlign w:val="subscript"/>
        </w:rPr>
        <w:t>max</w:t>
      </w:r>
      <w:r>
        <w:t>), что свидетельствует о преобладании всасывание в верхних отделах желудочно-кишечного тракта. Фармакодинамические исследования, в которых изучалась связь концентрации линаглиптина в плазме с ингибированием ДПП-4 продемонстрировали, что IC</w:t>
      </w:r>
      <w:r w:rsidRPr="005127F2">
        <w:rPr>
          <w:vertAlign w:val="subscript"/>
        </w:rPr>
        <w:t>50</w:t>
      </w:r>
      <w:r>
        <w:t xml:space="preserve"> линаглиптина составляет приблизительно 2-4 нмоль/л, IC</w:t>
      </w:r>
      <w:r w:rsidRPr="005127F2">
        <w:rPr>
          <w:vertAlign w:val="subscript"/>
        </w:rPr>
        <w:t>80</w:t>
      </w:r>
      <w:r>
        <w:t xml:space="preserve"> составляет приблизительно 4-6 нмоль/л, а I</w:t>
      </w:r>
      <w:r w:rsidRPr="00C77621">
        <w:rPr>
          <w:vertAlign w:val="subscript"/>
        </w:rPr>
        <w:t>max</w:t>
      </w:r>
      <w:r>
        <w:t xml:space="preserve"> может быть принято за 100% ингибирование ДПП-4. Влияние на ДПП-4</w:t>
      </w:r>
      <w:r w:rsidRPr="00C77621">
        <w:t xml:space="preserve"> </w:t>
      </w:r>
      <w:r>
        <w:t xml:space="preserve">сохраняется в течение 24 часов. </w:t>
      </w:r>
    </w:p>
    <w:p w14:paraId="78FAD999" w14:textId="77777777" w:rsidR="003E2346" w:rsidRDefault="003E2346" w:rsidP="003E2346">
      <w:pPr>
        <w:ind w:firstLine="709"/>
      </w:pPr>
      <w:r w:rsidRPr="008B4EDB">
        <w:t xml:space="preserve">Средний кажущийся </w:t>
      </w:r>
      <w:r>
        <w:t>о</w:t>
      </w:r>
      <w:r w:rsidRPr="008B4EDB">
        <w:t xml:space="preserve">бъем распределения </w:t>
      </w:r>
      <w:r>
        <w:t>(</w:t>
      </w:r>
      <w:r w:rsidRPr="008B4EDB">
        <w:t>Vss</w:t>
      </w:r>
      <w:r>
        <w:t>)</w:t>
      </w:r>
      <w:r w:rsidRPr="008B4EDB">
        <w:t xml:space="preserve"> </w:t>
      </w:r>
      <w:r w:rsidRPr="00CC6355">
        <w:t>после однократного внутривенного введения линаглиптина в дозе 5 мг здоровым добровольцам составляет примерно 1110 литров, что указывает на интенсивное распределение в тканях. Связывание линаглиптина с белками плазмы зависит от его концентрации и составля</w:t>
      </w:r>
      <w:r>
        <w:t>ло</w:t>
      </w:r>
      <w:r w:rsidRPr="00CC6355">
        <w:t xml:space="preserve"> при концентрации 1 нмоль/л около 99 </w:t>
      </w:r>
      <w:r>
        <w:t>%</w:t>
      </w:r>
      <w:r w:rsidRPr="00CC6355">
        <w:t xml:space="preserve">, а при концентрации более 30 нмоль/л </w:t>
      </w:r>
      <w:r>
        <w:t xml:space="preserve">– </w:t>
      </w:r>
      <w:r w:rsidRPr="00CC6355">
        <w:t>75-89</w:t>
      </w:r>
      <w:r>
        <w:t>%</w:t>
      </w:r>
      <w:r w:rsidRPr="00CC6355">
        <w:t>, что отражает насыщение связывания линаглиптина с ДПП-4 по мере увеличения его концентрации. При высокой концентрации, когда возникает полное насыщение ДПП-4, 7</w:t>
      </w:r>
      <w:r>
        <w:t>0-80</w:t>
      </w:r>
      <w:r w:rsidRPr="00CC6355">
        <w:t>% линаглиптина связывается с другими белками плазмы (не с ДПП-4), а 20-30 % линаглиптина находится в плазме в несвязанном состоянии</w:t>
      </w:r>
      <w:r>
        <w:t>.</w:t>
      </w:r>
    </w:p>
    <w:p w14:paraId="4A7AB5F9" w14:textId="77777777" w:rsidR="003E2346" w:rsidRDefault="003E2346" w:rsidP="003E2346">
      <w:pPr>
        <w:ind w:firstLine="709"/>
      </w:pPr>
      <w:r>
        <w:t>Плазменные концентрации линаглиптина снижаются трехфазным образом с длительным конечным периодом полувыведения (конечный период полувыведения линаглиптина более 100 часов), что в большей степени связано со связыванием линаглиптина с ДПП-4 и не способствует кумуляции лекарственного средства.</w:t>
      </w:r>
    </w:p>
    <w:p w14:paraId="60A3E0CE" w14:textId="2F1587D2" w:rsidR="003E2346" w:rsidRDefault="003E2346" w:rsidP="003E2346">
      <w:pPr>
        <w:ind w:firstLine="709"/>
      </w:pPr>
      <w:r>
        <w:t xml:space="preserve">Преимущественный путь выведения </w:t>
      </w:r>
      <w:r w:rsidR="00154379">
        <w:t xml:space="preserve">– </w:t>
      </w:r>
      <w:r>
        <w:t xml:space="preserve">через кишечник. Через 4 дня после перорального применения радиоактивно меченого </w:t>
      </w:r>
      <w:r w:rsidRPr="00DF4122">
        <w:rPr>
          <w:vertAlign w:val="superscript"/>
        </w:rPr>
        <w:t>14</w:t>
      </w:r>
      <w:r>
        <w:t xml:space="preserve">C-линаглиптина у здоровых добровольцев выводилось примерно 85 % дозы (через кишечник 80 %, почками 5 %) при клиренсе креатинина примерно 70 мл/мин. </w:t>
      </w:r>
    </w:p>
    <w:p w14:paraId="09F42664" w14:textId="77777777" w:rsidR="003E2346" w:rsidRDefault="003E2346" w:rsidP="003E2346">
      <w:pPr>
        <w:ind w:firstLine="709"/>
      </w:pPr>
      <w:r>
        <w:t xml:space="preserve">Программа 3 фазы клинических исследований для линаглиптина включала изучение эффективности линаглиптина в монотерапии и в комбинации с 3 важными </w:t>
      </w:r>
      <w:r w:rsidRPr="005B2F71">
        <w:rPr>
          <w:rFonts w:eastAsia="TimesNewRomanPSMT"/>
          <w:lang w:eastAsia="en-US"/>
        </w:rPr>
        <w:t>ПССП</w:t>
      </w:r>
      <w:r>
        <w:rPr>
          <w:rFonts w:eastAsia="TimesNewRomanPSMT"/>
          <w:lang w:eastAsia="en-US"/>
        </w:rPr>
        <w:t>:</w:t>
      </w:r>
      <w:r>
        <w:t xml:space="preserve"> метформином, сульфонилмочевиной и пиоглитазоном. Предполагалось, что эти комбинации будут клинически эффективны, учитывая потенциально взаимодополняющие механизмы действия – добавление препаратов, направленных на инсулинорезистентность и/или чрезмерное печеночное производство глюкозы (агонист PPARγ или метформин) с линаглиптином, препаратом, действие которого направлено на повышение секреции инсулина и снижение концентрации глюкагона. </w:t>
      </w:r>
    </w:p>
    <w:p w14:paraId="76717EDA" w14:textId="77777777" w:rsidR="003E2346" w:rsidRDefault="003E2346" w:rsidP="003E2346">
      <w:pPr>
        <w:ind w:firstLine="709"/>
      </w:pPr>
      <w:r>
        <w:t xml:space="preserve">Эффективность и безопасность монотерапии линаглиптином была оценена в двойном слепом плацебо-контролируемом исследовании продолжительностью 24 недели. </w:t>
      </w:r>
    </w:p>
    <w:p w14:paraId="7B1C57B2" w14:textId="77777777" w:rsidR="003E2346" w:rsidRPr="00BA7D3D" w:rsidRDefault="003E2346" w:rsidP="003E2346">
      <w:pPr>
        <w:ind w:firstLine="709"/>
      </w:pPr>
      <w:r>
        <w:t>Л</w:t>
      </w:r>
      <w:r w:rsidRPr="0060778A">
        <w:t xml:space="preserve">ечение линаглиптином </w:t>
      </w:r>
      <w:r>
        <w:t>приводило</w:t>
      </w:r>
      <w:r w:rsidRPr="0060778A">
        <w:t xml:space="preserve"> </w:t>
      </w:r>
      <w:r>
        <w:t>к снижению</w:t>
      </w:r>
      <w:r w:rsidRPr="0060778A">
        <w:t xml:space="preserve"> изменени</w:t>
      </w:r>
      <w:r>
        <w:t>я</w:t>
      </w:r>
      <w:r w:rsidRPr="0060778A">
        <w:t xml:space="preserve"> HbA1c по сравнению с исходным уровнем на -0,69% (p &lt;0,0001) через 24 недели. У пациентов с исходным уровнем </w:t>
      </w:r>
      <w:r w:rsidRPr="0060778A">
        <w:lastRenderedPageBreak/>
        <w:t>HbA1c ≥ 9,0 % снижение HbA1c составило 1,01 % (p &lt;0,0001)</w:t>
      </w:r>
      <w:r>
        <w:t xml:space="preserve">. </w:t>
      </w:r>
      <w:r w:rsidRPr="0060778A">
        <w:t>Пациенты, получавшие линаглиптин достигали снижения HbA1c на ≥0,5% через 24 недели</w:t>
      </w:r>
      <w:r>
        <w:t xml:space="preserve"> в сравнении с группой</w:t>
      </w:r>
      <w:r w:rsidRPr="0060778A">
        <w:t xml:space="preserve"> </w:t>
      </w:r>
      <w:r>
        <w:t xml:space="preserve">плацебо </w:t>
      </w:r>
      <w:r w:rsidRPr="0060778A">
        <w:t xml:space="preserve">(47,1% и 19,0% соответственно; отношение шансов, ОШ = 4,2, р &lt;0,0001). Уровень глюкозы в плазме натощак </w:t>
      </w:r>
      <w:r>
        <w:t>снизился</w:t>
      </w:r>
      <w:r w:rsidRPr="0060778A">
        <w:t xml:space="preserve"> на -1,3 ммоль/л (p &lt;0,0001) при приеме линаглиптина по сравнению с плацебо</w:t>
      </w:r>
      <w:r>
        <w:t>.</w:t>
      </w:r>
      <w:r w:rsidRPr="0060778A">
        <w:t xml:space="preserve"> </w:t>
      </w:r>
      <w:r>
        <w:t>С</w:t>
      </w:r>
      <w:r w:rsidRPr="0060778A">
        <w:t>реднее снижение</w:t>
      </w:r>
      <w:r>
        <w:t xml:space="preserve"> глюкозы </w:t>
      </w:r>
      <w:r w:rsidRPr="0060778A">
        <w:t>через</w:t>
      </w:r>
      <w:r>
        <w:t xml:space="preserve"> 2 часа после приема пищи составило</w:t>
      </w:r>
      <w:r w:rsidRPr="0060778A">
        <w:t xml:space="preserve"> -3,2 ммоль/л</w:t>
      </w:r>
      <w:r>
        <w:t xml:space="preserve"> </w:t>
      </w:r>
      <w:r w:rsidRPr="0060778A">
        <w:t>по сравнению с исходным уровнем (p &lt;0,0001)</w:t>
      </w:r>
      <w:r>
        <w:t>.</w:t>
      </w:r>
    </w:p>
    <w:p w14:paraId="095D3417" w14:textId="68085CE7" w:rsidR="003E2346" w:rsidRDefault="003E2346" w:rsidP="003E2346">
      <w:pPr>
        <w:ind w:firstLine="709"/>
      </w:pPr>
      <w:r>
        <w:t>В международном рандомизированном двойном слепом плацебо-контролируемом исследовании в параллельных группах изучения эффективности комбинированной терапии линаглиптина</w:t>
      </w:r>
      <w:r w:rsidRPr="0060778A">
        <w:t xml:space="preserve"> </w:t>
      </w:r>
      <w:r>
        <w:t>с пиоглитазоном разница в средних значениях HbA1c в группе линаглиптина по сравнению с плацебо составила -0,51% (95% доверительный интервал [ДИ] -0,71, -0,30; p &lt;0,0001). Снижение уровня ГПН было значительно больше для группы линаглиптин плюс пиоглитазон, чем для плацебо плюс пиоглитазон; -1,8 и -1,0 ммоль/л, соответственно (95% ДИ -1,2, -0,4; p &lt;0,0001). Пациенты, принимавшие линаглиптин плюс пиоглитазон, по сравнению с теми, кто получал плацебо плюс пиоглитазон, с большей вероятностью достигали уровня HbA1c &lt;7,0% (42,9 против 30,5% соответственно; p = 0,0051) и снижения HbA1c ≥0,5% (75,0 против 50,8 % соответственно, p &lt;0,0001</w:t>
      </w:r>
      <w:r w:rsidR="00806090">
        <w:t>)</w:t>
      </w:r>
      <w:r>
        <w:t>.</w:t>
      </w:r>
    </w:p>
    <w:p w14:paraId="57A40389" w14:textId="77777777" w:rsidR="003E2346" w:rsidRPr="00F77D2A" w:rsidRDefault="003E2346" w:rsidP="003E2346">
      <w:pPr>
        <w:ind w:firstLine="709"/>
      </w:pPr>
      <w:r>
        <w:t>В</w:t>
      </w:r>
      <w:r w:rsidRPr="0016106D">
        <w:t xml:space="preserve"> международно</w:t>
      </w:r>
      <w:r>
        <w:t>м</w:t>
      </w:r>
      <w:r w:rsidRPr="0016106D">
        <w:t xml:space="preserve"> рандомизированно</w:t>
      </w:r>
      <w:r>
        <w:t>м</w:t>
      </w:r>
      <w:r w:rsidRPr="0016106D">
        <w:t xml:space="preserve"> двойно</w:t>
      </w:r>
      <w:r>
        <w:t>м</w:t>
      </w:r>
      <w:r w:rsidRPr="0016106D">
        <w:t xml:space="preserve"> слепо</w:t>
      </w:r>
      <w:r>
        <w:t>м</w:t>
      </w:r>
      <w:r w:rsidRPr="0016106D">
        <w:t xml:space="preserve"> плацебо-контролируемо</w:t>
      </w:r>
      <w:r>
        <w:t>м</w:t>
      </w:r>
      <w:r w:rsidRPr="0016106D">
        <w:t xml:space="preserve"> исследовани</w:t>
      </w:r>
      <w:r>
        <w:t>и</w:t>
      </w:r>
      <w:r w:rsidRPr="0016106D">
        <w:t xml:space="preserve"> в параллельных группах</w:t>
      </w:r>
      <w:r>
        <w:t xml:space="preserve"> линаглиптин (+метформин) показал значительное снижение по сравнению с плацебо (+метформин) средних значений по сравнению с исходным уровнем следующих показателей: HbA1c (-0,49 против 0,15%), ГПН (-0,59 против 0,58 ммоль/л) и у</w:t>
      </w:r>
      <w:r w:rsidRPr="00B41EC9">
        <w:t>ровн</w:t>
      </w:r>
      <w:r>
        <w:t>я</w:t>
      </w:r>
      <w:r w:rsidRPr="00B41EC9">
        <w:t xml:space="preserve"> глюкоз</w:t>
      </w:r>
      <w:r>
        <w:t>ы</w:t>
      </w:r>
      <w:r w:rsidRPr="00B41EC9">
        <w:t xml:space="preserve"> в крови через 2 часа после приема пищи</w:t>
      </w:r>
      <w:r>
        <w:t xml:space="preserve"> (-2,7 против 0,7 ммоль/л), р &lt;0,0001. Добавление линаглиптина в дозе 5 мг 1 раз в сутки у пациентов с СД 2, недостаточно контролируемым метформином, приводило к значительному и клинически значимому улучшение гликемического контроля без увеличения массы тела или повышенного риска гипогликемии.</w:t>
      </w:r>
    </w:p>
    <w:p w14:paraId="4A288CEA" w14:textId="77777777" w:rsidR="003E2346" w:rsidRPr="0016106D" w:rsidRDefault="003E2346" w:rsidP="003E2346">
      <w:pPr>
        <w:ind w:firstLine="709"/>
      </w:pPr>
      <w:r>
        <w:t xml:space="preserve">В </w:t>
      </w:r>
      <w:r w:rsidRPr="006840D6">
        <w:t>многоцентрово</w:t>
      </w:r>
      <w:r>
        <w:t>м</w:t>
      </w:r>
      <w:r w:rsidRPr="006840D6">
        <w:t xml:space="preserve"> 24-недельно</w:t>
      </w:r>
      <w:r>
        <w:t>м</w:t>
      </w:r>
      <w:r w:rsidRPr="006840D6">
        <w:t xml:space="preserve"> рандомизированно</w:t>
      </w:r>
      <w:r>
        <w:t>м</w:t>
      </w:r>
      <w:r w:rsidRPr="006840D6">
        <w:t xml:space="preserve"> двойно</w:t>
      </w:r>
      <w:r>
        <w:t>м</w:t>
      </w:r>
      <w:r w:rsidRPr="006840D6">
        <w:t xml:space="preserve"> слепо</w:t>
      </w:r>
      <w:r>
        <w:t>м</w:t>
      </w:r>
      <w:r w:rsidRPr="006840D6">
        <w:t xml:space="preserve"> исследовани</w:t>
      </w:r>
      <w:r>
        <w:t>и</w:t>
      </w:r>
      <w:r w:rsidRPr="006840D6">
        <w:t xml:space="preserve"> в параллельных группах с участием 1058 пациентов, сравнивающе</w:t>
      </w:r>
      <w:r>
        <w:t>м</w:t>
      </w:r>
      <w:r w:rsidRPr="006840D6">
        <w:t xml:space="preserve"> </w:t>
      </w:r>
      <w:r>
        <w:t xml:space="preserve">лечение </w:t>
      </w:r>
      <w:r w:rsidRPr="006840D6">
        <w:t>линаглиптин</w:t>
      </w:r>
      <w:r>
        <w:t>ом</w:t>
      </w:r>
      <w:r w:rsidRPr="006840D6">
        <w:t xml:space="preserve"> (5 мг один раз в </w:t>
      </w:r>
      <w:r>
        <w:t>сутки</w:t>
      </w:r>
      <w:r w:rsidRPr="006840D6">
        <w:t xml:space="preserve">) и плацебо при добавлении к </w:t>
      </w:r>
      <w:r>
        <w:t xml:space="preserve">комбинации </w:t>
      </w:r>
      <w:r w:rsidRPr="006840D6">
        <w:t>ме</w:t>
      </w:r>
      <w:r>
        <w:t xml:space="preserve">тформин плюс сульфонилмочевина, на 24-й неделе среднее изменение HbA(1c) по сравнению с исходным уровнем составило -7 ммоль/моль (-0,62%) [95% ДИ от -8 до -6 ммоль/моль (от -0,73 до -0,50%).; р &lt;0,0001]. Больше участников с исходным уровнем HbA(1c) ≥ 53 ммоль/моль (≥ 7,0%) достигли уровня HbA(1c) &lt;53 ммоль/моль (&lt;7,0%) при применении линаглиптина по сравнению с плацебо (29,2% против 8,1%, </w:t>
      </w:r>
      <w:r>
        <w:rPr>
          <w:lang w:val="en-US"/>
        </w:rPr>
        <w:t>p</w:t>
      </w:r>
      <w:r>
        <w:t xml:space="preserve"> &lt;0,0001). ГПН снижалась при приеме линаглиптина по сравнению с плацебо (-0,7 ммоль/л, 95% ДИ от -1,0 до -0,4; р&lt;0,0001). У пациентов с СД2 добавление линаглиптина к метформину, назначаемому в комбинации с сульфонилмочевиной, значительно улучшало гликемический контроль. </w:t>
      </w:r>
    </w:p>
    <w:p w14:paraId="10B2C74D" w14:textId="77777777" w:rsidR="003E2346" w:rsidRDefault="003E2346" w:rsidP="003E2346">
      <w:pPr>
        <w:pStyle w:val="OT"/>
        <w:spacing w:after="0"/>
        <w:ind w:firstLine="709"/>
        <w:rPr>
          <w:sz w:val="24"/>
          <w:szCs w:val="24"/>
        </w:rPr>
      </w:pPr>
      <w:r w:rsidRPr="00296518">
        <w:rPr>
          <w:sz w:val="24"/>
          <w:szCs w:val="24"/>
        </w:rPr>
        <w:t>В анализ безопасности включены исследования, котор</w:t>
      </w:r>
      <w:r>
        <w:rPr>
          <w:sz w:val="24"/>
          <w:szCs w:val="24"/>
        </w:rPr>
        <w:t>ые проводились у пациентов с СД</w:t>
      </w:r>
      <w:r w:rsidRPr="00296518">
        <w:rPr>
          <w:sz w:val="24"/>
          <w:szCs w:val="24"/>
        </w:rPr>
        <w:t>2</w:t>
      </w:r>
      <w:r>
        <w:rPr>
          <w:sz w:val="24"/>
          <w:szCs w:val="24"/>
        </w:rPr>
        <w:t>. В</w:t>
      </w:r>
      <w:r w:rsidRPr="00C41DF0">
        <w:rPr>
          <w:sz w:val="24"/>
          <w:szCs w:val="24"/>
        </w:rPr>
        <w:t>се исследования у пациентов с сахарным диабетом 2 типа включали в общей сложности 6198 пациентов. Из них 4687</w:t>
      </w:r>
      <w:r>
        <w:rPr>
          <w:sz w:val="24"/>
          <w:szCs w:val="24"/>
        </w:rPr>
        <w:t xml:space="preserve"> </w:t>
      </w:r>
      <w:r w:rsidRPr="00C41DF0">
        <w:rPr>
          <w:sz w:val="24"/>
          <w:szCs w:val="24"/>
        </w:rPr>
        <w:t xml:space="preserve">пациентов получали линаглиптин (в любой дозе), а 4040 пациентов получали линаглиптин в дозе 5 мг </w:t>
      </w:r>
      <w:r>
        <w:rPr>
          <w:sz w:val="24"/>
          <w:szCs w:val="24"/>
        </w:rPr>
        <w:t>один раз в день</w:t>
      </w:r>
      <w:r w:rsidRPr="00C41DF0">
        <w:rPr>
          <w:sz w:val="24"/>
          <w:szCs w:val="24"/>
        </w:rPr>
        <w:t>.</w:t>
      </w:r>
      <w:r>
        <w:rPr>
          <w:sz w:val="24"/>
          <w:szCs w:val="24"/>
        </w:rPr>
        <w:t xml:space="preserve"> </w:t>
      </w:r>
      <w:r w:rsidRPr="00C41DF0">
        <w:rPr>
          <w:sz w:val="24"/>
          <w:szCs w:val="24"/>
        </w:rPr>
        <w:t>Из пациентов, получавших линаглиптин в дозе 5 мг, 3430 пациентов подвергались воздействию в течение 6 месяцев или дольше</w:t>
      </w:r>
      <w:r>
        <w:rPr>
          <w:sz w:val="24"/>
          <w:szCs w:val="24"/>
        </w:rPr>
        <w:t xml:space="preserve">, </w:t>
      </w:r>
      <w:r>
        <w:t xml:space="preserve">2390 </w:t>
      </w:r>
      <w:r w:rsidRPr="00C41DF0">
        <w:rPr>
          <w:sz w:val="24"/>
          <w:szCs w:val="24"/>
        </w:rPr>
        <w:t xml:space="preserve">пациентов в течение 12 месяцев или дольше и 536 пациентов в течение 18 месяцев или дольше. </w:t>
      </w:r>
    </w:p>
    <w:p w14:paraId="359483BB" w14:textId="77777777" w:rsidR="003E2346" w:rsidRDefault="003E2346" w:rsidP="003E2346">
      <w:pPr>
        <w:pStyle w:val="OT"/>
        <w:spacing w:after="0"/>
        <w:ind w:firstLine="709"/>
        <w:rPr>
          <w:sz w:val="24"/>
          <w:szCs w:val="24"/>
        </w:rPr>
      </w:pPr>
      <w:r w:rsidRPr="00326568">
        <w:rPr>
          <w:sz w:val="24"/>
          <w:szCs w:val="24"/>
        </w:rPr>
        <w:t xml:space="preserve">Общий процент пациентов с нежелательными явлениями был сопоставим между видами лечения (плацебо 53,8% по сравнению с линаглиптином 55,0%). Доля пациентов с нежелательными явлениями легкой (36,8% против 37,6% в группе плацебо и линаглиптина соответственно), средней тяжести (15,6% против 15,6%) или тяжелой (1,4% против 1,8%) интенсивности были одинаковыми. Нежелательные явления, связанные с лекарственным </w:t>
      </w:r>
      <w:r>
        <w:rPr>
          <w:sz w:val="24"/>
          <w:szCs w:val="24"/>
        </w:rPr>
        <w:lastRenderedPageBreak/>
        <w:t>препаратом</w:t>
      </w:r>
      <w:r w:rsidRPr="00326568">
        <w:rPr>
          <w:sz w:val="24"/>
          <w:szCs w:val="24"/>
        </w:rPr>
        <w:t>, были немного более частыми в группе линаглиптина, чем в группе плацебо (10,4%</w:t>
      </w:r>
      <w:r>
        <w:rPr>
          <w:sz w:val="24"/>
          <w:szCs w:val="24"/>
        </w:rPr>
        <w:t xml:space="preserve"> </w:t>
      </w:r>
      <w:r w:rsidRPr="00326568">
        <w:rPr>
          <w:sz w:val="24"/>
          <w:szCs w:val="24"/>
        </w:rPr>
        <w:t>против</w:t>
      </w:r>
      <w:r>
        <w:rPr>
          <w:sz w:val="24"/>
          <w:szCs w:val="24"/>
        </w:rPr>
        <w:t xml:space="preserve"> </w:t>
      </w:r>
      <w:r w:rsidRPr="00326568">
        <w:rPr>
          <w:sz w:val="24"/>
          <w:szCs w:val="24"/>
        </w:rPr>
        <w:t xml:space="preserve">8,5%). Самое частое связанное с линаглиптином нежелательное явление была гипогликемия с более высокой частотой в группе линаглиптина (2,4% против 5,0% в группе плацебо и линаглиптина соответственно, возникающая преимущественно на фоне </w:t>
      </w:r>
      <w:r>
        <w:rPr>
          <w:sz w:val="24"/>
          <w:szCs w:val="24"/>
        </w:rPr>
        <w:t xml:space="preserve">приема </w:t>
      </w:r>
      <w:r w:rsidRPr="00326568">
        <w:rPr>
          <w:sz w:val="24"/>
          <w:szCs w:val="24"/>
        </w:rPr>
        <w:t>метформина), и гипергликемия с более высокой частотой в группе плацебо. группа (1,5% против 0,5%)</w:t>
      </w:r>
      <w:r>
        <w:rPr>
          <w:sz w:val="24"/>
          <w:szCs w:val="24"/>
        </w:rPr>
        <w:t>.</w:t>
      </w:r>
    </w:p>
    <w:p w14:paraId="1D8E5D99" w14:textId="77777777" w:rsidR="003E2346" w:rsidRDefault="003E2346" w:rsidP="003E2346">
      <w:pPr>
        <w:ind w:firstLine="709"/>
      </w:pPr>
      <w:r w:rsidRPr="00C41DF0">
        <w:t xml:space="preserve">Частота преждевременного прекращения приема исследуемого препарата была выше в группе плацебо, чем в группе линаглиптина (3,6% против 2,3%). Разница была в основном связана с более высокой частотой гипергликемии (0,9% против 0,2%) и повышением уровня глюкозы в крови (0,4% против 0,1%) в группе плацебо. </w:t>
      </w:r>
      <w:r>
        <w:t>Как и ожидалось, гипергликемия возникала с большей частотой в группе плацебо/фон, чем в группе линаглиптина (10,6% против 5,0%). И наоборот, гипогликемия реже встречалась в группе плацебо (4,1%), чем в группе линаглиптина (7,6%).</w:t>
      </w:r>
    </w:p>
    <w:p w14:paraId="092CDA44" w14:textId="5DFF111A" w:rsidR="000C4BB3" w:rsidRPr="00101FFC" w:rsidRDefault="003E2346" w:rsidP="00101FFC">
      <w:pPr>
        <w:pStyle w:val="OT"/>
        <w:spacing w:after="0"/>
        <w:ind w:firstLine="709"/>
        <w:rPr>
          <w:sz w:val="24"/>
          <w:szCs w:val="24"/>
        </w:rPr>
      </w:pPr>
      <w:r w:rsidRPr="00326568">
        <w:rPr>
          <w:sz w:val="24"/>
          <w:szCs w:val="24"/>
        </w:rPr>
        <w:t>Частота серьезных нежелательных явлений была низкой в обеих группах лечения (2,5% против 2,7%). Было 2 серьезных нежелательных явления со смертельным исходом в группе линаглиптина и ни одного в группе плацебо</w:t>
      </w:r>
      <w:r>
        <w:rPr>
          <w:sz w:val="24"/>
          <w:szCs w:val="24"/>
        </w:rPr>
        <w:t>.</w:t>
      </w:r>
      <w:r w:rsidR="00101FFC">
        <w:rPr>
          <w:sz w:val="24"/>
          <w:szCs w:val="24"/>
        </w:rPr>
        <w:t xml:space="preserve"> </w:t>
      </w:r>
      <w:r w:rsidR="000C4BB3" w:rsidRPr="00C41DF0">
        <w:t xml:space="preserve">Частота преждевременного прекращения приема исследуемого препарата была выше в группе плацебо, чем в группе линаглиптина (3,6% против 2,3%). Разница была в основном связана с более высокой частотой гипергликемии (0,9% против 0,2%) и повышением уровня глюкозы в крови (0,4% против 0,1%) в группе плацебо. </w:t>
      </w:r>
    </w:p>
    <w:p w14:paraId="4E630006" w14:textId="74C0F99C" w:rsidR="000C4BB3" w:rsidRPr="0016106D" w:rsidRDefault="000C4BB3" w:rsidP="00101FFC">
      <w:pPr>
        <w:ind w:firstLine="709"/>
      </w:pPr>
      <w:r>
        <w:t xml:space="preserve">В целом на уровне </w:t>
      </w:r>
      <w:r w:rsidR="00101FFC">
        <w:t>системно-органных классов</w:t>
      </w:r>
      <w:r>
        <w:t xml:space="preserve"> между группами лечения были лишь небольшие различия. Как и ожидалось, гипергликемия возникала с большей частотой в группе плацебо/фон, чем в группе линаглиптина (10,6% против 5,0%). И наоборот, гипогликемия реже встречалась в группе плацебо (4,1%), чем в группе линаглиптина (7,6%).</w:t>
      </w:r>
    </w:p>
    <w:p w14:paraId="4704B2D5" w14:textId="77777777" w:rsidR="000C4BB3" w:rsidRPr="004C6B7F" w:rsidRDefault="000C4BB3" w:rsidP="00101FFC">
      <w:pPr>
        <w:ind w:firstLine="709"/>
      </w:pPr>
      <w:r w:rsidRPr="004C6B7F">
        <w:t xml:space="preserve">В исследованиях на постмаркетинговом этапе был выявлен ряд НЯ, которые не были обнаружены во время исследований </w:t>
      </w:r>
      <w:r>
        <w:t>2</w:t>
      </w:r>
      <w:r w:rsidRPr="004C6B7F">
        <w:t>/</w:t>
      </w:r>
      <w:r>
        <w:t>3</w:t>
      </w:r>
      <w:r w:rsidRPr="004C6B7F">
        <w:t xml:space="preserve"> фазы. Поскольку эти НЯ получены из баз данных о репортировании побочных эффектов лекарственных препаратов, оценить реальную частоту их возникновения и определить причинно-следственную связь невозможно. Сообщалось о следующих побочных реакциях:</w:t>
      </w:r>
    </w:p>
    <w:p w14:paraId="1A4D6841" w14:textId="77777777" w:rsidR="000C4BB3" w:rsidRPr="004C6B7F" w:rsidRDefault="000C4BB3" w:rsidP="000C4BB3">
      <w:pPr>
        <w:pStyle w:val="af3"/>
        <w:numPr>
          <w:ilvl w:val="0"/>
          <w:numId w:val="46"/>
        </w:numPr>
      </w:pPr>
      <w:r w:rsidRPr="004C6B7F">
        <w:t>Инфекционные и паразитарные заболевания – назофарингит.</w:t>
      </w:r>
    </w:p>
    <w:p w14:paraId="26A5350B" w14:textId="77777777" w:rsidR="000C4BB3" w:rsidRPr="004C6B7F" w:rsidRDefault="000C4BB3" w:rsidP="000C4BB3">
      <w:pPr>
        <w:pStyle w:val="af3"/>
        <w:numPr>
          <w:ilvl w:val="0"/>
          <w:numId w:val="46"/>
        </w:numPr>
      </w:pPr>
      <w:r w:rsidRPr="004C6B7F">
        <w:t xml:space="preserve">Нарушения со стороны иммунной системы – </w:t>
      </w:r>
      <w:r>
        <w:t>г</w:t>
      </w:r>
      <w:r w:rsidRPr="004C6B7F">
        <w:t>иперчувствительность (например, гиперреактивность бронхов.</w:t>
      </w:r>
    </w:p>
    <w:p w14:paraId="2AF0C003" w14:textId="23E0ED0D" w:rsidR="000C4BB3" w:rsidRPr="004C6B7F" w:rsidRDefault="000C4BB3" w:rsidP="000C4BB3">
      <w:pPr>
        <w:pStyle w:val="af3"/>
        <w:numPr>
          <w:ilvl w:val="0"/>
          <w:numId w:val="46"/>
        </w:numPr>
      </w:pPr>
      <w:r w:rsidRPr="004C6B7F">
        <w:t>Нарушения со стороны дыхательной системы, органов грудной клетки и средостения кашель.</w:t>
      </w:r>
    </w:p>
    <w:p w14:paraId="710304D5" w14:textId="77777777" w:rsidR="000C4BB3" w:rsidRPr="004C6B7F" w:rsidRDefault="000C4BB3" w:rsidP="000C4BB3">
      <w:pPr>
        <w:pStyle w:val="af3"/>
        <w:numPr>
          <w:ilvl w:val="0"/>
          <w:numId w:val="46"/>
        </w:numPr>
      </w:pPr>
      <w:r w:rsidRPr="004C6B7F">
        <w:t>Нарушения со стороны желудочно-кишечного тракта – панкреатит.</w:t>
      </w:r>
    </w:p>
    <w:p w14:paraId="1BDD661A" w14:textId="77777777" w:rsidR="000C4BB3" w:rsidRPr="004C6B7F" w:rsidRDefault="000C4BB3" w:rsidP="000C4BB3">
      <w:pPr>
        <w:pStyle w:val="af3"/>
        <w:numPr>
          <w:ilvl w:val="0"/>
          <w:numId w:val="46"/>
        </w:numPr>
      </w:pPr>
      <w:r w:rsidRPr="004C6B7F">
        <w:t>Нарушения со стороны кожи и подкожных тканей – ангионевротический отек, крапивница, сыпь, буллезный пемфигоид.</w:t>
      </w:r>
    </w:p>
    <w:p w14:paraId="17A2BDB4" w14:textId="77777777" w:rsidR="000C4BB3" w:rsidRPr="004C6B7F" w:rsidRDefault="000C4BB3" w:rsidP="000C4BB3">
      <w:pPr>
        <w:pStyle w:val="af3"/>
        <w:numPr>
          <w:ilvl w:val="0"/>
          <w:numId w:val="46"/>
        </w:numPr>
      </w:pPr>
      <w:r w:rsidRPr="004C6B7F">
        <w:t>Лабораторные и инструментальные данные – повышение активности амилазы в плазме крови, повышение активности липазы в плазме крови.</w:t>
      </w:r>
    </w:p>
    <w:p w14:paraId="13B5136A" w14:textId="07C32948" w:rsidR="00145F85" w:rsidRDefault="000C4BB3" w:rsidP="00304AD0">
      <w:pPr>
        <w:ind w:firstLine="709"/>
      </w:pPr>
      <w:r w:rsidRPr="004C6B7F">
        <w:t xml:space="preserve">Поскольку об этих реакциях сообщается добровольно из популяции неопределенного размера, не всегда можно достоверно оценить их частоту или установить причинно-следственную связь с </w:t>
      </w:r>
      <w:r w:rsidR="00145F85">
        <w:t>приемом лекарственного препарата</w:t>
      </w:r>
      <w:r>
        <w:t>.</w:t>
      </w:r>
    </w:p>
    <w:p w14:paraId="651355BE" w14:textId="77777777" w:rsidR="00304AD0" w:rsidRDefault="00304AD0" w:rsidP="00304AD0">
      <w:pPr>
        <w:ind w:firstLine="709"/>
      </w:pPr>
    </w:p>
    <w:p w14:paraId="2B0F3C92" w14:textId="77777777" w:rsidR="004B1452" w:rsidRPr="007212E1" w:rsidRDefault="004B1452" w:rsidP="00304AD0">
      <w:pPr>
        <w:pStyle w:val="ab"/>
        <w:shd w:val="clear" w:color="auto" w:fill="FFFFFF"/>
        <w:spacing w:before="0" w:beforeAutospacing="0" w:after="0" w:afterAutospacing="0"/>
        <w:jc w:val="both"/>
        <w:rPr>
          <w:b/>
        </w:rPr>
      </w:pPr>
      <w:r w:rsidRPr="007212E1">
        <w:rPr>
          <w:b/>
        </w:rPr>
        <w:t>Оценка пользы</w:t>
      </w:r>
    </w:p>
    <w:p w14:paraId="7937CF77" w14:textId="77777777" w:rsidR="00145F85" w:rsidRDefault="00145F85" w:rsidP="00304AD0">
      <w:pPr>
        <w:ind w:firstLine="709"/>
      </w:pPr>
    </w:p>
    <w:p w14:paraId="029370C7" w14:textId="6AEF4BB2" w:rsidR="004B1452" w:rsidRPr="007212E1" w:rsidRDefault="004B1452" w:rsidP="00304AD0">
      <w:pPr>
        <w:ind w:firstLine="709"/>
        <w:rPr>
          <w:rFonts w:eastAsia="Calibri"/>
        </w:rPr>
      </w:pPr>
      <w:r w:rsidRPr="007212E1">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7212E1">
        <w:rPr>
          <w:rFonts w:eastAsia="Calibri"/>
        </w:rPr>
        <w:t xml:space="preserve"> </w:t>
      </w:r>
    </w:p>
    <w:p w14:paraId="66A9FEF4" w14:textId="77777777" w:rsidR="007F5E52" w:rsidRDefault="007F5E52" w:rsidP="007F5E52">
      <w:pPr>
        <w:pStyle w:val="ab"/>
        <w:shd w:val="clear" w:color="auto" w:fill="FFFFFF"/>
        <w:spacing w:before="240" w:beforeAutospacing="0" w:after="240" w:afterAutospacing="0"/>
        <w:jc w:val="both"/>
        <w:rPr>
          <w:b/>
          <w:color w:val="000000"/>
        </w:rPr>
        <w:sectPr w:rsidR="007F5E52" w:rsidSect="00AB01E2">
          <w:footnotePr>
            <w:pos w:val="beneathText"/>
          </w:footnotePr>
          <w:pgSz w:w="11906" w:h="16838"/>
          <w:pgMar w:top="1134" w:right="849" w:bottom="1134" w:left="1701" w:header="708" w:footer="709" w:gutter="0"/>
          <w:cols w:space="708"/>
          <w:docGrid w:linePitch="360"/>
        </w:sectPr>
      </w:pPr>
    </w:p>
    <w:p w14:paraId="6D5A3D8F" w14:textId="32B1B643" w:rsidR="004B1452" w:rsidRDefault="004B1452" w:rsidP="007F5E52">
      <w:pPr>
        <w:pStyle w:val="ab"/>
        <w:shd w:val="clear" w:color="auto" w:fill="FFFFFF"/>
        <w:spacing w:before="240" w:beforeAutospacing="0" w:after="240" w:afterAutospacing="0"/>
        <w:jc w:val="both"/>
        <w:rPr>
          <w:b/>
          <w:color w:val="000000"/>
        </w:rPr>
      </w:pPr>
      <w:r>
        <w:rPr>
          <w:b/>
          <w:color w:val="000000"/>
        </w:rPr>
        <w:lastRenderedPageBreak/>
        <w:t>Оценка риска</w:t>
      </w:r>
    </w:p>
    <w:p w14:paraId="56DFD724" w14:textId="68F00DFB" w:rsidR="007212E1" w:rsidRDefault="004B1452" w:rsidP="004B1452">
      <w:pPr>
        <w:ind w:firstLine="709"/>
      </w:pPr>
      <w:r w:rsidRPr="007212E1">
        <w:rPr>
          <w:lang w:eastAsia="ru-RU"/>
        </w:rPr>
        <w:t xml:space="preserve">Риск применения </w:t>
      </w:r>
      <w:r w:rsidR="007212E1" w:rsidRPr="007212E1">
        <w:rPr>
          <w:lang w:eastAsia="ru-RU"/>
        </w:rPr>
        <w:t>испытуемого</w:t>
      </w:r>
      <w:r w:rsidRPr="007212E1">
        <w:t xml:space="preserve"> препарата </w:t>
      </w:r>
      <w:r w:rsidR="00FA54E0">
        <w:rPr>
          <w:lang w:val="en-US"/>
        </w:rPr>
        <w:t>DT</w:t>
      </w:r>
      <w:r w:rsidR="00FA54E0" w:rsidRPr="00FA54E0">
        <w:t>-</w:t>
      </w:r>
      <w:r w:rsidR="00FA54E0">
        <w:rPr>
          <w:lang w:val="en-US"/>
        </w:rPr>
        <w:t>LNG</w:t>
      </w:r>
      <w:r w:rsidR="007212E1" w:rsidRPr="007212E1">
        <w:t>, как и оригинального препарата Тражента</w:t>
      </w:r>
      <w:r w:rsidR="007212E1" w:rsidRPr="007212E1">
        <w:rPr>
          <w:vertAlign w:val="superscript"/>
        </w:rPr>
        <w:t>®</w:t>
      </w:r>
      <w:r w:rsidR="007212E1" w:rsidRPr="007212E1">
        <w:t xml:space="preserve">, </w:t>
      </w:r>
      <w:r w:rsidRPr="007212E1">
        <w:rPr>
          <w:lang w:eastAsia="ru-RU"/>
        </w:rPr>
        <w:t>ассоциирован</w:t>
      </w:r>
      <w:r w:rsidRPr="00C81BE4">
        <w:rPr>
          <w:lang w:eastAsia="ru-RU"/>
        </w:rPr>
        <w:t xml:space="preserve">,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w:t>
      </w:r>
      <w:r w:rsidRPr="007E72AC">
        <w:t>линаглиптин</w:t>
      </w:r>
      <w:r w:rsidR="007212E1">
        <w:t>а</w:t>
      </w:r>
      <w:r>
        <w:t>.</w:t>
      </w:r>
      <w:r w:rsidRPr="00DB3152">
        <w:t xml:space="preserve"> </w:t>
      </w:r>
    </w:p>
    <w:p w14:paraId="39F88ACB" w14:textId="41E059BF" w:rsidR="004B1452" w:rsidRPr="00FA54E0" w:rsidRDefault="004B1452" w:rsidP="004B1452">
      <w:pPr>
        <w:ind w:firstLine="709"/>
        <w:rPr>
          <w:color w:val="000000"/>
        </w:rPr>
      </w:pPr>
      <w:r w:rsidRPr="00DB3152">
        <w:t>Нежелательные явления перечислены ниже (Таблица 5-1) по системно</w:t>
      </w:r>
      <w:r w:rsidRPr="0007462D">
        <w:rPr>
          <w:color w:val="000000"/>
        </w:rPr>
        <w:t xml:space="preserve">-органным классам и частоте. Частоты определены как: очень часто (≥1/10); часто (≥1/100 - &lt;1/10); </w:t>
      </w:r>
      <w:r w:rsidRPr="00FA54E0">
        <w:rPr>
          <w:color w:val="000000"/>
        </w:rPr>
        <w:t>нечасто (≥1/1000 - &lt;1/100); редко (≥1/10000- &lt;1/1000); очень редко (&lt;1/10000) и частота не установлена (нельзя установить на основании доступных данных).</w:t>
      </w:r>
    </w:p>
    <w:p w14:paraId="275EF4A5" w14:textId="77777777" w:rsidR="00020D43" w:rsidRPr="00FA54E0" w:rsidRDefault="00020D43" w:rsidP="004B1452">
      <w:pPr>
        <w:ind w:firstLine="709"/>
        <w:rPr>
          <w:color w:val="000000"/>
        </w:rPr>
      </w:pPr>
    </w:p>
    <w:p w14:paraId="23CB5C3B" w14:textId="3DEDA0AC" w:rsidR="004B1452" w:rsidRPr="00FA54E0" w:rsidRDefault="004B1452" w:rsidP="007212E1">
      <w:pPr>
        <w:pStyle w:val="ab"/>
        <w:shd w:val="clear" w:color="auto" w:fill="FFFFFF"/>
        <w:spacing w:before="0" w:beforeAutospacing="0" w:after="0" w:afterAutospacing="0"/>
        <w:jc w:val="both"/>
        <w:rPr>
          <w:b/>
          <w:color w:val="000000"/>
        </w:rPr>
      </w:pPr>
      <w:r w:rsidRPr="00FA54E0">
        <w:rPr>
          <w:b/>
          <w:bCs/>
        </w:rPr>
        <w:t xml:space="preserve">Таблица 5-1. </w:t>
      </w:r>
      <w:r w:rsidRPr="00FA54E0">
        <w:rPr>
          <w:bCs/>
          <w:color w:val="000000"/>
        </w:rPr>
        <w:t xml:space="preserve">Частота нежелательных явлений, выявленных в плацебо-контролируемых клинических исследованиях </w:t>
      </w:r>
      <w:r w:rsidRPr="00FA54E0">
        <w:rPr>
          <w:bCs/>
          <w:lang w:bidi="ru-RU"/>
        </w:rPr>
        <w:t xml:space="preserve">линаглиптина </w:t>
      </w:r>
      <w:r w:rsidRPr="00FA54E0">
        <w:rPr>
          <w:bCs/>
          <w:color w:val="000000"/>
        </w:rPr>
        <w:t>и при пострегистрационном наблюдении</w:t>
      </w:r>
    </w:p>
    <w:tbl>
      <w:tblPr>
        <w:tblStyle w:val="a8"/>
        <w:tblW w:w="0" w:type="auto"/>
        <w:tblLook w:val="04A0" w:firstRow="1" w:lastRow="0" w:firstColumn="1" w:lastColumn="0" w:noHBand="0" w:noVBand="1"/>
      </w:tblPr>
      <w:tblGrid>
        <w:gridCol w:w="5524"/>
        <w:gridCol w:w="3822"/>
      </w:tblGrid>
      <w:tr w:rsidR="004B1452" w:rsidRPr="00FA54E0" w14:paraId="31D520C1" w14:textId="77777777" w:rsidTr="00FA54E0">
        <w:trPr>
          <w:cantSplit/>
          <w:tblHeader/>
        </w:trPr>
        <w:tc>
          <w:tcPr>
            <w:tcW w:w="5524" w:type="dxa"/>
            <w:shd w:val="clear" w:color="auto" w:fill="D9D9D9" w:themeFill="background1" w:themeFillShade="D9"/>
          </w:tcPr>
          <w:p w14:paraId="4B9E151B" w14:textId="77777777" w:rsidR="004B1452" w:rsidRPr="00FA54E0" w:rsidRDefault="004B1452" w:rsidP="007212E1">
            <w:pPr>
              <w:pStyle w:val="ab"/>
              <w:spacing w:before="0" w:beforeAutospacing="0" w:after="0" w:afterAutospacing="0"/>
              <w:jc w:val="center"/>
              <w:rPr>
                <w:rFonts w:eastAsia="MS Mincho"/>
                <w:iCs/>
                <w:lang w:eastAsia="en-US"/>
              </w:rPr>
            </w:pPr>
            <w:r w:rsidRPr="00FA54E0">
              <w:rPr>
                <w:b/>
                <w:bCs/>
              </w:rPr>
              <w:t>Системно-органный класс (нежелательные реакции)</w:t>
            </w:r>
          </w:p>
        </w:tc>
        <w:tc>
          <w:tcPr>
            <w:tcW w:w="3822" w:type="dxa"/>
            <w:shd w:val="clear" w:color="auto" w:fill="D9D9D9" w:themeFill="background1" w:themeFillShade="D9"/>
          </w:tcPr>
          <w:p w14:paraId="0A9C8634" w14:textId="77777777" w:rsidR="004B1452" w:rsidRPr="00FA54E0" w:rsidRDefault="004B1452" w:rsidP="007212E1">
            <w:pPr>
              <w:pStyle w:val="ab"/>
              <w:spacing w:before="0" w:beforeAutospacing="0" w:after="0" w:afterAutospacing="0"/>
              <w:jc w:val="center"/>
              <w:rPr>
                <w:rFonts w:eastAsia="MS Mincho"/>
                <w:iCs/>
                <w:lang w:eastAsia="en-US"/>
              </w:rPr>
            </w:pPr>
            <w:r w:rsidRPr="00FA54E0">
              <w:rPr>
                <w:b/>
                <w:bCs/>
                <w:color w:val="000000"/>
              </w:rPr>
              <w:t>Частота встречаемости</w:t>
            </w:r>
          </w:p>
        </w:tc>
      </w:tr>
      <w:tr w:rsidR="00FA54E0" w:rsidRPr="00FA54E0" w14:paraId="5445FA02" w14:textId="77777777" w:rsidTr="005917D6">
        <w:tc>
          <w:tcPr>
            <w:tcW w:w="9346" w:type="dxa"/>
            <w:gridSpan w:val="2"/>
          </w:tcPr>
          <w:p w14:paraId="0375ABA1" w14:textId="58C5988E" w:rsidR="00FA54E0" w:rsidRPr="00FA54E0" w:rsidRDefault="00FA54E0" w:rsidP="00BE4B51">
            <w:pPr>
              <w:pStyle w:val="ab"/>
              <w:spacing w:before="0" w:beforeAutospacing="0" w:after="0" w:afterAutospacing="0"/>
              <w:jc w:val="both"/>
              <w:rPr>
                <w:rFonts w:eastAsia="MS Mincho"/>
                <w:iCs/>
                <w:lang w:eastAsia="en-US"/>
              </w:rPr>
            </w:pPr>
            <w:r w:rsidRPr="00FA54E0">
              <w:rPr>
                <w:bCs/>
                <w:i/>
              </w:rPr>
              <w:t>Инфекционные и паразитарные заболевания</w:t>
            </w:r>
          </w:p>
        </w:tc>
      </w:tr>
      <w:tr w:rsidR="004B1452" w:rsidRPr="00FA54E0" w14:paraId="2CF6657C" w14:textId="77777777" w:rsidTr="00FA54E0">
        <w:tc>
          <w:tcPr>
            <w:tcW w:w="5524" w:type="dxa"/>
          </w:tcPr>
          <w:p w14:paraId="1B94F340" w14:textId="77777777" w:rsidR="004B1452" w:rsidRPr="00FA54E0" w:rsidRDefault="004B1452" w:rsidP="00BE4B51">
            <w:pPr>
              <w:pStyle w:val="ab"/>
              <w:spacing w:before="0" w:beforeAutospacing="0" w:after="0" w:afterAutospacing="0"/>
              <w:jc w:val="both"/>
              <w:rPr>
                <w:rFonts w:eastAsia="MS Mincho"/>
                <w:iCs/>
                <w:lang w:eastAsia="en-US"/>
              </w:rPr>
            </w:pPr>
            <w:r w:rsidRPr="00FA54E0">
              <w:t>Назофарингит</w:t>
            </w:r>
          </w:p>
        </w:tc>
        <w:tc>
          <w:tcPr>
            <w:tcW w:w="3822" w:type="dxa"/>
          </w:tcPr>
          <w:p w14:paraId="3C448D88" w14:textId="77777777" w:rsidR="004B1452" w:rsidRPr="00FA54E0" w:rsidRDefault="004B1452" w:rsidP="00BE4B51">
            <w:pPr>
              <w:pStyle w:val="ab"/>
              <w:spacing w:before="0" w:beforeAutospacing="0" w:after="0" w:afterAutospacing="0"/>
              <w:jc w:val="both"/>
              <w:rPr>
                <w:rFonts w:eastAsia="MS Mincho"/>
                <w:iCs/>
                <w:lang w:eastAsia="en-US"/>
              </w:rPr>
            </w:pPr>
            <w:r w:rsidRPr="00FA54E0">
              <w:t>Нечасто</w:t>
            </w:r>
          </w:p>
        </w:tc>
      </w:tr>
      <w:tr w:rsidR="00FA54E0" w:rsidRPr="00FA54E0" w14:paraId="7C0200E2" w14:textId="77777777" w:rsidTr="005917D6">
        <w:tc>
          <w:tcPr>
            <w:tcW w:w="9346" w:type="dxa"/>
            <w:gridSpan w:val="2"/>
          </w:tcPr>
          <w:p w14:paraId="30F9D8E1" w14:textId="4DA7BDBC" w:rsidR="00FA54E0" w:rsidRPr="00FA54E0" w:rsidRDefault="00FA54E0" w:rsidP="00BE4B51">
            <w:pPr>
              <w:pStyle w:val="ab"/>
              <w:spacing w:before="0" w:beforeAutospacing="0" w:after="0" w:afterAutospacing="0"/>
              <w:jc w:val="both"/>
              <w:rPr>
                <w:rFonts w:eastAsia="MS Mincho"/>
                <w:iCs/>
                <w:lang w:eastAsia="en-US"/>
              </w:rPr>
            </w:pPr>
            <w:r w:rsidRPr="00FA54E0">
              <w:rPr>
                <w:bCs/>
                <w:i/>
              </w:rPr>
              <w:t>Нарушения со стороны иммунной системы</w:t>
            </w:r>
          </w:p>
        </w:tc>
      </w:tr>
      <w:tr w:rsidR="004B1452" w:rsidRPr="00FA54E0" w14:paraId="302073CA" w14:textId="77777777" w:rsidTr="00FA54E0">
        <w:tc>
          <w:tcPr>
            <w:tcW w:w="5524" w:type="dxa"/>
          </w:tcPr>
          <w:p w14:paraId="73E8D370" w14:textId="77777777" w:rsidR="004B1452" w:rsidRPr="00FA54E0" w:rsidRDefault="004B1452" w:rsidP="00BE4B51">
            <w:pPr>
              <w:pStyle w:val="ab"/>
              <w:spacing w:before="0" w:beforeAutospacing="0" w:after="0" w:afterAutospacing="0"/>
              <w:jc w:val="both"/>
              <w:rPr>
                <w:rFonts w:eastAsia="MS Mincho"/>
                <w:iCs/>
                <w:lang w:eastAsia="en-US"/>
              </w:rPr>
            </w:pPr>
            <w:r w:rsidRPr="00FA54E0">
              <w:t>Гиперчувствительность (например, гиперреактивность бронхов)</w:t>
            </w:r>
          </w:p>
        </w:tc>
        <w:tc>
          <w:tcPr>
            <w:tcW w:w="3822" w:type="dxa"/>
          </w:tcPr>
          <w:p w14:paraId="46045AE9" w14:textId="77777777" w:rsidR="004B1452" w:rsidRPr="00FA54E0" w:rsidRDefault="004B1452" w:rsidP="00BE4B51">
            <w:pPr>
              <w:pStyle w:val="ab"/>
              <w:spacing w:before="0" w:beforeAutospacing="0" w:after="0" w:afterAutospacing="0"/>
              <w:jc w:val="both"/>
              <w:rPr>
                <w:rFonts w:eastAsia="MS Mincho"/>
                <w:iCs/>
                <w:lang w:eastAsia="en-US"/>
              </w:rPr>
            </w:pPr>
            <w:r w:rsidRPr="00FA54E0">
              <w:t>Нечасто</w:t>
            </w:r>
          </w:p>
        </w:tc>
      </w:tr>
      <w:tr w:rsidR="00FA54E0" w:rsidRPr="00FA54E0" w14:paraId="24D924B9" w14:textId="77777777" w:rsidTr="005917D6">
        <w:tc>
          <w:tcPr>
            <w:tcW w:w="9346" w:type="dxa"/>
            <w:gridSpan w:val="2"/>
          </w:tcPr>
          <w:p w14:paraId="67683C2B" w14:textId="27B8B2CA" w:rsidR="00FA54E0" w:rsidRPr="00FA54E0" w:rsidRDefault="00FA54E0" w:rsidP="00BE4B51">
            <w:pPr>
              <w:pStyle w:val="ab"/>
              <w:spacing w:before="0" w:beforeAutospacing="0" w:after="0" w:afterAutospacing="0"/>
              <w:jc w:val="both"/>
              <w:rPr>
                <w:rFonts w:eastAsia="MS Mincho"/>
                <w:iCs/>
                <w:lang w:eastAsia="en-US"/>
              </w:rPr>
            </w:pPr>
            <w:r w:rsidRPr="00FA54E0">
              <w:rPr>
                <w:bCs/>
                <w:i/>
              </w:rPr>
              <w:t>Нарушения со стороны обмена веществ и питания</w:t>
            </w:r>
          </w:p>
        </w:tc>
      </w:tr>
      <w:tr w:rsidR="004B1452" w:rsidRPr="00FA54E0" w14:paraId="4EC454CB" w14:textId="77777777" w:rsidTr="00FA54E0">
        <w:tc>
          <w:tcPr>
            <w:tcW w:w="5524" w:type="dxa"/>
          </w:tcPr>
          <w:p w14:paraId="3962A4A6" w14:textId="77777777" w:rsidR="004B1452" w:rsidRPr="00FA54E0" w:rsidRDefault="004B1452" w:rsidP="00BE4B51">
            <w:pPr>
              <w:pStyle w:val="ab"/>
              <w:spacing w:before="0" w:beforeAutospacing="0" w:after="0" w:afterAutospacing="0"/>
              <w:jc w:val="both"/>
              <w:rPr>
                <w:rFonts w:eastAsia="MS Mincho"/>
                <w:iCs/>
                <w:lang w:eastAsia="en-US"/>
              </w:rPr>
            </w:pPr>
            <w:r w:rsidRPr="00FA54E0">
              <w:t>Гипогликемия</w:t>
            </w:r>
            <w:r w:rsidRPr="00FA54E0">
              <w:rPr>
                <w:vertAlign w:val="superscript"/>
              </w:rPr>
              <w:t>1</w:t>
            </w:r>
          </w:p>
        </w:tc>
        <w:tc>
          <w:tcPr>
            <w:tcW w:w="3822" w:type="dxa"/>
          </w:tcPr>
          <w:p w14:paraId="18534D2C" w14:textId="77777777" w:rsidR="004B1452" w:rsidRPr="00FA54E0" w:rsidRDefault="004B1452" w:rsidP="00BE4B51">
            <w:pPr>
              <w:pStyle w:val="ab"/>
              <w:spacing w:before="0" w:beforeAutospacing="0" w:after="0" w:afterAutospacing="0"/>
              <w:jc w:val="both"/>
              <w:rPr>
                <w:rFonts w:eastAsia="MS Mincho"/>
                <w:iCs/>
                <w:lang w:eastAsia="en-US"/>
              </w:rPr>
            </w:pPr>
            <w:r w:rsidRPr="00FA54E0">
              <w:t>Очень часто</w:t>
            </w:r>
          </w:p>
        </w:tc>
      </w:tr>
      <w:tr w:rsidR="00FA54E0" w:rsidRPr="00FA54E0" w14:paraId="79BD0E1B" w14:textId="77777777" w:rsidTr="005917D6">
        <w:tc>
          <w:tcPr>
            <w:tcW w:w="9346" w:type="dxa"/>
            <w:gridSpan w:val="2"/>
          </w:tcPr>
          <w:p w14:paraId="5E7997AF" w14:textId="54ED2393" w:rsidR="00FA54E0" w:rsidRPr="00FA54E0" w:rsidRDefault="00FA54E0" w:rsidP="00BE4B51">
            <w:pPr>
              <w:pStyle w:val="ab"/>
              <w:spacing w:before="0" w:beforeAutospacing="0" w:after="0" w:afterAutospacing="0"/>
              <w:jc w:val="both"/>
              <w:rPr>
                <w:rFonts w:eastAsia="MS Mincho"/>
                <w:i/>
                <w:iCs/>
                <w:lang w:eastAsia="en-US"/>
              </w:rPr>
            </w:pPr>
            <w:r w:rsidRPr="00FA54E0">
              <w:rPr>
                <w:bCs/>
                <w:i/>
              </w:rPr>
              <w:t>Нарушения со стороны дыхательной системы, органов грудной клетки и средостения</w:t>
            </w:r>
          </w:p>
        </w:tc>
      </w:tr>
      <w:tr w:rsidR="004B1452" w:rsidRPr="00FA54E0" w14:paraId="3D9A1950" w14:textId="77777777" w:rsidTr="00FA54E0">
        <w:tc>
          <w:tcPr>
            <w:tcW w:w="5524" w:type="dxa"/>
          </w:tcPr>
          <w:p w14:paraId="64D31379" w14:textId="77777777" w:rsidR="004B1452" w:rsidRPr="00FA54E0" w:rsidRDefault="004B1452" w:rsidP="00BE4B51">
            <w:pPr>
              <w:pStyle w:val="ab"/>
              <w:spacing w:before="0" w:beforeAutospacing="0" w:after="0" w:afterAutospacing="0"/>
              <w:jc w:val="both"/>
              <w:rPr>
                <w:rFonts w:eastAsia="MS Mincho"/>
                <w:iCs/>
                <w:lang w:eastAsia="en-US"/>
              </w:rPr>
            </w:pPr>
            <w:r w:rsidRPr="00FA54E0">
              <w:t>Кашель</w:t>
            </w:r>
          </w:p>
        </w:tc>
        <w:tc>
          <w:tcPr>
            <w:tcW w:w="3822" w:type="dxa"/>
          </w:tcPr>
          <w:p w14:paraId="109EF7EE" w14:textId="77777777" w:rsidR="004B1452" w:rsidRPr="00FA54E0" w:rsidRDefault="004B1452" w:rsidP="00BE4B51">
            <w:pPr>
              <w:pStyle w:val="ab"/>
              <w:spacing w:before="0" w:beforeAutospacing="0" w:after="0" w:afterAutospacing="0"/>
              <w:jc w:val="both"/>
              <w:rPr>
                <w:rFonts w:eastAsia="MS Mincho"/>
                <w:iCs/>
                <w:lang w:eastAsia="en-US"/>
              </w:rPr>
            </w:pPr>
            <w:r w:rsidRPr="00FA54E0">
              <w:t>Нечасто</w:t>
            </w:r>
          </w:p>
        </w:tc>
      </w:tr>
      <w:tr w:rsidR="00FA54E0" w:rsidRPr="00FA54E0" w14:paraId="4BF8C94D" w14:textId="77777777" w:rsidTr="005917D6">
        <w:tc>
          <w:tcPr>
            <w:tcW w:w="9346" w:type="dxa"/>
            <w:gridSpan w:val="2"/>
          </w:tcPr>
          <w:p w14:paraId="6AAB62C3" w14:textId="751C6DDD" w:rsidR="00FA54E0" w:rsidRPr="00FA54E0" w:rsidRDefault="00FA54E0" w:rsidP="00BE4B51">
            <w:pPr>
              <w:pStyle w:val="ab"/>
              <w:spacing w:before="0" w:beforeAutospacing="0" w:after="0" w:afterAutospacing="0"/>
              <w:jc w:val="both"/>
              <w:rPr>
                <w:rFonts w:eastAsia="MS Mincho"/>
                <w:i/>
                <w:iCs/>
                <w:lang w:eastAsia="en-US"/>
              </w:rPr>
            </w:pPr>
            <w:r w:rsidRPr="00FA54E0">
              <w:rPr>
                <w:bCs/>
                <w:i/>
              </w:rPr>
              <w:t>Нарушения со стороны желудочно-кишечного тракта</w:t>
            </w:r>
          </w:p>
        </w:tc>
      </w:tr>
      <w:tr w:rsidR="004B1452" w:rsidRPr="00FA54E0" w14:paraId="003A3876" w14:textId="77777777" w:rsidTr="00FA54E0">
        <w:tc>
          <w:tcPr>
            <w:tcW w:w="5524" w:type="dxa"/>
          </w:tcPr>
          <w:p w14:paraId="224F6F7C" w14:textId="77777777" w:rsidR="004B1452" w:rsidRPr="00FA54E0" w:rsidRDefault="004B1452" w:rsidP="00BE4B51">
            <w:pPr>
              <w:pStyle w:val="ab"/>
              <w:spacing w:before="0" w:beforeAutospacing="0" w:after="0" w:afterAutospacing="0"/>
              <w:jc w:val="both"/>
              <w:rPr>
                <w:rFonts w:eastAsia="MS Mincho"/>
                <w:iCs/>
                <w:lang w:eastAsia="en-US"/>
              </w:rPr>
            </w:pPr>
            <w:r w:rsidRPr="00FA54E0">
              <w:t>Панкреатит</w:t>
            </w:r>
          </w:p>
        </w:tc>
        <w:tc>
          <w:tcPr>
            <w:tcW w:w="3822" w:type="dxa"/>
          </w:tcPr>
          <w:p w14:paraId="5C7499B9" w14:textId="1A46F2DA" w:rsidR="004B1452" w:rsidRPr="00E87810" w:rsidRDefault="004B1452" w:rsidP="00E87810">
            <w:pPr>
              <w:pStyle w:val="ab"/>
              <w:spacing w:before="0" w:beforeAutospacing="0" w:after="0" w:afterAutospacing="0"/>
              <w:jc w:val="both"/>
              <w:rPr>
                <w:rFonts w:eastAsia="MS Mincho"/>
                <w:iCs/>
                <w:lang w:val="en-US" w:eastAsia="en-US"/>
              </w:rPr>
            </w:pPr>
            <w:r w:rsidRPr="00FA54E0">
              <w:t>Редко</w:t>
            </w:r>
            <w:r w:rsidR="00E87810">
              <w:rPr>
                <w:vertAlign w:val="superscript"/>
                <w:lang w:val="en-US"/>
              </w:rPr>
              <w:t>a</w:t>
            </w:r>
          </w:p>
        </w:tc>
      </w:tr>
      <w:tr w:rsidR="00407DA1" w:rsidRPr="00FA54E0" w14:paraId="328D2EEF" w14:textId="77777777" w:rsidTr="00FA54E0">
        <w:tc>
          <w:tcPr>
            <w:tcW w:w="5524" w:type="dxa"/>
          </w:tcPr>
          <w:p w14:paraId="5368BB9D" w14:textId="1D4FBE4F" w:rsidR="00407DA1" w:rsidRPr="00407DA1" w:rsidRDefault="00407DA1" w:rsidP="00BE4B51">
            <w:pPr>
              <w:pStyle w:val="ab"/>
              <w:spacing w:before="0" w:beforeAutospacing="0" w:after="0" w:afterAutospacing="0"/>
              <w:jc w:val="both"/>
              <w:rPr>
                <w:vertAlign w:val="superscript"/>
              </w:rPr>
            </w:pPr>
            <w:r>
              <w:t>Запор</w:t>
            </w:r>
            <w:r>
              <w:rPr>
                <w:vertAlign w:val="superscript"/>
              </w:rPr>
              <w:t>2</w:t>
            </w:r>
          </w:p>
        </w:tc>
        <w:tc>
          <w:tcPr>
            <w:tcW w:w="3822" w:type="dxa"/>
          </w:tcPr>
          <w:p w14:paraId="73F253FE" w14:textId="059FA4BF" w:rsidR="00407DA1" w:rsidRPr="00FA54E0" w:rsidRDefault="00407DA1" w:rsidP="00BE4B51">
            <w:pPr>
              <w:pStyle w:val="ab"/>
              <w:spacing w:before="0" w:beforeAutospacing="0" w:after="0" w:afterAutospacing="0"/>
              <w:jc w:val="both"/>
            </w:pPr>
            <w:r>
              <w:t>Нечасто</w:t>
            </w:r>
          </w:p>
        </w:tc>
      </w:tr>
      <w:tr w:rsidR="00FA54E0" w:rsidRPr="00FA54E0" w14:paraId="2AC60EA1" w14:textId="77777777" w:rsidTr="005917D6">
        <w:tc>
          <w:tcPr>
            <w:tcW w:w="9346" w:type="dxa"/>
            <w:gridSpan w:val="2"/>
          </w:tcPr>
          <w:p w14:paraId="663F705A" w14:textId="32356055" w:rsidR="00FA54E0" w:rsidRPr="00FA54E0" w:rsidRDefault="00FA54E0" w:rsidP="00BE4B51">
            <w:pPr>
              <w:pStyle w:val="ab"/>
              <w:spacing w:before="0" w:beforeAutospacing="0" w:after="0" w:afterAutospacing="0"/>
              <w:jc w:val="both"/>
              <w:rPr>
                <w:rFonts w:eastAsia="MS Mincho"/>
                <w:i/>
                <w:iCs/>
                <w:lang w:eastAsia="en-US"/>
              </w:rPr>
            </w:pPr>
            <w:r w:rsidRPr="00FA54E0">
              <w:rPr>
                <w:i/>
              </w:rPr>
              <w:t>Нарушения со стороны кожи и подкожных тканей</w:t>
            </w:r>
          </w:p>
        </w:tc>
      </w:tr>
      <w:tr w:rsidR="004B1452" w:rsidRPr="00FA54E0" w14:paraId="14433A2D" w14:textId="77777777" w:rsidTr="00FA54E0">
        <w:tc>
          <w:tcPr>
            <w:tcW w:w="5524" w:type="dxa"/>
          </w:tcPr>
          <w:p w14:paraId="0B2BF97A" w14:textId="77777777" w:rsidR="004B1452" w:rsidRPr="00FA54E0" w:rsidRDefault="004B1452" w:rsidP="00BE4B51">
            <w:pPr>
              <w:pStyle w:val="ab"/>
              <w:spacing w:before="0" w:beforeAutospacing="0" w:after="0" w:afterAutospacing="0"/>
              <w:jc w:val="both"/>
              <w:rPr>
                <w:rFonts w:eastAsia="MS Mincho"/>
                <w:iCs/>
                <w:lang w:eastAsia="en-US"/>
              </w:rPr>
            </w:pPr>
            <w:r w:rsidRPr="00FA54E0">
              <w:t>Ангионевротический отек *</w:t>
            </w:r>
          </w:p>
        </w:tc>
        <w:tc>
          <w:tcPr>
            <w:tcW w:w="3822" w:type="dxa"/>
          </w:tcPr>
          <w:p w14:paraId="310E7FA2" w14:textId="77777777" w:rsidR="004B1452" w:rsidRPr="00FA54E0" w:rsidRDefault="004B1452" w:rsidP="00BE4B51">
            <w:pPr>
              <w:pStyle w:val="ab"/>
              <w:spacing w:before="0" w:beforeAutospacing="0" w:after="0" w:afterAutospacing="0"/>
              <w:jc w:val="both"/>
              <w:rPr>
                <w:rFonts w:eastAsia="MS Mincho"/>
                <w:iCs/>
                <w:lang w:eastAsia="en-US"/>
              </w:rPr>
            </w:pPr>
          </w:p>
        </w:tc>
      </w:tr>
      <w:tr w:rsidR="004B1452" w:rsidRPr="00FA54E0" w14:paraId="3C670C75" w14:textId="77777777" w:rsidTr="00FA54E0">
        <w:tc>
          <w:tcPr>
            <w:tcW w:w="5524" w:type="dxa"/>
          </w:tcPr>
          <w:p w14:paraId="721B9F65" w14:textId="77777777" w:rsidR="004B1452" w:rsidRPr="00FA54E0" w:rsidRDefault="004B1452" w:rsidP="00BE4B51">
            <w:pPr>
              <w:pStyle w:val="ab"/>
              <w:spacing w:before="0" w:beforeAutospacing="0" w:after="0" w:afterAutospacing="0"/>
              <w:jc w:val="both"/>
              <w:rPr>
                <w:rFonts w:eastAsia="MS Mincho"/>
                <w:iCs/>
                <w:lang w:eastAsia="en-US"/>
              </w:rPr>
            </w:pPr>
            <w:r w:rsidRPr="00FA54E0">
              <w:t>Крапивница*</w:t>
            </w:r>
          </w:p>
        </w:tc>
        <w:tc>
          <w:tcPr>
            <w:tcW w:w="3822" w:type="dxa"/>
          </w:tcPr>
          <w:p w14:paraId="28BED7BC" w14:textId="77777777" w:rsidR="004B1452" w:rsidRPr="00FA54E0" w:rsidRDefault="004B1452" w:rsidP="00BE4B51">
            <w:pPr>
              <w:pStyle w:val="ab"/>
              <w:spacing w:before="0" w:beforeAutospacing="0" w:after="0" w:afterAutospacing="0"/>
              <w:jc w:val="both"/>
              <w:rPr>
                <w:rFonts w:eastAsia="MS Mincho"/>
                <w:iCs/>
                <w:lang w:eastAsia="en-US"/>
              </w:rPr>
            </w:pPr>
            <w:r w:rsidRPr="00FA54E0">
              <w:t>Редко</w:t>
            </w:r>
          </w:p>
        </w:tc>
      </w:tr>
      <w:tr w:rsidR="004B1452" w:rsidRPr="00FA54E0" w14:paraId="7BA6C151" w14:textId="77777777" w:rsidTr="00FA54E0">
        <w:tc>
          <w:tcPr>
            <w:tcW w:w="5524" w:type="dxa"/>
          </w:tcPr>
          <w:p w14:paraId="5855B114" w14:textId="77777777" w:rsidR="004B1452" w:rsidRPr="00FA54E0" w:rsidRDefault="004B1452" w:rsidP="00BE4B51">
            <w:pPr>
              <w:pStyle w:val="ab"/>
              <w:spacing w:before="0" w:beforeAutospacing="0" w:after="0" w:afterAutospacing="0"/>
              <w:jc w:val="both"/>
              <w:rPr>
                <w:rFonts w:eastAsia="MS Mincho"/>
                <w:iCs/>
                <w:lang w:eastAsia="en-US"/>
              </w:rPr>
            </w:pPr>
            <w:r w:rsidRPr="00FA54E0">
              <w:t>Сыпь*</w:t>
            </w:r>
          </w:p>
        </w:tc>
        <w:tc>
          <w:tcPr>
            <w:tcW w:w="3822" w:type="dxa"/>
          </w:tcPr>
          <w:p w14:paraId="6A773E87" w14:textId="77777777" w:rsidR="004B1452" w:rsidRPr="00FA54E0" w:rsidRDefault="004B1452" w:rsidP="00BE4B51">
            <w:pPr>
              <w:pStyle w:val="ab"/>
              <w:spacing w:before="0" w:beforeAutospacing="0" w:after="0" w:afterAutospacing="0"/>
              <w:jc w:val="both"/>
              <w:rPr>
                <w:rFonts w:eastAsia="MS Mincho"/>
                <w:iCs/>
                <w:lang w:eastAsia="en-US"/>
              </w:rPr>
            </w:pPr>
            <w:r w:rsidRPr="00FA54E0">
              <w:t>Нечасто</w:t>
            </w:r>
          </w:p>
        </w:tc>
      </w:tr>
      <w:tr w:rsidR="004B1452" w:rsidRPr="00FA54E0" w14:paraId="45A469E7" w14:textId="77777777" w:rsidTr="00FA54E0">
        <w:tc>
          <w:tcPr>
            <w:tcW w:w="5524" w:type="dxa"/>
          </w:tcPr>
          <w:p w14:paraId="47533F6E" w14:textId="77777777" w:rsidR="004B1452" w:rsidRPr="00FA54E0" w:rsidRDefault="004B1452" w:rsidP="00BE4B51">
            <w:pPr>
              <w:pStyle w:val="ab"/>
              <w:spacing w:before="0" w:beforeAutospacing="0" w:after="0" w:afterAutospacing="0"/>
              <w:jc w:val="both"/>
              <w:rPr>
                <w:rFonts w:eastAsia="MS Mincho"/>
                <w:iCs/>
                <w:lang w:eastAsia="en-US"/>
              </w:rPr>
            </w:pPr>
            <w:r w:rsidRPr="00FA54E0">
              <w:t>Буллезный пемфигоид</w:t>
            </w:r>
          </w:p>
        </w:tc>
        <w:tc>
          <w:tcPr>
            <w:tcW w:w="3822" w:type="dxa"/>
          </w:tcPr>
          <w:p w14:paraId="5FB5344D" w14:textId="1278B1AE" w:rsidR="004B1452" w:rsidRPr="00E87810" w:rsidRDefault="004B1452" w:rsidP="00BE4B51">
            <w:pPr>
              <w:pStyle w:val="ab"/>
              <w:spacing w:before="0" w:beforeAutospacing="0" w:after="0" w:afterAutospacing="0"/>
              <w:jc w:val="both"/>
              <w:rPr>
                <w:rFonts w:eastAsia="MS Mincho"/>
                <w:iCs/>
                <w:vertAlign w:val="superscript"/>
                <w:lang w:val="en-US" w:eastAsia="en-US"/>
              </w:rPr>
            </w:pPr>
            <w:r w:rsidRPr="00FA54E0">
              <w:t>Редко</w:t>
            </w:r>
            <w:r w:rsidR="00E87810">
              <w:rPr>
                <w:vertAlign w:val="superscript"/>
                <w:lang w:val="en-US"/>
              </w:rPr>
              <w:t>a</w:t>
            </w:r>
          </w:p>
        </w:tc>
      </w:tr>
      <w:tr w:rsidR="00FA54E0" w:rsidRPr="00FA54E0" w14:paraId="578FAEEC" w14:textId="77777777" w:rsidTr="005917D6">
        <w:trPr>
          <w:trHeight w:val="124"/>
        </w:trPr>
        <w:tc>
          <w:tcPr>
            <w:tcW w:w="9346" w:type="dxa"/>
            <w:gridSpan w:val="2"/>
          </w:tcPr>
          <w:p w14:paraId="702BB36F" w14:textId="72D37BCB" w:rsidR="00FA54E0" w:rsidRPr="00FA54E0" w:rsidRDefault="00FA54E0" w:rsidP="00BE4B51">
            <w:pPr>
              <w:pStyle w:val="ab"/>
              <w:spacing w:before="0" w:beforeAutospacing="0" w:after="0" w:afterAutospacing="0"/>
              <w:jc w:val="both"/>
              <w:rPr>
                <w:rFonts w:eastAsia="MS Mincho"/>
                <w:i/>
                <w:iCs/>
                <w:lang w:eastAsia="en-US"/>
              </w:rPr>
            </w:pPr>
            <w:r w:rsidRPr="00FA54E0">
              <w:rPr>
                <w:bCs/>
                <w:i/>
              </w:rPr>
              <w:t>Лабораторные и инструментальные данные</w:t>
            </w:r>
          </w:p>
        </w:tc>
      </w:tr>
      <w:tr w:rsidR="004B1452" w:rsidRPr="00FA54E0" w14:paraId="326EFBBA" w14:textId="77777777" w:rsidTr="00FA54E0">
        <w:tc>
          <w:tcPr>
            <w:tcW w:w="5524" w:type="dxa"/>
          </w:tcPr>
          <w:p w14:paraId="3E36687B" w14:textId="77777777" w:rsidR="004B1452" w:rsidRPr="00FA54E0" w:rsidRDefault="004B1452" w:rsidP="00BE4B51">
            <w:pPr>
              <w:pStyle w:val="ab"/>
              <w:spacing w:before="0" w:beforeAutospacing="0" w:after="0" w:afterAutospacing="0"/>
              <w:jc w:val="both"/>
              <w:rPr>
                <w:rFonts w:eastAsia="MS Mincho"/>
                <w:iCs/>
                <w:lang w:eastAsia="en-US"/>
              </w:rPr>
            </w:pPr>
            <w:r w:rsidRPr="00FA54E0">
              <w:t>Повышение активности амилазы в плазме крови</w:t>
            </w:r>
          </w:p>
        </w:tc>
        <w:tc>
          <w:tcPr>
            <w:tcW w:w="3822" w:type="dxa"/>
          </w:tcPr>
          <w:p w14:paraId="4852FADE" w14:textId="77777777" w:rsidR="004B1452" w:rsidRPr="00FA54E0" w:rsidRDefault="004B1452" w:rsidP="00BE4B51">
            <w:pPr>
              <w:pStyle w:val="ab"/>
              <w:spacing w:before="0" w:beforeAutospacing="0" w:after="0" w:afterAutospacing="0"/>
              <w:jc w:val="both"/>
              <w:rPr>
                <w:rFonts w:eastAsia="MS Mincho"/>
                <w:iCs/>
                <w:lang w:eastAsia="en-US"/>
              </w:rPr>
            </w:pPr>
            <w:r w:rsidRPr="00FA54E0">
              <w:t>Нечасто</w:t>
            </w:r>
          </w:p>
        </w:tc>
      </w:tr>
      <w:tr w:rsidR="004B1452" w:rsidRPr="00FA54E0" w14:paraId="7FF79474" w14:textId="77777777" w:rsidTr="00FA54E0">
        <w:tc>
          <w:tcPr>
            <w:tcW w:w="5524" w:type="dxa"/>
          </w:tcPr>
          <w:p w14:paraId="66BBE9AE" w14:textId="77777777" w:rsidR="004B1452" w:rsidRPr="00FA54E0" w:rsidRDefault="004B1452" w:rsidP="00BE4B51">
            <w:pPr>
              <w:pStyle w:val="ab"/>
              <w:spacing w:before="0" w:beforeAutospacing="0" w:after="0" w:afterAutospacing="0"/>
              <w:jc w:val="both"/>
              <w:rPr>
                <w:rFonts w:eastAsia="MS Mincho"/>
                <w:iCs/>
                <w:lang w:eastAsia="en-US"/>
              </w:rPr>
            </w:pPr>
            <w:r w:rsidRPr="00FA54E0">
              <w:t>Повышение активности липазы в плазме крови**</w:t>
            </w:r>
          </w:p>
        </w:tc>
        <w:tc>
          <w:tcPr>
            <w:tcW w:w="3822" w:type="dxa"/>
          </w:tcPr>
          <w:p w14:paraId="5200B39E" w14:textId="77777777" w:rsidR="004B1452" w:rsidRPr="00FA54E0" w:rsidRDefault="004B1452" w:rsidP="00BE4B51">
            <w:pPr>
              <w:pStyle w:val="ab"/>
              <w:spacing w:before="0" w:beforeAutospacing="0" w:after="0" w:afterAutospacing="0"/>
              <w:jc w:val="both"/>
              <w:rPr>
                <w:rFonts w:eastAsia="MS Mincho"/>
                <w:iCs/>
                <w:lang w:eastAsia="en-US"/>
              </w:rPr>
            </w:pPr>
            <w:r w:rsidRPr="00FA54E0">
              <w:t>Часто</w:t>
            </w:r>
          </w:p>
        </w:tc>
      </w:tr>
      <w:tr w:rsidR="00F96DCB" w14:paraId="0FB1E4A5" w14:textId="77777777" w:rsidTr="005917D6">
        <w:tc>
          <w:tcPr>
            <w:tcW w:w="9346" w:type="dxa"/>
            <w:gridSpan w:val="2"/>
          </w:tcPr>
          <w:p w14:paraId="079098C1" w14:textId="77777777" w:rsidR="00F96DCB" w:rsidRPr="00F96DCB" w:rsidRDefault="00F96DCB" w:rsidP="00BE4B51">
            <w:pPr>
              <w:pStyle w:val="ab"/>
              <w:spacing w:before="0" w:beforeAutospacing="0" w:after="0" w:afterAutospacing="0"/>
              <w:jc w:val="both"/>
              <w:rPr>
                <w:b/>
                <w:sz w:val="20"/>
                <w:szCs w:val="20"/>
              </w:rPr>
            </w:pPr>
            <w:r w:rsidRPr="00F96DCB">
              <w:rPr>
                <w:b/>
                <w:sz w:val="20"/>
                <w:szCs w:val="20"/>
              </w:rPr>
              <w:t>Примечание:</w:t>
            </w:r>
          </w:p>
          <w:p w14:paraId="7DEEEE98" w14:textId="77777777" w:rsidR="00F96DCB" w:rsidRDefault="00F96DCB" w:rsidP="00F96DCB">
            <w:pPr>
              <w:pStyle w:val="afff7"/>
              <w:spacing w:before="0" w:after="0"/>
              <w:rPr>
                <w:rFonts w:eastAsia="MS Mincho"/>
                <w:iCs/>
                <w:lang w:eastAsia="en-US"/>
              </w:rPr>
            </w:pPr>
            <w:r>
              <w:rPr>
                <w:rFonts w:eastAsia="MS Mincho"/>
                <w:iCs/>
                <w:lang w:eastAsia="en-US"/>
              </w:rPr>
              <w:t>*</w:t>
            </w:r>
            <w:r w:rsidRPr="00B878CD">
              <w:t xml:space="preserve"> </w:t>
            </w:r>
            <w:r>
              <w:t>на основании пострегистрационного наблюдения</w:t>
            </w:r>
          </w:p>
          <w:p w14:paraId="52442F1C" w14:textId="77777777" w:rsidR="00F96DCB" w:rsidRDefault="00F96DCB" w:rsidP="00F96DCB">
            <w:pPr>
              <w:pStyle w:val="afff7"/>
              <w:spacing w:before="0" w:after="0"/>
            </w:pPr>
            <w:r>
              <w:rPr>
                <w:rFonts w:eastAsia="MS Mincho"/>
                <w:iCs/>
                <w:lang w:eastAsia="en-US"/>
              </w:rPr>
              <w:t>**</w:t>
            </w:r>
            <w:r w:rsidRPr="00B878CD">
              <w:t xml:space="preserve"> </w:t>
            </w:r>
            <w:r>
              <w:t xml:space="preserve">на основании данных о превышении нормы липазы более чем в три раза, полученных в клинических исследованиях </w:t>
            </w:r>
          </w:p>
          <w:p w14:paraId="1CD0229C" w14:textId="5A6AD9D9" w:rsidR="00F96DCB" w:rsidRDefault="00E87810" w:rsidP="00F96DCB">
            <w:pPr>
              <w:pStyle w:val="afff7"/>
              <w:spacing w:before="0" w:after="0"/>
            </w:pPr>
            <w:r>
              <w:rPr>
                <w:sz w:val="18"/>
                <w:lang w:val="en-US"/>
              </w:rPr>
              <w:t>a</w:t>
            </w:r>
            <w:r w:rsidRPr="00E87810">
              <w:rPr>
                <w:sz w:val="18"/>
              </w:rPr>
              <w:t xml:space="preserve"> </w:t>
            </w:r>
            <w:r w:rsidR="00F96DCB">
              <w:rPr>
                <w:sz w:val="18"/>
                <w:vertAlign w:val="superscript"/>
              </w:rPr>
              <w:t xml:space="preserve"> </w:t>
            </w:r>
            <w:r w:rsidR="00F96DCB">
              <w:t>на основании данных, полученных в клиническом исследовании CARMELINA</w:t>
            </w:r>
          </w:p>
          <w:p w14:paraId="77CC818D" w14:textId="21ED25F3" w:rsidR="00F96DCB" w:rsidRDefault="00F96DCB" w:rsidP="00F96DCB">
            <w:pPr>
              <w:pStyle w:val="afff7"/>
              <w:spacing w:before="0" w:after="0"/>
            </w:pPr>
            <w:r w:rsidRPr="0017785D">
              <w:rPr>
                <w:b/>
                <w:bCs/>
                <w:color w:val="000000"/>
                <w:vertAlign w:val="superscript"/>
              </w:rPr>
              <w:t>1</w:t>
            </w:r>
            <w:r>
              <w:rPr>
                <w:b/>
                <w:bCs/>
                <w:color w:val="000000"/>
                <w:vertAlign w:val="superscript"/>
              </w:rPr>
              <w:t xml:space="preserve"> </w:t>
            </w:r>
            <w:r>
              <w:t>наблюдавшиеся при применении в комбинации с метформином и производным сульфонилмочевины</w:t>
            </w:r>
          </w:p>
          <w:p w14:paraId="343FD3EC" w14:textId="3826FD1B" w:rsidR="00F96DCB" w:rsidRPr="00954835" w:rsidRDefault="00F96DCB" w:rsidP="00F96DCB">
            <w:pPr>
              <w:pStyle w:val="afff7"/>
              <w:spacing w:before="0" w:after="0"/>
            </w:pPr>
            <w:r w:rsidRPr="0017785D">
              <w:rPr>
                <w:vertAlign w:val="superscript"/>
              </w:rPr>
              <w:t>2</w:t>
            </w:r>
            <w:r>
              <w:rPr>
                <w:vertAlign w:val="superscript"/>
              </w:rPr>
              <w:t xml:space="preserve"> </w:t>
            </w:r>
            <w:r>
              <w:t>НР, наблюдавшиеся при применении в комбинации с инсулином</w:t>
            </w:r>
          </w:p>
        </w:tc>
      </w:tr>
      <w:bookmarkEnd w:id="268"/>
      <w:bookmarkEnd w:id="269"/>
      <w:bookmarkEnd w:id="270"/>
    </w:tbl>
    <w:p w14:paraId="6A5A7E9E" w14:textId="27F0B987" w:rsidR="00A16B11" w:rsidRDefault="00A16B11" w:rsidP="00A16B11"/>
    <w:p w14:paraId="137FF78F" w14:textId="19B6FFEF" w:rsidR="00A16B11" w:rsidRPr="00B74F66" w:rsidRDefault="00A16B11" w:rsidP="00A16B11">
      <w:pPr>
        <w:ind w:firstLine="709"/>
        <w:contextualSpacing/>
        <w:rPr>
          <w:iCs/>
        </w:rPr>
      </w:pPr>
      <w:r w:rsidRPr="00DA5E6D">
        <w:rPr>
          <w:lang w:eastAsia="ru-RU"/>
        </w:rPr>
        <w:t>Случа</w:t>
      </w:r>
      <w:r w:rsidR="00B74F66">
        <w:rPr>
          <w:lang w:eastAsia="ru-RU"/>
        </w:rPr>
        <w:t>и</w:t>
      </w:r>
      <w:r w:rsidRPr="00DA5E6D">
        <w:rPr>
          <w:lang w:eastAsia="ru-RU"/>
        </w:rPr>
        <w:t xml:space="preserve"> прекращения участия в КИ здоровыми добровольцами по причине развития НЯ при приеме </w:t>
      </w:r>
      <w:r w:rsidR="004A44C6" w:rsidRPr="00DA5E6D">
        <w:rPr>
          <w:lang w:eastAsia="ru-RU"/>
        </w:rPr>
        <w:t>линаглиптина</w:t>
      </w:r>
      <w:r w:rsidRPr="00DA5E6D">
        <w:rPr>
          <w:lang w:eastAsia="ru-RU"/>
        </w:rPr>
        <w:t xml:space="preserve"> </w:t>
      </w:r>
      <w:r w:rsidR="00B74F66" w:rsidRPr="00B74F66">
        <w:rPr>
          <w:lang w:eastAsia="ru-RU"/>
        </w:rPr>
        <w:t xml:space="preserve">крайне немногочисленны. В частности, в исследовании биоэквивалентности линаглиптина в дозировке 5 мг один доброволец из 30 субъектов </w:t>
      </w:r>
      <w:r w:rsidR="00B74F66" w:rsidRPr="00B74F66">
        <w:rPr>
          <w:lang w:eastAsia="ru-RU"/>
        </w:rPr>
        <w:lastRenderedPageBreak/>
        <w:t>включенных в исследование выбыл по причине развития диареи в периоде 2</w:t>
      </w:r>
      <w:r w:rsidRPr="00B74F66">
        <w:rPr>
          <w:lang w:eastAsia="ru-RU"/>
        </w:rPr>
        <w:t>.</w:t>
      </w:r>
      <w:r w:rsidR="00B74F66" w:rsidRPr="00B74F66">
        <w:rPr>
          <w:rFonts w:eastAsia="Times New Roman"/>
          <w:vertAlign w:val="superscript"/>
          <w:lang w:eastAsia="en-US"/>
        </w:rPr>
        <w:t xml:space="preserve"> </w:t>
      </w:r>
      <w:r w:rsidR="00B74F66" w:rsidRPr="00B74F66">
        <w:rPr>
          <w:rFonts w:eastAsia="Times New Roman"/>
          <w:vertAlign w:val="superscript"/>
          <w:lang w:eastAsia="en-US"/>
        </w:rPr>
        <w:footnoteReference w:id="1"/>
      </w:r>
      <w:r w:rsidRPr="00B74F66">
        <w:rPr>
          <w:lang w:eastAsia="ru-RU"/>
        </w:rPr>
        <w:t xml:space="preserve"> </w:t>
      </w:r>
      <w:r w:rsidRPr="00B74F66">
        <w:t xml:space="preserve">Частота прекращения участия в КИ пациентами по причине развития нежелательных явлений в среднем составляла до </w:t>
      </w:r>
      <w:r w:rsidR="004A44C6" w:rsidRPr="00B74F66">
        <w:t>3,6</w:t>
      </w:r>
      <w:r w:rsidRPr="00B74F66">
        <w:t xml:space="preserve">%.  </w:t>
      </w:r>
    </w:p>
    <w:p w14:paraId="7A295179" w14:textId="77777777" w:rsidR="00C60396" w:rsidRPr="00B74F66" w:rsidRDefault="00A16B11" w:rsidP="00C60396">
      <w:pPr>
        <w:ind w:firstLine="709"/>
        <w:rPr>
          <w:rFonts w:eastAsia="Times New Roman"/>
          <w:iCs/>
          <w:lang w:eastAsia="en-US"/>
        </w:rPr>
      </w:pPr>
      <w:r w:rsidRPr="00B74F66">
        <w:rPr>
          <w:iCs/>
        </w:rPr>
        <w:t>В исследовании по протоколу №</w:t>
      </w:r>
      <w:r w:rsidR="004A44C6" w:rsidRPr="00B74F66">
        <w:rPr>
          <w:rFonts w:eastAsia="Times New Roman"/>
          <w:lang w:eastAsia="en-US"/>
        </w:rPr>
        <w:t xml:space="preserve"> </w:t>
      </w:r>
      <w:r w:rsidR="004A44C6" w:rsidRPr="00B74F66">
        <w:rPr>
          <w:rFonts w:eastAsia="Times New Roman"/>
          <w:lang w:val="en-US" w:eastAsia="en-US"/>
        </w:rPr>
        <w:t>CA</w:t>
      </w:r>
      <w:r w:rsidR="004A44C6" w:rsidRPr="00B74F66">
        <w:rPr>
          <w:rFonts w:eastAsia="Times New Roman"/>
          <w:lang w:eastAsia="en-US"/>
        </w:rPr>
        <w:t>101059165</w:t>
      </w:r>
      <w:r w:rsidRPr="00B74F66">
        <w:rPr>
          <w:iCs/>
        </w:rPr>
        <w:t xml:space="preserve"> каждый доброволец получит по 2 приема </w:t>
      </w:r>
      <w:r w:rsidR="004A44C6" w:rsidRPr="00B74F66">
        <w:rPr>
          <w:iCs/>
        </w:rPr>
        <w:t>линаглиптина в разовой дозе 5</w:t>
      </w:r>
      <w:r w:rsidRPr="00B74F66">
        <w:rPr>
          <w:iCs/>
        </w:rPr>
        <w:t xml:space="preserve"> мг. </w:t>
      </w:r>
      <w:r w:rsidR="00C60396" w:rsidRPr="00B74F66">
        <w:rPr>
          <w:rFonts w:eastAsia="Times New Roman"/>
          <w:iCs/>
          <w:lang w:eastAsia="en-US"/>
        </w:rPr>
        <w:t xml:space="preserve">Каждый прием будет отделен от последующего отмывочным периодом в 42 дня.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линаглиптина и характеризоваться преимущественно легкой или умеренной степенью выраженности. </w:t>
      </w:r>
    </w:p>
    <w:p w14:paraId="1E278C9D" w14:textId="06F2CB1E" w:rsidR="00C60396" w:rsidRPr="00C60396" w:rsidRDefault="00C60396" w:rsidP="00C60396">
      <w:pPr>
        <w:suppressAutoHyphens/>
        <w:overflowPunct w:val="0"/>
        <w:ind w:firstLine="709"/>
        <w:rPr>
          <w:rFonts w:eastAsia="Times New Roman"/>
          <w:lang w:eastAsia="ru-RU"/>
        </w:rPr>
      </w:pPr>
      <w:r w:rsidRPr="00C60396">
        <w:rPr>
          <w:rFonts w:eastAsia="Times New Roman"/>
          <w:lang w:eastAsia="ru-RU"/>
        </w:rPr>
        <w:t xml:space="preserve">В настоящем исследовании предусмотрено включение здоровых добровольцев как мужского, так и женского пола. Допустимость включения как мужчин, так и женщин подтверждается результатами ранее проводившихся исследований фармакокинетики и </w:t>
      </w:r>
      <w:r w:rsidR="003C3405">
        <w:rPr>
          <w:rFonts w:eastAsia="Times New Roman"/>
          <w:lang w:eastAsia="ru-RU"/>
        </w:rPr>
        <w:t xml:space="preserve">биоэквивалентности </w:t>
      </w:r>
      <w:r w:rsidRPr="00C60396">
        <w:rPr>
          <w:rFonts w:eastAsia="Times New Roman"/>
          <w:lang w:eastAsia="ru-RU"/>
        </w:rPr>
        <w:t>с</w:t>
      </w:r>
      <w:r w:rsidR="00D9115A">
        <w:rPr>
          <w:rFonts w:eastAsia="Times New Roman"/>
          <w:lang w:eastAsia="ru-RU"/>
        </w:rPr>
        <w:t xml:space="preserve"> участием здоровых добровольцев</w:t>
      </w:r>
      <w:r w:rsidR="003C3405">
        <w:rPr>
          <w:rStyle w:val="af"/>
          <w:rFonts w:eastAsia="Times New Roman"/>
          <w:lang w:eastAsia="ru-RU"/>
        </w:rPr>
        <w:footnoteReference w:id="2"/>
      </w:r>
      <w:r w:rsidR="00D9115A">
        <w:rPr>
          <w:rFonts w:eastAsia="Times New Roman"/>
          <w:vertAlign w:val="superscript"/>
          <w:lang w:eastAsia="ru-RU"/>
        </w:rPr>
        <w:t>,</w:t>
      </w:r>
      <w:r w:rsidR="00D9115A">
        <w:rPr>
          <w:rStyle w:val="af"/>
          <w:rFonts w:eastAsia="Times New Roman"/>
          <w:lang w:eastAsia="ru-RU"/>
        </w:rPr>
        <w:footnoteReference w:id="3"/>
      </w:r>
      <w:r w:rsidR="009A3E3D" w:rsidRPr="00BE477C">
        <w:rPr>
          <w:rFonts w:eastAsia="Times New Roman"/>
          <w:lang w:eastAsia="en-US"/>
        </w:rPr>
        <w:t xml:space="preserve">. </w:t>
      </w:r>
      <w:r w:rsidRPr="00C60396">
        <w:rPr>
          <w:rFonts w:eastAsia="Times New Roman"/>
          <w:lang w:eastAsia="ru-RU"/>
        </w:rPr>
        <w:t>С целью обеспечения максимальной безопасности применения линаглиптина у добровольцев женского пола, в рамках настоящего исследования будут учтены критерии, являющиеся противопоказаниями к назначению линаглиптина у женщин, в частности лактация и беременность. Для предотвращения приема линаглиптина беременными женщинами, в исследовании предусмотрено проведение теста на беременность у женщин с сохраненным репродуктивным потенциалом на скрининге и перед каждым приемом линаглиптина.</w:t>
      </w:r>
    </w:p>
    <w:p w14:paraId="20248E2C" w14:textId="5100227A" w:rsidR="00A16B11" w:rsidRPr="0092765E" w:rsidRDefault="00A16B11" w:rsidP="00C60396">
      <w:pPr>
        <w:ind w:firstLine="709"/>
        <w:contextualSpacing/>
        <w:rPr>
          <w:iCs/>
        </w:rPr>
      </w:pPr>
      <w:r w:rsidRPr="0092765E">
        <w:rPr>
          <w:iCs/>
        </w:rPr>
        <w:t xml:space="preserve">Прием лекарственных препаратов, характеризующихся известным взаимодействием с </w:t>
      </w:r>
      <w:r w:rsidR="008624B9">
        <w:rPr>
          <w:iCs/>
        </w:rPr>
        <w:t>линаглиптином</w:t>
      </w:r>
      <w:r w:rsidRPr="0092765E">
        <w:rPr>
          <w:iCs/>
        </w:rPr>
        <w:t xml:space="preserve">, в исследовании будет запрещен. </w:t>
      </w:r>
    </w:p>
    <w:p w14:paraId="590A3055" w14:textId="6CA28486" w:rsidR="00A16B11" w:rsidRPr="008624B9" w:rsidRDefault="00A16B11" w:rsidP="008624B9">
      <w:pPr>
        <w:ind w:firstLine="709"/>
        <w:contextualSpacing/>
        <w:rPr>
          <w:iCs/>
        </w:rPr>
      </w:pPr>
      <w:r w:rsidRPr="0092765E">
        <w:rPr>
          <w:iCs/>
        </w:rPr>
        <w:t>В связи с приведенными аргументами риск развития нежелательных явлений для здоровых добровольцев будет минимальным.</w:t>
      </w:r>
    </w:p>
    <w:p w14:paraId="0026F22B" w14:textId="486F213A" w:rsidR="004B1452" w:rsidRPr="005E6358" w:rsidRDefault="004B1452" w:rsidP="004B1452">
      <w:pPr>
        <w:pStyle w:val="2"/>
        <w:spacing w:line="240" w:lineRule="auto"/>
        <w:rPr>
          <w:color w:val="000000" w:themeColor="text1"/>
          <w:szCs w:val="24"/>
        </w:rPr>
      </w:pPr>
      <w:bookmarkStart w:id="273" w:name="_Toc139362020"/>
      <w:r w:rsidRPr="005E6358">
        <w:rPr>
          <w:color w:val="000000" w:themeColor="text1"/>
          <w:szCs w:val="24"/>
        </w:rPr>
        <w:t>5.3. Инструкции для исследователя</w:t>
      </w:r>
      <w:bookmarkEnd w:id="271"/>
      <w:bookmarkEnd w:id="272"/>
      <w:bookmarkEnd w:id="273"/>
    </w:p>
    <w:p w14:paraId="7124F8D7" w14:textId="77777777" w:rsidR="004B1452" w:rsidRDefault="004B1452" w:rsidP="004B1452">
      <w:pPr>
        <w:pStyle w:val="3"/>
        <w:spacing w:after="240"/>
        <w:rPr>
          <w:rFonts w:ascii="Times New Roman" w:hAnsi="Times New Roman"/>
          <w:color w:val="000000" w:themeColor="text1"/>
        </w:rPr>
      </w:pPr>
      <w:bookmarkStart w:id="274" w:name="_Toc301482878"/>
      <w:bookmarkStart w:id="275" w:name="_Toc298775568"/>
      <w:bookmarkStart w:id="276" w:name="_Toc139362021"/>
      <w:r w:rsidRPr="005E6358">
        <w:rPr>
          <w:rFonts w:ascii="Times New Roman" w:hAnsi="Times New Roman"/>
          <w:color w:val="000000" w:themeColor="text1"/>
        </w:rPr>
        <w:t>5.3.1. Показания к применению</w:t>
      </w:r>
      <w:bookmarkEnd w:id="274"/>
      <w:bookmarkEnd w:id="275"/>
      <w:bookmarkEnd w:id="276"/>
    </w:p>
    <w:p w14:paraId="326B4A2B" w14:textId="77777777" w:rsidR="004B1452" w:rsidRDefault="004B1452" w:rsidP="00FA4250">
      <w:pPr>
        <w:ind w:firstLine="709"/>
      </w:pPr>
      <w:r>
        <w:t>Для терапии сахарного диабета 2 типа у взрослых пациентов в дополнение к диетотерапии и физическим упражнениям для улучшения контроля гликемии в качестве:</w:t>
      </w:r>
    </w:p>
    <w:p w14:paraId="59091170" w14:textId="77777777" w:rsidR="004B1452" w:rsidRDefault="004B1452" w:rsidP="004B1452">
      <w:pPr>
        <w:pStyle w:val="af3"/>
        <w:numPr>
          <w:ilvl w:val="0"/>
          <w:numId w:val="43"/>
        </w:numPr>
      </w:pPr>
      <w:r>
        <w:t xml:space="preserve">монотерапии, при непереносимости метформина или противопоказании к его применению вследствие почечной недостаточности; </w:t>
      </w:r>
    </w:p>
    <w:p w14:paraId="4BEEC9E8" w14:textId="77777777" w:rsidR="004B1452" w:rsidRDefault="004B1452" w:rsidP="004B1452">
      <w:pPr>
        <w:pStyle w:val="af3"/>
        <w:numPr>
          <w:ilvl w:val="0"/>
          <w:numId w:val="42"/>
        </w:numPr>
      </w:pPr>
      <w:r>
        <w:t>комбинированной терапии с другими гипогликемическими лекарственными препаратами, включая инсулин, в том случае, если при терапии этими препаратами не достигается адекватный гликемический контроль.</w:t>
      </w:r>
    </w:p>
    <w:p w14:paraId="22C4A96B" w14:textId="77777777" w:rsidR="004B1452" w:rsidRDefault="004B1452" w:rsidP="004B1452">
      <w:pPr>
        <w:pStyle w:val="3"/>
        <w:spacing w:after="240"/>
        <w:rPr>
          <w:rFonts w:ascii="Times New Roman" w:hAnsi="Times New Roman"/>
          <w:color w:val="000000" w:themeColor="text1"/>
        </w:rPr>
      </w:pPr>
      <w:bookmarkStart w:id="277" w:name="_Toc301482879"/>
      <w:bookmarkStart w:id="278" w:name="_Toc287529201"/>
      <w:bookmarkStart w:id="279" w:name="_Toc298775569"/>
      <w:bookmarkStart w:id="280" w:name="_Toc139362022"/>
      <w:r w:rsidRPr="005E6358">
        <w:rPr>
          <w:rFonts w:ascii="Times New Roman" w:hAnsi="Times New Roman"/>
          <w:color w:val="000000" w:themeColor="text1"/>
        </w:rPr>
        <w:lastRenderedPageBreak/>
        <w:t>5.3.2. Противопоказания</w:t>
      </w:r>
      <w:bookmarkEnd w:id="277"/>
      <w:bookmarkEnd w:id="278"/>
      <w:bookmarkEnd w:id="279"/>
      <w:bookmarkEnd w:id="280"/>
    </w:p>
    <w:p w14:paraId="6DA42311" w14:textId="77777777" w:rsidR="004B1452" w:rsidRDefault="004B1452" w:rsidP="00F019DF">
      <w:pPr>
        <w:pStyle w:val="af3"/>
        <w:numPr>
          <w:ilvl w:val="0"/>
          <w:numId w:val="42"/>
        </w:numPr>
      </w:pPr>
      <w:r>
        <w:t>Гиперчувствительность к линаглиптину и/или к любому из вспомогательных веществ препарата;</w:t>
      </w:r>
    </w:p>
    <w:p w14:paraId="4CE24207" w14:textId="77777777" w:rsidR="004B1452" w:rsidRDefault="004B1452" w:rsidP="004B1452">
      <w:pPr>
        <w:pStyle w:val="af3"/>
        <w:numPr>
          <w:ilvl w:val="0"/>
          <w:numId w:val="44"/>
        </w:numPr>
      </w:pPr>
      <w:r>
        <w:t>Сахарный диабет 1 типа;</w:t>
      </w:r>
    </w:p>
    <w:p w14:paraId="1F0BF451" w14:textId="77777777" w:rsidR="004B1452" w:rsidRDefault="004B1452" w:rsidP="004B1452">
      <w:pPr>
        <w:pStyle w:val="af3"/>
        <w:numPr>
          <w:ilvl w:val="0"/>
          <w:numId w:val="44"/>
        </w:numPr>
      </w:pPr>
      <w:r>
        <w:t>Диабетический кетоацидоз;</w:t>
      </w:r>
    </w:p>
    <w:p w14:paraId="28A87EE0" w14:textId="77777777" w:rsidR="004B1452" w:rsidRDefault="004B1452" w:rsidP="004B1452">
      <w:pPr>
        <w:pStyle w:val="af3"/>
        <w:numPr>
          <w:ilvl w:val="0"/>
          <w:numId w:val="44"/>
        </w:numPr>
      </w:pPr>
      <w:r>
        <w:t>Беременность и период грудного вскармливания;</w:t>
      </w:r>
    </w:p>
    <w:p w14:paraId="63181ABC" w14:textId="77777777" w:rsidR="004B1452" w:rsidRDefault="004B1452" w:rsidP="004B1452">
      <w:pPr>
        <w:pStyle w:val="af3"/>
        <w:numPr>
          <w:ilvl w:val="0"/>
          <w:numId w:val="44"/>
        </w:numPr>
      </w:pPr>
      <w:r>
        <w:t>Возраст до 18 лет (в связи с отсутствием данных по эффективности и безопасности применения линаглиптина у детей и подростков до 18 лет).</w:t>
      </w:r>
    </w:p>
    <w:p w14:paraId="4C13F08F" w14:textId="77777777" w:rsidR="008569A9" w:rsidRDefault="008569A9" w:rsidP="004B1452">
      <w:pPr>
        <w:rPr>
          <w:b/>
        </w:rPr>
      </w:pPr>
    </w:p>
    <w:p w14:paraId="15BE6E27" w14:textId="2208A0FA" w:rsidR="008569A9" w:rsidRDefault="004B1452" w:rsidP="004B1452">
      <w:pPr>
        <w:rPr>
          <w:b/>
        </w:rPr>
      </w:pPr>
      <w:r w:rsidRPr="008569A9">
        <w:rPr>
          <w:b/>
        </w:rPr>
        <w:t>С осторожностью</w:t>
      </w:r>
    </w:p>
    <w:p w14:paraId="63ADEE37" w14:textId="77777777" w:rsidR="008569A9" w:rsidRPr="008569A9" w:rsidRDefault="008569A9" w:rsidP="004B1452">
      <w:pPr>
        <w:rPr>
          <w:b/>
        </w:rPr>
      </w:pPr>
    </w:p>
    <w:p w14:paraId="10ADB4DD" w14:textId="77777777" w:rsidR="004B1452" w:rsidRDefault="004B1452" w:rsidP="004B1452">
      <w:pPr>
        <w:pStyle w:val="af3"/>
        <w:numPr>
          <w:ilvl w:val="0"/>
          <w:numId w:val="45"/>
        </w:numPr>
      </w:pPr>
      <w:r>
        <w:t>Панкреатит в анамнезе;</w:t>
      </w:r>
    </w:p>
    <w:p w14:paraId="73002CD7" w14:textId="77777777" w:rsidR="004B1452" w:rsidRDefault="004B1452" w:rsidP="004B1452">
      <w:pPr>
        <w:pStyle w:val="af3"/>
        <w:numPr>
          <w:ilvl w:val="0"/>
          <w:numId w:val="45"/>
        </w:numPr>
      </w:pPr>
      <w:r>
        <w:t>Пациенты старше 80 лет;</w:t>
      </w:r>
    </w:p>
    <w:p w14:paraId="68C53AE6" w14:textId="77777777" w:rsidR="004B1452" w:rsidRDefault="004B1452" w:rsidP="004B1452">
      <w:pPr>
        <w:pStyle w:val="af3"/>
        <w:numPr>
          <w:ilvl w:val="0"/>
          <w:numId w:val="45"/>
        </w:numPr>
      </w:pPr>
      <w:r>
        <w:t>Применение в комбинации с производными сульфонилмочевины и/или инсулином.</w:t>
      </w:r>
    </w:p>
    <w:p w14:paraId="71718110" w14:textId="77777777" w:rsidR="004B1452" w:rsidRDefault="004B1452" w:rsidP="004B1452">
      <w:pPr>
        <w:pStyle w:val="3"/>
        <w:spacing w:after="240"/>
        <w:rPr>
          <w:rFonts w:ascii="Times New Roman" w:hAnsi="Times New Roman"/>
          <w:color w:val="000000" w:themeColor="text1"/>
        </w:rPr>
      </w:pPr>
      <w:bookmarkStart w:id="281" w:name="_Toc301482880"/>
      <w:bookmarkStart w:id="282" w:name="_Toc287529202"/>
      <w:bookmarkStart w:id="283" w:name="_Toc298775570"/>
      <w:bookmarkStart w:id="284" w:name="_Toc139362023"/>
      <w:r w:rsidRPr="00A26EEC">
        <w:rPr>
          <w:rFonts w:ascii="Times New Roman" w:hAnsi="Times New Roman"/>
          <w:color w:val="000000" w:themeColor="text1"/>
        </w:rPr>
        <w:t xml:space="preserve">5.3.3. </w:t>
      </w:r>
      <w:bookmarkEnd w:id="281"/>
      <w:bookmarkEnd w:id="282"/>
      <w:bookmarkEnd w:id="283"/>
      <w:r w:rsidRPr="00A26EEC">
        <w:rPr>
          <w:rFonts w:ascii="Times New Roman" w:hAnsi="Times New Roman"/>
          <w:color w:val="000000" w:themeColor="text1"/>
        </w:rPr>
        <w:t>Применение</w:t>
      </w:r>
      <w:r w:rsidRPr="005E6358">
        <w:rPr>
          <w:rFonts w:ascii="Times New Roman" w:hAnsi="Times New Roman"/>
          <w:color w:val="000000" w:themeColor="text1"/>
        </w:rPr>
        <w:t xml:space="preserve"> при беременности и в период грудного вскармливания</w:t>
      </w:r>
      <w:bookmarkEnd w:id="284"/>
    </w:p>
    <w:p w14:paraId="7843968E" w14:textId="77777777" w:rsidR="008624B9" w:rsidRPr="0092765E" w:rsidRDefault="008624B9" w:rsidP="008624B9">
      <w:pPr>
        <w:pStyle w:val="ab"/>
        <w:shd w:val="clear" w:color="auto" w:fill="FFFFFF"/>
        <w:spacing w:before="0" w:beforeAutospacing="0" w:after="0" w:afterAutospacing="0"/>
        <w:contextualSpacing/>
        <w:jc w:val="both"/>
        <w:rPr>
          <w:b/>
        </w:rPr>
      </w:pPr>
      <w:r w:rsidRPr="0092765E">
        <w:rPr>
          <w:b/>
        </w:rPr>
        <w:t>Беременность</w:t>
      </w:r>
    </w:p>
    <w:p w14:paraId="7087277C" w14:textId="77777777" w:rsidR="008624B9" w:rsidRDefault="008624B9" w:rsidP="008624B9"/>
    <w:p w14:paraId="3E759D36" w14:textId="77777777" w:rsidR="008624B9" w:rsidRDefault="004B1452" w:rsidP="00FA4250">
      <w:pPr>
        <w:ind w:firstLine="709"/>
      </w:pPr>
      <w:r w:rsidRPr="00386C3E">
        <w:t xml:space="preserve">Применение линаглиптина во время беременности противопоказано. </w:t>
      </w:r>
    </w:p>
    <w:p w14:paraId="60C2004D" w14:textId="77777777" w:rsidR="008624B9" w:rsidRDefault="008624B9" w:rsidP="008624B9">
      <w:pPr>
        <w:pStyle w:val="ab"/>
        <w:shd w:val="clear" w:color="auto" w:fill="FFFFFF"/>
        <w:spacing w:before="0" w:beforeAutospacing="0" w:after="0" w:afterAutospacing="0"/>
        <w:contextualSpacing/>
        <w:jc w:val="both"/>
        <w:rPr>
          <w:b/>
        </w:rPr>
      </w:pPr>
    </w:p>
    <w:p w14:paraId="3A63049C" w14:textId="2AFDAC26" w:rsidR="008624B9" w:rsidRPr="0092765E" w:rsidRDefault="008624B9" w:rsidP="008624B9">
      <w:pPr>
        <w:pStyle w:val="ab"/>
        <w:shd w:val="clear" w:color="auto" w:fill="FFFFFF"/>
        <w:spacing w:before="0" w:beforeAutospacing="0" w:after="0" w:afterAutospacing="0"/>
        <w:contextualSpacing/>
        <w:jc w:val="both"/>
        <w:rPr>
          <w:b/>
        </w:rPr>
      </w:pPr>
      <w:r w:rsidRPr="0092765E">
        <w:rPr>
          <w:b/>
        </w:rPr>
        <w:t>Грудное вскармливание</w:t>
      </w:r>
    </w:p>
    <w:p w14:paraId="644F378B" w14:textId="77777777" w:rsidR="008624B9" w:rsidRDefault="008624B9" w:rsidP="008624B9"/>
    <w:p w14:paraId="2A713827" w14:textId="73D8EED4" w:rsidR="004B1452" w:rsidRDefault="004B1452" w:rsidP="00FA4250">
      <w:pPr>
        <w:ind w:firstLine="709"/>
      </w:pPr>
      <w:r w:rsidRPr="00386C3E">
        <w:t>Применение линаглиптина в период грудного вскармливания противопоказано. Данные, полученные в доклинических исследованиях у животных, свидетельствуют о проникновении линаглиптина и его метаболита в грудное молоко. Не исключается риск воздействия на новорожденных и детей при грудном вскармливании. При необходимости применения линаглиптина в период грудного вскармливания, кормление грудью необходимо прекратить.</w:t>
      </w:r>
    </w:p>
    <w:p w14:paraId="5483F507" w14:textId="454C551D" w:rsidR="004B1452" w:rsidRPr="005E6358" w:rsidRDefault="004B1452" w:rsidP="004B1452">
      <w:pPr>
        <w:pStyle w:val="3"/>
        <w:spacing w:after="240"/>
        <w:rPr>
          <w:rFonts w:ascii="Times New Roman" w:hAnsi="Times New Roman"/>
          <w:color w:val="000000" w:themeColor="text1"/>
        </w:rPr>
      </w:pPr>
      <w:bookmarkStart w:id="285" w:name="_Toc301482881"/>
      <w:bookmarkStart w:id="286" w:name="_Toc287529203"/>
      <w:bookmarkStart w:id="287" w:name="_Toc298775571"/>
      <w:bookmarkStart w:id="288" w:name="_Toc139362024"/>
      <w:r w:rsidRPr="005E6358">
        <w:rPr>
          <w:rFonts w:ascii="Times New Roman" w:hAnsi="Times New Roman"/>
          <w:color w:val="000000" w:themeColor="text1"/>
        </w:rPr>
        <w:t>5.3.4. Способ применения и дозы</w:t>
      </w:r>
      <w:bookmarkEnd w:id="285"/>
      <w:bookmarkEnd w:id="286"/>
      <w:bookmarkEnd w:id="287"/>
      <w:bookmarkEnd w:id="288"/>
    </w:p>
    <w:p w14:paraId="655BE49C" w14:textId="77777777" w:rsidR="004B1452" w:rsidRPr="00386C3E" w:rsidRDefault="004B1452" w:rsidP="004B1452">
      <w:pPr>
        <w:ind w:firstLine="709"/>
      </w:pPr>
      <w:bookmarkStart w:id="289" w:name="_Toc301482882"/>
      <w:bookmarkStart w:id="290" w:name="_Toc287529204"/>
      <w:bookmarkStart w:id="291" w:name="_Toc298775572"/>
      <w:r w:rsidRPr="00386C3E">
        <w:t>Рекомендуемая доза составляет 5 мг (1 таблетка) 1 раз в сутки, внутрь. При назначении в дополнение к метформину, линаглиптин принимают одновременно с метформином, сохраняя ранее назначенную дозу метформина.</w:t>
      </w:r>
    </w:p>
    <w:p w14:paraId="115E1110" w14:textId="77777777" w:rsidR="004B1452" w:rsidRPr="00386C3E" w:rsidRDefault="004B1452" w:rsidP="004B1452">
      <w:pPr>
        <w:ind w:firstLine="709"/>
      </w:pPr>
      <w:r w:rsidRPr="00386C3E">
        <w:t>В случае применения линаглиптина в комбинации с производным сульфонилмочевины и/или инсулином возможно снижение дозы производного сульфонилмочевины или инсулина для уменьшения риска развития гипогликемии.</w:t>
      </w:r>
    </w:p>
    <w:p w14:paraId="60C144DD" w14:textId="244E2815" w:rsidR="004B1452" w:rsidRPr="00386C3E" w:rsidRDefault="007859DC" w:rsidP="004B1452">
      <w:pPr>
        <w:ind w:firstLine="709"/>
      </w:pPr>
      <w:r>
        <w:t>Препарат</w:t>
      </w:r>
      <w:r w:rsidRPr="00386C3E">
        <w:t xml:space="preserve"> может</w:t>
      </w:r>
      <w:r w:rsidR="004B1452" w:rsidRPr="00386C3E">
        <w:t xml:space="preserve"> приниматься независимо от приема пищи в любое время суток.</w:t>
      </w:r>
    </w:p>
    <w:p w14:paraId="574B5BAD" w14:textId="23AF4FF7" w:rsidR="00426807" w:rsidRDefault="004B1452" w:rsidP="004B1452">
      <w:pPr>
        <w:ind w:firstLine="709"/>
        <w:rPr>
          <w:i/>
        </w:rPr>
      </w:pPr>
      <w:r w:rsidRPr="00F019DF">
        <w:rPr>
          <w:i/>
        </w:rPr>
        <w:t>Дейст</w:t>
      </w:r>
      <w:r w:rsidR="00EE0109">
        <w:rPr>
          <w:i/>
        </w:rPr>
        <w:t>вия при пропуске приема одной ил</w:t>
      </w:r>
      <w:r w:rsidRPr="00F019DF">
        <w:rPr>
          <w:i/>
        </w:rPr>
        <w:t>и нескольких доз лекарственного препарата</w:t>
      </w:r>
    </w:p>
    <w:p w14:paraId="717BB902" w14:textId="0E6D002E" w:rsidR="004B1452" w:rsidRPr="00386C3E" w:rsidRDefault="004B1452" w:rsidP="004B1452">
      <w:pPr>
        <w:ind w:firstLine="709"/>
      </w:pPr>
      <w:r w:rsidRPr="00386C3E">
        <w:t>При пропуске дозы пациенту следует принять препарат, как только он об этом вспомнит.</w:t>
      </w:r>
    </w:p>
    <w:p w14:paraId="3275830E" w14:textId="77777777" w:rsidR="004B1452" w:rsidRDefault="004B1452" w:rsidP="004B1452">
      <w:pPr>
        <w:ind w:firstLine="709"/>
      </w:pPr>
      <w:r w:rsidRPr="00386C3E">
        <w:t>Не следует принимать двойную дозу в один день.</w:t>
      </w:r>
    </w:p>
    <w:p w14:paraId="5023AEA4" w14:textId="77777777" w:rsidR="00426807" w:rsidRDefault="00426807" w:rsidP="004B1452">
      <w:pPr>
        <w:widowControl w:val="0"/>
        <w:tabs>
          <w:tab w:val="left" w:pos="8647"/>
        </w:tabs>
        <w:rPr>
          <w:rFonts w:eastAsia="Courier New"/>
          <w:b/>
          <w:lang w:eastAsia="ru-RU" w:bidi="ru-RU"/>
        </w:rPr>
      </w:pPr>
    </w:p>
    <w:p w14:paraId="61317757" w14:textId="711BBCB7" w:rsidR="004B1452" w:rsidRDefault="004B1452" w:rsidP="004B1452">
      <w:pPr>
        <w:widowControl w:val="0"/>
        <w:tabs>
          <w:tab w:val="left" w:pos="8647"/>
        </w:tabs>
        <w:rPr>
          <w:rFonts w:eastAsia="Courier New"/>
          <w:b/>
          <w:lang w:bidi="ru-RU"/>
        </w:rPr>
      </w:pPr>
      <w:r w:rsidRPr="00EA179F">
        <w:rPr>
          <w:rFonts w:eastAsia="Courier New"/>
          <w:b/>
          <w:lang w:eastAsia="ru-RU" w:bidi="ru-RU"/>
        </w:rPr>
        <w:t>Применение у особых групп пациентов</w:t>
      </w:r>
    </w:p>
    <w:p w14:paraId="41BC3AD8" w14:textId="77777777" w:rsidR="004B1452" w:rsidRDefault="004B1452" w:rsidP="004B1452">
      <w:pPr>
        <w:pStyle w:val="ab"/>
        <w:shd w:val="clear" w:color="auto" w:fill="FFFFFF"/>
        <w:tabs>
          <w:tab w:val="left" w:pos="8647"/>
        </w:tabs>
        <w:spacing w:before="0" w:beforeAutospacing="0" w:after="0" w:afterAutospacing="0"/>
        <w:jc w:val="both"/>
        <w:rPr>
          <w:b/>
          <w:i/>
          <w:color w:val="000000" w:themeColor="text1"/>
        </w:rPr>
      </w:pPr>
    </w:p>
    <w:p w14:paraId="6D2A3C12" w14:textId="77777777" w:rsidR="004B1452" w:rsidRPr="0092723E" w:rsidRDefault="004B1452" w:rsidP="004B1452">
      <w:pPr>
        <w:pStyle w:val="ab"/>
        <w:shd w:val="clear" w:color="auto" w:fill="FFFFFF"/>
        <w:tabs>
          <w:tab w:val="left" w:pos="8647"/>
        </w:tabs>
        <w:spacing w:before="0" w:beforeAutospacing="0" w:after="0" w:afterAutospacing="0"/>
        <w:jc w:val="both"/>
        <w:rPr>
          <w:i/>
          <w:color w:val="000000" w:themeColor="text1"/>
        </w:rPr>
      </w:pPr>
      <w:r w:rsidRPr="0092723E">
        <w:rPr>
          <w:i/>
          <w:color w:val="000000" w:themeColor="text1"/>
        </w:rPr>
        <w:t>Пациенты с нарушением функции почек</w:t>
      </w:r>
    </w:p>
    <w:p w14:paraId="084F62F2" w14:textId="77777777" w:rsidR="004B1452" w:rsidRDefault="004B1452" w:rsidP="004B1452">
      <w:pPr>
        <w:ind w:firstLine="709"/>
      </w:pPr>
      <w:r>
        <w:lastRenderedPageBreak/>
        <w:t xml:space="preserve">Для пациентов с почечной недостаточностью коррекция дозы линаглиптина не требуется. </w:t>
      </w:r>
    </w:p>
    <w:p w14:paraId="6893A0AC" w14:textId="77777777" w:rsidR="004B1452" w:rsidRDefault="004B1452" w:rsidP="004B1452">
      <w:pPr>
        <w:pStyle w:val="ab"/>
        <w:shd w:val="clear" w:color="auto" w:fill="FFFFFF"/>
        <w:tabs>
          <w:tab w:val="left" w:pos="8647"/>
        </w:tabs>
        <w:spacing w:before="0" w:beforeAutospacing="0" w:after="0" w:afterAutospacing="0"/>
        <w:jc w:val="both"/>
        <w:rPr>
          <w:b/>
          <w:i/>
          <w:color w:val="000000" w:themeColor="text1"/>
        </w:rPr>
      </w:pPr>
    </w:p>
    <w:p w14:paraId="0287E09F" w14:textId="77777777" w:rsidR="004B1452" w:rsidRPr="0092723E" w:rsidRDefault="004B1452" w:rsidP="004B1452">
      <w:pPr>
        <w:pStyle w:val="ab"/>
        <w:shd w:val="clear" w:color="auto" w:fill="FFFFFF"/>
        <w:tabs>
          <w:tab w:val="left" w:pos="8647"/>
        </w:tabs>
        <w:spacing w:before="0" w:beforeAutospacing="0" w:after="0" w:afterAutospacing="0"/>
        <w:jc w:val="both"/>
        <w:rPr>
          <w:i/>
          <w:color w:val="000000" w:themeColor="text1"/>
        </w:rPr>
      </w:pPr>
      <w:r w:rsidRPr="0092723E">
        <w:rPr>
          <w:i/>
          <w:color w:val="000000" w:themeColor="text1"/>
        </w:rPr>
        <w:t>Пациенты с нарушением функции печени</w:t>
      </w:r>
    </w:p>
    <w:p w14:paraId="31C0EA16" w14:textId="14C0455F" w:rsidR="004B1452" w:rsidRDefault="004B1452" w:rsidP="004B1452">
      <w:pPr>
        <w:ind w:firstLine="709"/>
      </w:pPr>
      <w:r>
        <w:t>Для пациентов с нарушением функции печени коррекции дозы линаглиптина не требуется, однако клинический опыт у таких пациентов недостаточен.</w:t>
      </w:r>
    </w:p>
    <w:p w14:paraId="2F321C90" w14:textId="77777777" w:rsidR="0092723E" w:rsidRDefault="0092723E" w:rsidP="004B1452">
      <w:pPr>
        <w:ind w:firstLine="709"/>
      </w:pPr>
    </w:p>
    <w:p w14:paraId="50E11BEB" w14:textId="77777777" w:rsidR="004B1452" w:rsidRPr="0092723E" w:rsidRDefault="004B1452" w:rsidP="004B1452">
      <w:pPr>
        <w:widowControl w:val="0"/>
        <w:tabs>
          <w:tab w:val="left" w:pos="8647"/>
        </w:tabs>
        <w:rPr>
          <w:i/>
        </w:rPr>
      </w:pPr>
      <w:r w:rsidRPr="0092723E">
        <w:rPr>
          <w:i/>
        </w:rPr>
        <w:t>Пожилые пациенты</w:t>
      </w:r>
    </w:p>
    <w:p w14:paraId="66F8F39D" w14:textId="75CD5360" w:rsidR="004B1452" w:rsidRDefault="004B1452" w:rsidP="004B1452">
      <w:pPr>
        <w:ind w:firstLine="709"/>
      </w:pPr>
      <w:r>
        <w:t>Для пациентов пожилого возраста коррекции дозы не требуется. Однако, клинический опыт у пациентов старше 80 лет ограничен, поэтому лечение таких групп пациентов необходимо проводить с осторожностью.</w:t>
      </w:r>
    </w:p>
    <w:p w14:paraId="610485BB" w14:textId="77777777" w:rsidR="0092723E" w:rsidRDefault="0092723E" w:rsidP="004B1452">
      <w:pPr>
        <w:ind w:firstLine="709"/>
      </w:pPr>
    </w:p>
    <w:p w14:paraId="77A6C7CA" w14:textId="77777777" w:rsidR="004B1452" w:rsidRPr="0092723E" w:rsidRDefault="004B1452" w:rsidP="004B1452">
      <w:pPr>
        <w:jc w:val="left"/>
        <w:rPr>
          <w:bCs/>
          <w:i/>
          <w:iCs/>
        </w:rPr>
      </w:pPr>
      <w:r w:rsidRPr="0092723E">
        <w:rPr>
          <w:bCs/>
          <w:i/>
          <w:iCs/>
        </w:rPr>
        <w:t>Дети</w:t>
      </w:r>
    </w:p>
    <w:p w14:paraId="544B96F4" w14:textId="77777777" w:rsidR="004B1452" w:rsidRDefault="004B1452" w:rsidP="004B1452">
      <w:pPr>
        <w:ind w:firstLine="709"/>
      </w:pPr>
      <w:r>
        <w:t>Для детей и подростков до 18 лет применение препарата противопоказано в связи с отсутствием данных по эффективности и безопасности.</w:t>
      </w:r>
    </w:p>
    <w:p w14:paraId="7A5EF543" w14:textId="77777777" w:rsidR="004B1452" w:rsidRPr="005E6358" w:rsidRDefault="004B1452" w:rsidP="004B1452">
      <w:pPr>
        <w:pStyle w:val="3"/>
        <w:tabs>
          <w:tab w:val="left" w:pos="8647"/>
        </w:tabs>
        <w:spacing w:after="240"/>
        <w:rPr>
          <w:rFonts w:ascii="Times New Roman" w:hAnsi="Times New Roman"/>
          <w:color w:val="000000" w:themeColor="text1"/>
        </w:rPr>
      </w:pPr>
      <w:bookmarkStart w:id="292" w:name="_Toc139362025"/>
      <w:r w:rsidRPr="005E6358">
        <w:rPr>
          <w:rFonts w:ascii="Times New Roman" w:hAnsi="Times New Roman"/>
          <w:color w:val="000000" w:themeColor="text1"/>
        </w:rPr>
        <w:t>5.3.5. Побочн</w:t>
      </w:r>
      <w:bookmarkEnd w:id="289"/>
      <w:bookmarkEnd w:id="290"/>
      <w:bookmarkEnd w:id="291"/>
      <w:r w:rsidRPr="005E6358">
        <w:rPr>
          <w:rFonts w:ascii="Times New Roman" w:hAnsi="Times New Roman"/>
          <w:color w:val="000000" w:themeColor="text1"/>
        </w:rPr>
        <w:t>ое действие</w:t>
      </w:r>
      <w:bookmarkEnd w:id="292"/>
    </w:p>
    <w:p w14:paraId="27F402B4" w14:textId="77777777" w:rsidR="004B1452" w:rsidRDefault="004B1452" w:rsidP="007F5E52">
      <w:pPr>
        <w:widowControl w:val="0"/>
        <w:tabs>
          <w:tab w:val="left" w:pos="8647"/>
        </w:tabs>
        <w:rPr>
          <w:rFonts w:eastAsia="Times New Roman"/>
          <w:b/>
          <w:lang w:eastAsia="ru-RU" w:bidi="ru-RU"/>
        </w:rPr>
      </w:pPr>
      <w:bookmarkStart w:id="293" w:name="bookmark4"/>
      <w:r>
        <w:rPr>
          <w:rFonts w:eastAsia="Times New Roman"/>
          <w:b/>
          <w:lang w:eastAsia="ru-RU" w:bidi="ru-RU"/>
        </w:rPr>
        <w:t xml:space="preserve">Обзор профиля безопасности </w:t>
      </w:r>
    </w:p>
    <w:p w14:paraId="5915D96F" w14:textId="77777777" w:rsidR="007F5E52" w:rsidRDefault="007F5E52" w:rsidP="00A96871">
      <w:pPr>
        <w:ind w:firstLine="709"/>
        <w:rPr>
          <w:lang w:eastAsia="ru-RU" w:bidi="ru-RU"/>
        </w:rPr>
      </w:pPr>
    </w:p>
    <w:p w14:paraId="57187481" w14:textId="77E64C9B" w:rsidR="004B1452" w:rsidRPr="003E3E7C" w:rsidRDefault="004B1452" w:rsidP="00A96871">
      <w:pPr>
        <w:ind w:firstLine="709"/>
        <w:rPr>
          <w:lang w:eastAsia="ru-RU" w:bidi="ru-RU"/>
        </w:rPr>
      </w:pPr>
      <w:r w:rsidRPr="003E3E7C">
        <w:rPr>
          <w:lang w:eastAsia="ru-RU" w:bidi="ru-RU"/>
        </w:rPr>
        <w:t>В объединенном анализе плацебо-контролируемьгх исследований частота нежелательных явлений при приеме линаглиптина 5 мг была аналогичной частоте нежелательных явлений при приеме плацебо.</w:t>
      </w:r>
    </w:p>
    <w:p w14:paraId="603A4CC8" w14:textId="77777777" w:rsidR="004B1452" w:rsidRPr="003E3E7C" w:rsidRDefault="004B1452" w:rsidP="00A96871">
      <w:pPr>
        <w:ind w:firstLine="709"/>
        <w:rPr>
          <w:lang w:eastAsia="ru-RU" w:bidi="ru-RU"/>
        </w:rPr>
      </w:pPr>
      <w:r w:rsidRPr="003E3E7C">
        <w:rPr>
          <w:lang w:eastAsia="ru-RU" w:bidi="ru-RU"/>
        </w:rPr>
        <w:t>Прекращение терапии из-за нежелательных явлений было выше в группе пациентов, получавших плацебо (4,3</w:t>
      </w:r>
      <w:r>
        <w:rPr>
          <w:lang w:eastAsia="ru-RU" w:bidi="ru-RU"/>
        </w:rPr>
        <w:t>%</w:t>
      </w:r>
      <w:r w:rsidRPr="003E3E7C">
        <w:rPr>
          <w:lang w:eastAsia="ru-RU" w:bidi="ru-RU"/>
        </w:rPr>
        <w:t>), чем в группе, получавших линаглиптин в дозе 5 мг (3,4</w:t>
      </w:r>
      <w:r>
        <w:rPr>
          <w:lang w:eastAsia="ru-RU" w:bidi="ru-RU"/>
        </w:rPr>
        <w:t>%</w:t>
      </w:r>
      <w:r w:rsidRPr="003E3E7C">
        <w:rPr>
          <w:lang w:eastAsia="ru-RU" w:bidi="ru-RU"/>
        </w:rPr>
        <w:t>). Наиболее часто встречающимся нежелательным явлением была гипогликемия: в случае применения тройной комбинации препаратов (линаглиптин + метформин + производное сульфонилмочевины) она наблюдалась у 22,9 % пациентов, а в случае применения плацебо — у 14,8 % пациентов.</w:t>
      </w:r>
    </w:p>
    <w:p w14:paraId="37A07F48" w14:textId="77777777" w:rsidR="004B1452" w:rsidRDefault="004B1452" w:rsidP="00DD5ED2">
      <w:pPr>
        <w:ind w:firstLine="709"/>
        <w:rPr>
          <w:lang w:eastAsia="ru-RU" w:bidi="ru-RU"/>
        </w:rPr>
      </w:pPr>
      <w:r w:rsidRPr="003E3E7C">
        <w:rPr>
          <w:lang w:eastAsia="ru-RU" w:bidi="ru-RU"/>
        </w:rPr>
        <w:t xml:space="preserve">Нежелательные реакции (НР), наблюдавшиеся у пациентов, получавших линаглиптин в качестве монотерапии и комбинированной терапии с другими гипогликемическими средствами в плацебо-контролируемых исследованиях, а также по результатам пострегистрационных наблюдений, представлены ниже в Таблице </w:t>
      </w:r>
      <w:r>
        <w:rPr>
          <w:iCs/>
          <w:lang w:eastAsia="en-US"/>
        </w:rPr>
        <w:t>5-2.</w:t>
      </w:r>
      <w:r w:rsidRPr="00B46BBC">
        <w:rPr>
          <w:iCs/>
          <w:lang w:eastAsia="en-US"/>
        </w:rPr>
        <w:t xml:space="preserve"> </w:t>
      </w:r>
      <w:r w:rsidRPr="003E3E7C">
        <w:rPr>
          <w:lang w:eastAsia="ru-RU" w:bidi="ru-RU"/>
        </w:rPr>
        <w:t>(НР</w:t>
      </w:r>
      <w:r>
        <w:rPr>
          <w:lang w:eastAsia="ru-RU" w:bidi="ru-RU"/>
        </w:rPr>
        <w:t xml:space="preserve"> </w:t>
      </w:r>
      <w:r w:rsidRPr="003E3E7C">
        <w:rPr>
          <w:lang w:eastAsia="ru-RU" w:bidi="ru-RU"/>
        </w:rPr>
        <w:t>классифицировались по органам и системам и в соответствии с предпочитающимися в MedDRA терминами) с указанием их абсолютной частоты.</w:t>
      </w:r>
    </w:p>
    <w:p w14:paraId="233FB2D7" w14:textId="25B99FD7" w:rsidR="004B1452" w:rsidRDefault="004B1452" w:rsidP="00DD5ED2">
      <w:pPr>
        <w:pStyle w:val="ab"/>
        <w:shd w:val="clear" w:color="auto" w:fill="FFFFFF"/>
        <w:spacing w:before="0" w:beforeAutospacing="0" w:after="0" w:afterAutospacing="0"/>
        <w:ind w:firstLine="709"/>
        <w:jc w:val="both"/>
        <w:rPr>
          <w:rFonts w:eastAsia="MS Mincho"/>
          <w:iCs/>
          <w:lang w:eastAsia="en-US"/>
        </w:rPr>
      </w:pPr>
      <w:r w:rsidRPr="00B46BBC">
        <w:rPr>
          <w:rFonts w:eastAsia="MS Mincho"/>
          <w:iCs/>
          <w:lang w:eastAsia="en-US"/>
        </w:rPr>
        <w:t xml:space="preserve">Побочные действия перечислены в зависимости от системно-органного класса и частоты. В рамках каждой категории частоты побочные эффекты представлены в порядке снижения серьёзности. Частоты возникновения побочных эффектов определены как очень </w:t>
      </w:r>
      <w:r w:rsidR="0080338C" w:rsidRPr="00DF27CD">
        <w:rPr>
          <w:lang w:eastAsia="ja-JP"/>
        </w:rPr>
        <w:t>(≥1/10); часто (≥1/100 - &lt;1/10); нечасто (≥1/1000 - &lt;1/100); редко (≥1/10000- &lt;1/1000); очень редко (&lt;1/10000)</w:t>
      </w:r>
      <w:r w:rsidRPr="00B46BBC">
        <w:rPr>
          <w:rFonts w:eastAsia="MS Mincho"/>
          <w:iCs/>
          <w:lang w:eastAsia="en-US"/>
        </w:rPr>
        <w:t>.</w:t>
      </w:r>
    </w:p>
    <w:p w14:paraId="5DBCB919" w14:textId="00DC305E" w:rsidR="004B1452" w:rsidRDefault="004B1452" w:rsidP="004B1452">
      <w:pPr>
        <w:pStyle w:val="ab"/>
        <w:shd w:val="clear" w:color="auto" w:fill="FFFFFF"/>
        <w:spacing w:before="0" w:beforeAutospacing="0" w:after="0" w:afterAutospacing="0"/>
        <w:ind w:firstLine="709"/>
        <w:jc w:val="both"/>
        <w:rPr>
          <w:rFonts w:eastAsia="MS Mincho"/>
          <w:iCs/>
          <w:lang w:eastAsia="en-US"/>
        </w:rPr>
      </w:pPr>
    </w:p>
    <w:p w14:paraId="2BEBBB68" w14:textId="77777777" w:rsidR="007F5E52" w:rsidRDefault="007F5E52" w:rsidP="004B1452">
      <w:pPr>
        <w:pStyle w:val="ab"/>
        <w:shd w:val="clear" w:color="auto" w:fill="FFFFFF"/>
        <w:spacing w:before="0" w:beforeAutospacing="0" w:after="0" w:afterAutospacing="0"/>
        <w:jc w:val="both"/>
        <w:rPr>
          <w:b/>
          <w:bCs/>
        </w:rPr>
        <w:sectPr w:rsidR="007F5E52" w:rsidSect="00AB01E2">
          <w:footnotePr>
            <w:pos w:val="beneathText"/>
          </w:footnotePr>
          <w:pgSz w:w="11906" w:h="16838"/>
          <w:pgMar w:top="1134" w:right="849" w:bottom="1134" w:left="1701" w:header="708" w:footer="709" w:gutter="0"/>
          <w:cols w:space="708"/>
          <w:docGrid w:linePitch="360"/>
        </w:sectPr>
      </w:pPr>
    </w:p>
    <w:p w14:paraId="2C15C980" w14:textId="0E09E03A" w:rsidR="004B1452" w:rsidRPr="009B0804" w:rsidRDefault="004B1452" w:rsidP="004B1452">
      <w:pPr>
        <w:pStyle w:val="ab"/>
        <w:shd w:val="clear" w:color="auto" w:fill="FFFFFF"/>
        <w:spacing w:before="0" w:beforeAutospacing="0" w:after="0" w:afterAutospacing="0"/>
        <w:jc w:val="both"/>
        <w:rPr>
          <w:color w:val="000000"/>
        </w:rPr>
      </w:pPr>
      <w:r w:rsidRPr="009E26B1">
        <w:rPr>
          <w:b/>
          <w:bCs/>
        </w:rPr>
        <w:lastRenderedPageBreak/>
        <w:t>Таблица 5-</w:t>
      </w:r>
      <w:r>
        <w:rPr>
          <w:b/>
          <w:bCs/>
        </w:rPr>
        <w:t>2</w:t>
      </w:r>
      <w:r w:rsidRPr="009E26B1">
        <w:rPr>
          <w:b/>
          <w:bCs/>
        </w:rPr>
        <w:t xml:space="preserve">. </w:t>
      </w:r>
      <w:bookmarkStart w:id="294" w:name="_Hlk118288361"/>
      <w:r w:rsidRPr="009B0804">
        <w:rPr>
          <w:color w:val="000000"/>
        </w:rPr>
        <w:t xml:space="preserve">Нежелательные реакции, </w:t>
      </w:r>
      <w:bookmarkEnd w:id="294"/>
      <w:r w:rsidR="00A40B87">
        <w:rPr>
          <w:color w:val="000000"/>
        </w:rPr>
        <w:t>наблюдавшиеся у пациентов, получавших линаглиптин 5 мг в качестве монотерапии один раз в день или в комбинированной терапии в клинических исследованиях и при пострегистрационном применении.</w:t>
      </w:r>
    </w:p>
    <w:tbl>
      <w:tblPr>
        <w:tblStyle w:val="a8"/>
        <w:tblW w:w="0" w:type="auto"/>
        <w:tblLook w:val="04A0" w:firstRow="1" w:lastRow="0" w:firstColumn="1" w:lastColumn="0" w:noHBand="0" w:noVBand="1"/>
      </w:tblPr>
      <w:tblGrid>
        <w:gridCol w:w="5524"/>
        <w:gridCol w:w="3822"/>
      </w:tblGrid>
      <w:tr w:rsidR="00DD5ED2" w:rsidRPr="00FA54E0" w14:paraId="239E9EBB" w14:textId="77777777" w:rsidTr="005917D6">
        <w:trPr>
          <w:cantSplit/>
          <w:tblHeader/>
        </w:trPr>
        <w:tc>
          <w:tcPr>
            <w:tcW w:w="5524" w:type="dxa"/>
            <w:shd w:val="clear" w:color="auto" w:fill="D9D9D9" w:themeFill="background1" w:themeFillShade="D9"/>
          </w:tcPr>
          <w:p w14:paraId="7837DEC9" w14:textId="77777777" w:rsidR="00DD5ED2" w:rsidRPr="00FA54E0" w:rsidRDefault="00DD5ED2" w:rsidP="005917D6">
            <w:pPr>
              <w:pStyle w:val="ab"/>
              <w:spacing w:before="0" w:beforeAutospacing="0" w:after="0" w:afterAutospacing="0"/>
              <w:jc w:val="center"/>
              <w:rPr>
                <w:rFonts w:eastAsia="MS Mincho"/>
                <w:iCs/>
                <w:lang w:eastAsia="en-US"/>
              </w:rPr>
            </w:pPr>
            <w:bookmarkStart w:id="295" w:name="bookmark5"/>
            <w:bookmarkEnd w:id="293"/>
            <w:r w:rsidRPr="00FA54E0">
              <w:rPr>
                <w:b/>
                <w:bCs/>
              </w:rPr>
              <w:t>Системно-органный класс (нежелательные реакции)</w:t>
            </w:r>
          </w:p>
        </w:tc>
        <w:tc>
          <w:tcPr>
            <w:tcW w:w="3822" w:type="dxa"/>
            <w:shd w:val="clear" w:color="auto" w:fill="D9D9D9" w:themeFill="background1" w:themeFillShade="D9"/>
          </w:tcPr>
          <w:p w14:paraId="126ABB42" w14:textId="77777777" w:rsidR="00DD5ED2" w:rsidRPr="00FA54E0" w:rsidRDefault="00DD5ED2" w:rsidP="005917D6">
            <w:pPr>
              <w:pStyle w:val="ab"/>
              <w:spacing w:before="0" w:beforeAutospacing="0" w:after="0" w:afterAutospacing="0"/>
              <w:jc w:val="center"/>
              <w:rPr>
                <w:rFonts w:eastAsia="MS Mincho"/>
                <w:iCs/>
                <w:lang w:eastAsia="en-US"/>
              </w:rPr>
            </w:pPr>
            <w:r w:rsidRPr="00FA54E0">
              <w:rPr>
                <w:b/>
                <w:bCs/>
                <w:color w:val="000000"/>
              </w:rPr>
              <w:t>Частота встречаемости</w:t>
            </w:r>
          </w:p>
        </w:tc>
      </w:tr>
      <w:tr w:rsidR="00DD5ED2" w:rsidRPr="00FA54E0" w14:paraId="7C39C686" w14:textId="77777777" w:rsidTr="005917D6">
        <w:tc>
          <w:tcPr>
            <w:tcW w:w="9346" w:type="dxa"/>
            <w:gridSpan w:val="2"/>
          </w:tcPr>
          <w:p w14:paraId="173C37EA" w14:textId="77777777" w:rsidR="00DD5ED2" w:rsidRPr="00FA54E0" w:rsidRDefault="00DD5ED2" w:rsidP="005917D6">
            <w:pPr>
              <w:pStyle w:val="ab"/>
              <w:spacing w:before="0" w:beforeAutospacing="0" w:after="0" w:afterAutospacing="0"/>
              <w:jc w:val="both"/>
              <w:rPr>
                <w:rFonts w:eastAsia="MS Mincho"/>
                <w:iCs/>
                <w:lang w:eastAsia="en-US"/>
              </w:rPr>
            </w:pPr>
            <w:r w:rsidRPr="00FA54E0">
              <w:rPr>
                <w:bCs/>
                <w:i/>
              </w:rPr>
              <w:t>Инфекционные и паразитарные заболевания</w:t>
            </w:r>
          </w:p>
        </w:tc>
      </w:tr>
      <w:tr w:rsidR="00DD5ED2" w:rsidRPr="00FA54E0" w14:paraId="3A204C15" w14:textId="77777777" w:rsidTr="005917D6">
        <w:tc>
          <w:tcPr>
            <w:tcW w:w="5524" w:type="dxa"/>
          </w:tcPr>
          <w:p w14:paraId="4F81FD90" w14:textId="77777777" w:rsidR="00DD5ED2" w:rsidRPr="00FA54E0" w:rsidRDefault="00DD5ED2" w:rsidP="005917D6">
            <w:pPr>
              <w:pStyle w:val="ab"/>
              <w:spacing w:before="0" w:beforeAutospacing="0" w:after="0" w:afterAutospacing="0"/>
              <w:jc w:val="both"/>
              <w:rPr>
                <w:rFonts w:eastAsia="MS Mincho"/>
                <w:iCs/>
                <w:lang w:eastAsia="en-US"/>
              </w:rPr>
            </w:pPr>
            <w:r w:rsidRPr="00FA54E0">
              <w:t>Назофарингит</w:t>
            </w:r>
          </w:p>
        </w:tc>
        <w:tc>
          <w:tcPr>
            <w:tcW w:w="3822" w:type="dxa"/>
          </w:tcPr>
          <w:p w14:paraId="48E952F5" w14:textId="77777777" w:rsidR="00DD5ED2" w:rsidRPr="00FA54E0" w:rsidRDefault="00DD5ED2" w:rsidP="005917D6">
            <w:pPr>
              <w:pStyle w:val="ab"/>
              <w:spacing w:before="0" w:beforeAutospacing="0" w:after="0" w:afterAutospacing="0"/>
              <w:jc w:val="both"/>
              <w:rPr>
                <w:rFonts w:eastAsia="MS Mincho"/>
                <w:iCs/>
                <w:lang w:eastAsia="en-US"/>
              </w:rPr>
            </w:pPr>
            <w:r w:rsidRPr="00FA54E0">
              <w:t>Нечасто</w:t>
            </w:r>
          </w:p>
        </w:tc>
      </w:tr>
      <w:tr w:rsidR="00DD5ED2" w:rsidRPr="00FA54E0" w14:paraId="7F45DC01" w14:textId="77777777" w:rsidTr="005917D6">
        <w:tc>
          <w:tcPr>
            <w:tcW w:w="9346" w:type="dxa"/>
            <w:gridSpan w:val="2"/>
          </w:tcPr>
          <w:p w14:paraId="04139B9F" w14:textId="77777777" w:rsidR="00DD5ED2" w:rsidRPr="00FA54E0" w:rsidRDefault="00DD5ED2" w:rsidP="005917D6">
            <w:pPr>
              <w:pStyle w:val="ab"/>
              <w:spacing w:before="0" w:beforeAutospacing="0" w:after="0" w:afterAutospacing="0"/>
              <w:jc w:val="both"/>
              <w:rPr>
                <w:rFonts w:eastAsia="MS Mincho"/>
                <w:iCs/>
                <w:lang w:eastAsia="en-US"/>
              </w:rPr>
            </w:pPr>
            <w:r w:rsidRPr="00FA54E0">
              <w:rPr>
                <w:bCs/>
                <w:i/>
              </w:rPr>
              <w:t>Нарушения со стороны иммунной системы</w:t>
            </w:r>
          </w:p>
        </w:tc>
      </w:tr>
      <w:tr w:rsidR="00DD5ED2" w:rsidRPr="00FA54E0" w14:paraId="50281246" w14:textId="77777777" w:rsidTr="005917D6">
        <w:tc>
          <w:tcPr>
            <w:tcW w:w="5524" w:type="dxa"/>
          </w:tcPr>
          <w:p w14:paraId="361609E0" w14:textId="77777777" w:rsidR="00DD5ED2" w:rsidRPr="00FA54E0" w:rsidRDefault="00DD5ED2" w:rsidP="005917D6">
            <w:pPr>
              <w:pStyle w:val="ab"/>
              <w:spacing w:before="0" w:beforeAutospacing="0" w:after="0" w:afterAutospacing="0"/>
              <w:jc w:val="both"/>
              <w:rPr>
                <w:rFonts w:eastAsia="MS Mincho"/>
                <w:iCs/>
                <w:lang w:eastAsia="en-US"/>
              </w:rPr>
            </w:pPr>
            <w:r w:rsidRPr="00FA54E0">
              <w:t>Гиперчувствительность (например, гиперреактивность бронхов)</w:t>
            </w:r>
          </w:p>
        </w:tc>
        <w:tc>
          <w:tcPr>
            <w:tcW w:w="3822" w:type="dxa"/>
          </w:tcPr>
          <w:p w14:paraId="0685A56E" w14:textId="77777777" w:rsidR="00DD5ED2" w:rsidRPr="00FA54E0" w:rsidRDefault="00DD5ED2" w:rsidP="005917D6">
            <w:pPr>
              <w:pStyle w:val="ab"/>
              <w:spacing w:before="0" w:beforeAutospacing="0" w:after="0" w:afterAutospacing="0"/>
              <w:jc w:val="both"/>
              <w:rPr>
                <w:rFonts w:eastAsia="MS Mincho"/>
                <w:iCs/>
                <w:lang w:eastAsia="en-US"/>
              </w:rPr>
            </w:pPr>
            <w:r w:rsidRPr="00FA54E0">
              <w:t>Нечасто</w:t>
            </w:r>
          </w:p>
        </w:tc>
      </w:tr>
      <w:tr w:rsidR="00DD5ED2" w:rsidRPr="00FA54E0" w14:paraId="5EDC8779" w14:textId="77777777" w:rsidTr="005917D6">
        <w:tc>
          <w:tcPr>
            <w:tcW w:w="9346" w:type="dxa"/>
            <w:gridSpan w:val="2"/>
          </w:tcPr>
          <w:p w14:paraId="2C51F2CE" w14:textId="77777777" w:rsidR="00DD5ED2" w:rsidRPr="00FA54E0" w:rsidRDefault="00DD5ED2" w:rsidP="005917D6">
            <w:pPr>
              <w:pStyle w:val="ab"/>
              <w:spacing w:before="0" w:beforeAutospacing="0" w:after="0" w:afterAutospacing="0"/>
              <w:jc w:val="both"/>
              <w:rPr>
                <w:rFonts w:eastAsia="MS Mincho"/>
                <w:iCs/>
                <w:lang w:eastAsia="en-US"/>
              </w:rPr>
            </w:pPr>
            <w:r w:rsidRPr="00FA54E0">
              <w:rPr>
                <w:bCs/>
                <w:i/>
              </w:rPr>
              <w:t>Нарушения со стороны обмена веществ и питания</w:t>
            </w:r>
          </w:p>
        </w:tc>
      </w:tr>
      <w:tr w:rsidR="00DD5ED2" w:rsidRPr="00FA54E0" w14:paraId="12F4D761" w14:textId="77777777" w:rsidTr="005917D6">
        <w:tc>
          <w:tcPr>
            <w:tcW w:w="5524" w:type="dxa"/>
          </w:tcPr>
          <w:p w14:paraId="4D462777" w14:textId="77777777" w:rsidR="00DD5ED2" w:rsidRPr="00FA54E0" w:rsidRDefault="00DD5ED2" w:rsidP="005917D6">
            <w:pPr>
              <w:pStyle w:val="ab"/>
              <w:spacing w:before="0" w:beforeAutospacing="0" w:after="0" w:afterAutospacing="0"/>
              <w:jc w:val="both"/>
              <w:rPr>
                <w:rFonts w:eastAsia="MS Mincho"/>
                <w:iCs/>
                <w:lang w:eastAsia="en-US"/>
              </w:rPr>
            </w:pPr>
            <w:r w:rsidRPr="00FA54E0">
              <w:t>Гипогликемия</w:t>
            </w:r>
            <w:r w:rsidRPr="00FA54E0">
              <w:rPr>
                <w:vertAlign w:val="superscript"/>
              </w:rPr>
              <w:t>1</w:t>
            </w:r>
          </w:p>
        </w:tc>
        <w:tc>
          <w:tcPr>
            <w:tcW w:w="3822" w:type="dxa"/>
          </w:tcPr>
          <w:p w14:paraId="1764D966" w14:textId="77777777" w:rsidR="00DD5ED2" w:rsidRPr="00FA54E0" w:rsidRDefault="00DD5ED2" w:rsidP="005917D6">
            <w:pPr>
              <w:pStyle w:val="ab"/>
              <w:spacing w:before="0" w:beforeAutospacing="0" w:after="0" w:afterAutospacing="0"/>
              <w:jc w:val="both"/>
              <w:rPr>
                <w:rFonts w:eastAsia="MS Mincho"/>
                <w:iCs/>
                <w:lang w:eastAsia="en-US"/>
              </w:rPr>
            </w:pPr>
            <w:r w:rsidRPr="00FA54E0">
              <w:t>Очень часто</w:t>
            </w:r>
          </w:p>
        </w:tc>
      </w:tr>
      <w:tr w:rsidR="00DD5ED2" w:rsidRPr="00FA54E0" w14:paraId="0CAABC21" w14:textId="77777777" w:rsidTr="005917D6">
        <w:tc>
          <w:tcPr>
            <w:tcW w:w="9346" w:type="dxa"/>
            <w:gridSpan w:val="2"/>
          </w:tcPr>
          <w:p w14:paraId="55F755FD" w14:textId="77777777" w:rsidR="00DD5ED2" w:rsidRPr="00FA54E0" w:rsidRDefault="00DD5ED2" w:rsidP="005917D6">
            <w:pPr>
              <w:pStyle w:val="ab"/>
              <w:spacing w:before="0" w:beforeAutospacing="0" w:after="0" w:afterAutospacing="0"/>
              <w:jc w:val="both"/>
              <w:rPr>
                <w:rFonts w:eastAsia="MS Mincho"/>
                <w:i/>
                <w:iCs/>
                <w:lang w:eastAsia="en-US"/>
              </w:rPr>
            </w:pPr>
            <w:r w:rsidRPr="00FA54E0">
              <w:rPr>
                <w:bCs/>
                <w:i/>
              </w:rPr>
              <w:t>Нарушения со стороны дыхательной системы, органов грудной клетки и средостения</w:t>
            </w:r>
          </w:p>
        </w:tc>
      </w:tr>
      <w:tr w:rsidR="00DD5ED2" w:rsidRPr="00FA54E0" w14:paraId="357A329D" w14:textId="77777777" w:rsidTr="005917D6">
        <w:tc>
          <w:tcPr>
            <w:tcW w:w="5524" w:type="dxa"/>
          </w:tcPr>
          <w:p w14:paraId="0D000313" w14:textId="77777777" w:rsidR="00DD5ED2" w:rsidRPr="00FA54E0" w:rsidRDefault="00DD5ED2" w:rsidP="005917D6">
            <w:pPr>
              <w:pStyle w:val="ab"/>
              <w:spacing w:before="0" w:beforeAutospacing="0" w:after="0" w:afterAutospacing="0"/>
              <w:jc w:val="both"/>
              <w:rPr>
                <w:rFonts w:eastAsia="MS Mincho"/>
                <w:iCs/>
                <w:lang w:eastAsia="en-US"/>
              </w:rPr>
            </w:pPr>
            <w:r w:rsidRPr="00FA54E0">
              <w:t>Кашель</w:t>
            </w:r>
          </w:p>
        </w:tc>
        <w:tc>
          <w:tcPr>
            <w:tcW w:w="3822" w:type="dxa"/>
          </w:tcPr>
          <w:p w14:paraId="5482B583" w14:textId="77777777" w:rsidR="00DD5ED2" w:rsidRPr="00FA54E0" w:rsidRDefault="00DD5ED2" w:rsidP="005917D6">
            <w:pPr>
              <w:pStyle w:val="ab"/>
              <w:spacing w:before="0" w:beforeAutospacing="0" w:after="0" w:afterAutospacing="0"/>
              <w:jc w:val="both"/>
              <w:rPr>
                <w:rFonts w:eastAsia="MS Mincho"/>
                <w:iCs/>
                <w:lang w:eastAsia="en-US"/>
              </w:rPr>
            </w:pPr>
            <w:r w:rsidRPr="00FA54E0">
              <w:t>Нечасто</w:t>
            </w:r>
          </w:p>
        </w:tc>
      </w:tr>
      <w:tr w:rsidR="00DD5ED2" w:rsidRPr="00FA54E0" w14:paraId="5F750590" w14:textId="77777777" w:rsidTr="005917D6">
        <w:tc>
          <w:tcPr>
            <w:tcW w:w="9346" w:type="dxa"/>
            <w:gridSpan w:val="2"/>
          </w:tcPr>
          <w:p w14:paraId="2BF48A93" w14:textId="77777777" w:rsidR="00DD5ED2" w:rsidRPr="00FA54E0" w:rsidRDefault="00DD5ED2" w:rsidP="005917D6">
            <w:pPr>
              <w:pStyle w:val="ab"/>
              <w:spacing w:before="0" w:beforeAutospacing="0" w:after="0" w:afterAutospacing="0"/>
              <w:jc w:val="both"/>
              <w:rPr>
                <w:rFonts w:eastAsia="MS Mincho"/>
                <w:i/>
                <w:iCs/>
                <w:lang w:eastAsia="en-US"/>
              </w:rPr>
            </w:pPr>
            <w:r w:rsidRPr="00FA54E0">
              <w:rPr>
                <w:bCs/>
                <w:i/>
              </w:rPr>
              <w:t>Нарушения со стороны желудочно-кишечного тракта</w:t>
            </w:r>
          </w:p>
        </w:tc>
      </w:tr>
      <w:tr w:rsidR="00DD5ED2" w:rsidRPr="00FA54E0" w14:paraId="18567219" w14:textId="77777777" w:rsidTr="005917D6">
        <w:tc>
          <w:tcPr>
            <w:tcW w:w="5524" w:type="dxa"/>
          </w:tcPr>
          <w:p w14:paraId="27634F30" w14:textId="77777777" w:rsidR="00DD5ED2" w:rsidRPr="00FA54E0" w:rsidRDefault="00DD5ED2" w:rsidP="005917D6">
            <w:pPr>
              <w:pStyle w:val="ab"/>
              <w:spacing w:before="0" w:beforeAutospacing="0" w:after="0" w:afterAutospacing="0"/>
              <w:jc w:val="both"/>
              <w:rPr>
                <w:rFonts w:eastAsia="MS Mincho"/>
                <w:iCs/>
                <w:lang w:eastAsia="en-US"/>
              </w:rPr>
            </w:pPr>
            <w:r w:rsidRPr="00FA54E0">
              <w:t>Панкреатит</w:t>
            </w:r>
          </w:p>
        </w:tc>
        <w:tc>
          <w:tcPr>
            <w:tcW w:w="3822" w:type="dxa"/>
          </w:tcPr>
          <w:p w14:paraId="27E1B12A" w14:textId="77777777" w:rsidR="00DD5ED2" w:rsidRPr="00E87810" w:rsidRDefault="00DD5ED2" w:rsidP="005917D6">
            <w:pPr>
              <w:pStyle w:val="ab"/>
              <w:spacing w:before="0" w:beforeAutospacing="0" w:after="0" w:afterAutospacing="0"/>
              <w:jc w:val="both"/>
              <w:rPr>
                <w:rFonts w:eastAsia="MS Mincho"/>
                <w:iCs/>
                <w:lang w:val="en-US" w:eastAsia="en-US"/>
              </w:rPr>
            </w:pPr>
            <w:r w:rsidRPr="00FA54E0">
              <w:t>Редко</w:t>
            </w:r>
            <w:r>
              <w:rPr>
                <w:vertAlign w:val="superscript"/>
                <w:lang w:val="en-US"/>
              </w:rPr>
              <w:t>a</w:t>
            </w:r>
          </w:p>
        </w:tc>
      </w:tr>
      <w:tr w:rsidR="00DD5ED2" w:rsidRPr="00FA54E0" w14:paraId="0F9BFE17" w14:textId="77777777" w:rsidTr="005917D6">
        <w:tc>
          <w:tcPr>
            <w:tcW w:w="5524" w:type="dxa"/>
          </w:tcPr>
          <w:p w14:paraId="4763FAC1" w14:textId="77777777" w:rsidR="00DD5ED2" w:rsidRPr="00407DA1" w:rsidRDefault="00DD5ED2" w:rsidP="005917D6">
            <w:pPr>
              <w:pStyle w:val="ab"/>
              <w:spacing w:before="0" w:beforeAutospacing="0" w:after="0" w:afterAutospacing="0"/>
              <w:jc w:val="both"/>
              <w:rPr>
                <w:vertAlign w:val="superscript"/>
              </w:rPr>
            </w:pPr>
            <w:r>
              <w:t>Запор</w:t>
            </w:r>
            <w:r>
              <w:rPr>
                <w:vertAlign w:val="superscript"/>
              </w:rPr>
              <w:t>2</w:t>
            </w:r>
          </w:p>
        </w:tc>
        <w:tc>
          <w:tcPr>
            <w:tcW w:w="3822" w:type="dxa"/>
          </w:tcPr>
          <w:p w14:paraId="61979780" w14:textId="77777777" w:rsidR="00DD5ED2" w:rsidRPr="00FA54E0" w:rsidRDefault="00DD5ED2" w:rsidP="005917D6">
            <w:pPr>
              <w:pStyle w:val="ab"/>
              <w:spacing w:before="0" w:beforeAutospacing="0" w:after="0" w:afterAutospacing="0"/>
              <w:jc w:val="both"/>
            </w:pPr>
            <w:r>
              <w:t>Нечасто</w:t>
            </w:r>
          </w:p>
        </w:tc>
      </w:tr>
      <w:tr w:rsidR="00DD5ED2" w:rsidRPr="00FA54E0" w14:paraId="472BF226" w14:textId="77777777" w:rsidTr="005917D6">
        <w:tc>
          <w:tcPr>
            <w:tcW w:w="9346" w:type="dxa"/>
            <w:gridSpan w:val="2"/>
          </w:tcPr>
          <w:p w14:paraId="6E6F841B" w14:textId="77777777" w:rsidR="00DD5ED2" w:rsidRPr="00FA54E0" w:rsidRDefault="00DD5ED2" w:rsidP="005917D6">
            <w:pPr>
              <w:pStyle w:val="ab"/>
              <w:spacing w:before="0" w:beforeAutospacing="0" w:after="0" w:afterAutospacing="0"/>
              <w:jc w:val="both"/>
              <w:rPr>
                <w:rFonts w:eastAsia="MS Mincho"/>
                <w:i/>
                <w:iCs/>
                <w:lang w:eastAsia="en-US"/>
              </w:rPr>
            </w:pPr>
            <w:r w:rsidRPr="00FA54E0">
              <w:rPr>
                <w:i/>
              </w:rPr>
              <w:t>Нарушения со стороны кожи и подкожных тканей</w:t>
            </w:r>
          </w:p>
        </w:tc>
      </w:tr>
      <w:tr w:rsidR="00DD5ED2" w:rsidRPr="00FA54E0" w14:paraId="3AEB7214" w14:textId="77777777" w:rsidTr="005917D6">
        <w:tc>
          <w:tcPr>
            <w:tcW w:w="5524" w:type="dxa"/>
          </w:tcPr>
          <w:p w14:paraId="7BF57CD5" w14:textId="77777777" w:rsidR="00DD5ED2" w:rsidRPr="00FA54E0" w:rsidRDefault="00DD5ED2" w:rsidP="005917D6">
            <w:pPr>
              <w:pStyle w:val="ab"/>
              <w:spacing w:before="0" w:beforeAutospacing="0" w:after="0" w:afterAutospacing="0"/>
              <w:jc w:val="both"/>
              <w:rPr>
                <w:rFonts w:eastAsia="MS Mincho"/>
                <w:iCs/>
                <w:lang w:eastAsia="en-US"/>
              </w:rPr>
            </w:pPr>
            <w:r w:rsidRPr="00FA54E0">
              <w:t>Ангионевротический отек *</w:t>
            </w:r>
          </w:p>
        </w:tc>
        <w:tc>
          <w:tcPr>
            <w:tcW w:w="3822" w:type="dxa"/>
          </w:tcPr>
          <w:p w14:paraId="13C30033" w14:textId="77777777" w:rsidR="00DD5ED2" w:rsidRPr="00FA54E0" w:rsidRDefault="00DD5ED2" w:rsidP="005917D6">
            <w:pPr>
              <w:pStyle w:val="ab"/>
              <w:spacing w:before="0" w:beforeAutospacing="0" w:after="0" w:afterAutospacing="0"/>
              <w:jc w:val="both"/>
              <w:rPr>
                <w:rFonts w:eastAsia="MS Mincho"/>
                <w:iCs/>
                <w:lang w:eastAsia="en-US"/>
              </w:rPr>
            </w:pPr>
          </w:p>
        </w:tc>
      </w:tr>
      <w:tr w:rsidR="00DD5ED2" w:rsidRPr="00FA54E0" w14:paraId="6A16C241" w14:textId="77777777" w:rsidTr="005917D6">
        <w:tc>
          <w:tcPr>
            <w:tcW w:w="5524" w:type="dxa"/>
          </w:tcPr>
          <w:p w14:paraId="75844307" w14:textId="77777777" w:rsidR="00DD5ED2" w:rsidRPr="00FA54E0" w:rsidRDefault="00DD5ED2" w:rsidP="005917D6">
            <w:pPr>
              <w:pStyle w:val="ab"/>
              <w:spacing w:before="0" w:beforeAutospacing="0" w:after="0" w:afterAutospacing="0"/>
              <w:jc w:val="both"/>
              <w:rPr>
                <w:rFonts w:eastAsia="MS Mincho"/>
                <w:iCs/>
                <w:lang w:eastAsia="en-US"/>
              </w:rPr>
            </w:pPr>
            <w:r w:rsidRPr="00FA54E0">
              <w:t>Крапивница*</w:t>
            </w:r>
          </w:p>
        </w:tc>
        <w:tc>
          <w:tcPr>
            <w:tcW w:w="3822" w:type="dxa"/>
          </w:tcPr>
          <w:p w14:paraId="6E0C549B" w14:textId="77777777" w:rsidR="00DD5ED2" w:rsidRPr="00FA54E0" w:rsidRDefault="00DD5ED2" w:rsidP="005917D6">
            <w:pPr>
              <w:pStyle w:val="ab"/>
              <w:spacing w:before="0" w:beforeAutospacing="0" w:after="0" w:afterAutospacing="0"/>
              <w:jc w:val="both"/>
              <w:rPr>
                <w:rFonts w:eastAsia="MS Mincho"/>
                <w:iCs/>
                <w:lang w:eastAsia="en-US"/>
              </w:rPr>
            </w:pPr>
            <w:r w:rsidRPr="00FA54E0">
              <w:t>Редко</w:t>
            </w:r>
          </w:p>
        </w:tc>
      </w:tr>
      <w:tr w:rsidR="00DD5ED2" w:rsidRPr="00FA54E0" w14:paraId="6A9C602F" w14:textId="77777777" w:rsidTr="005917D6">
        <w:tc>
          <w:tcPr>
            <w:tcW w:w="5524" w:type="dxa"/>
          </w:tcPr>
          <w:p w14:paraId="062732E0" w14:textId="77777777" w:rsidR="00DD5ED2" w:rsidRPr="00FA54E0" w:rsidRDefault="00DD5ED2" w:rsidP="005917D6">
            <w:pPr>
              <w:pStyle w:val="ab"/>
              <w:spacing w:before="0" w:beforeAutospacing="0" w:after="0" w:afterAutospacing="0"/>
              <w:jc w:val="both"/>
              <w:rPr>
                <w:rFonts w:eastAsia="MS Mincho"/>
                <w:iCs/>
                <w:lang w:eastAsia="en-US"/>
              </w:rPr>
            </w:pPr>
            <w:r w:rsidRPr="00FA54E0">
              <w:t>Сыпь*</w:t>
            </w:r>
          </w:p>
        </w:tc>
        <w:tc>
          <w:tcPr>
            <w:tcW w:w="3822" w:type="dxa"/>
          </w:tcPr>
          <w:p w14:paraId="28D76723" w14:textId="77777777" w:rsidR="00DD5ED2" w:rsidRPr="00FA54E0" w:rsidRDefault="00DD5ED2" w:rsidP="005917D6">
            <w:pPr>
              <w:pStyle w:val="ab"/>
              <w:spacing w:before="0" w:beforeAutospacing="0" w:after="0" w:afterAutospacing="0"/>
              <w:jc w:val="both"/>
              <w:rPr>
                <w:rFonts w:eastAsia="MS Mincho"/>
                <w:iCs/>
                <w:lang w:eastAsia="en-US"/>
              </w:rPr>
            </w:pPr>
            <w:r w:rsidRPr="00FA54E0">
              <w:t>Нечасто</w:t>
            </w:r>
          </w:p>
        </w:tc>
      </w:tr>
      <w:tr w:rsidR="00DD5ED2" w:rsidRPr="00FA54E0" w14:paraId="3358DDAB" w14:textId="77777777" w:rsidTr="005917D6">
        <w:tc>
          <w:tcPr>
            <w:tcW w:w="5524" w:type="dxa"/>
          </w:tcPr>
          <w:p w14:paraId="0C22ED4E" w14:textId="77777777" w:rsidR="00DD5ED2" w:rsidRPr="00FA54E0" w:rsidRDefault="00DD5ED2" w:rsidP="005917D6">
            <w:pPr>
              <w:pStyle w:val="ab"/>
              <w:spacing w:before="0" w:beforeAutospacing="0" w:after="0" w:afterAutospacing="0"/>
              <w:jc w:val="both"/>
              <w:rPr>
                <w:rFonts w:eastAsia="MS Mincho"/>
                <w:iCs/>
                <w:lang w:eastAsia="en-US"/>
              </w:rPr>
            </w:pPr>
            <w:r w:rsidRPr="00FA54E0">
              <w:t>Буллезный пемфигоид</w:t>
            </w:r>
          </w:p>
        </w:tc>
        <w:tc>
          <w:tcPr>
            <w:tcW w:w="3822" w:type="dxa"/>
          </w:tcPr>
          <w:p w14:paraId="32F670F9" w14:textId="77777777" w:rsidR="00DD5ED2" w:rsidRPr="00E87810" w:rsidRDefault="00DD5ED2" w:rsidP="005917D6">
            <w:pPr>
              <w:pStyle w:val="ab"/>
              <w:spacing w:before="0" w:beforeAutospacing="0" w:after="0" w:afterAutospacing="0"/>
              <w:jc w:val="both"/>
              <w:rPr>
                <w:rFonts w:eastAsia="MS Mincho"/>
                <w:iCs/>
                <w:vertAlign w:val="superscript"/>
                <w:lang w:val="en-US" w:eastAsia="en-US"/>
              </w:rPr>
            </w:pPr>
            <w:r w:rsidRPr="00FA54E0">
              <w:t>Редко</w:t>
            </w:r>
            <w:r>
              <w:rPr>
                <w:vertAlign w:val="superscript"/>
                <w:lang w:val="en-US"/>
              </w:rPr>
              <w:t>a</w:t>
            </w:r>
          </w:p>
        </w:tc>
      </w:tr>
      <w:tr w:rsidR="00DD5ED2" w:rsidRPr="00FA54E0" w14:paraId="7CD6AB9F" w14:textId="77777777" w:rsidTr="005917D6">
        <w:trPr>
          <w:trHeight w:val="124"/>
        </w:trPr>
        <w:tc>
          <w:tcPr>
            <w:tcW w:w="9346" w:type="dxa"/>
            <w:gridSpan w:val="2"/>
          </w:tcPr>
          <w:p w14:paraId="733CC175" w14:textId="77777777" w:rsidR="00DD5ED2" w:rsidRPr="00FA54E0" w:rsidRDefault="00DD5ED2" w:rsidP="005917D6">
            <w:pPr>
              <w:pStyle w:val="ab"/>
              <w:spacing w:before="0" w:beforeAutospacing="0" w:after="0" w:afterAutospacing="0"/>
              <w:jc w:val="both"/>
              <w:rPr>
                <w:rFonts w:eastAsia="MS Mincho"/>
                <w:i/>
                <w:iCs/>
                <w:lang w:eastAsia="en-US"/>
              </w:rPr>
            </w:pPr>
            <w:r w:rsidRPr="00FA54E0">
              <w:rPr>
                <w:bCs/>
                <w:i/>
              </w:rPr>
              <w:t>Лабораторные и инструментальные данные</w:t>
            </w:r>
          </w:p>
        </w:tc>
      </w:tr>
      <w:tr w:rsidR="00DD5ED2" w:rsidRPr="00FA54E0" w14:paraId="691F53CE" w14:textId="77777777" w:rsidTr="005917D6">
        <w:tc>
          <w:tcPr>
            <w:tcW w:w="5524" w:type="dxa"/>
          </w:tcPr>
          <w:p w14:paraId="5282F85C" w14:textId="77777777" w:rsidR="00DD5ED2" w:rsidRPr="00FA54E0" w:rsidRDefault="00DD5ED2" w:rsidP="005917D6">
            <w:pPr>
              <w:pStyle w:val="ab"/>
              <w:spacing w:before="0" w:beforeAutospacing="0" w:after="0" w:afterAutospacing="0"/>
              <w:jc w:val="both"/>
              <w:rPr>
                <w:rFonts w:eastAsia="MS Mincho"/>
                <w:iCs/>
                <w:lang w:eastAsia="en-US"/>
              </w:rPr>
            </w:pPr>
            <w:r w:rsidRPr="00FA54E0">
              <w:t>Повышение активности амилазы в плазме крови</w:t>
            </w:r>
          </w:p>
        </w:tc>
        <w:tc>
          <w:tcPr>
            <w:tcW w:w="3822" w:type="dxa"/>
          </w:tcPr>
          <w:p w14:paraId="057EB62B" w14:textId="77777777" w:rsidR="00DD5ED2" w:rsidRPr="00FA54E0" w:rsidRDefault="00DD5ED2" w:rsidP="005917D6">
            <w:pPr>
              <w:pStyle w:val="ab"/>
              <w:spacing w:before="0" w:beforeAutospacing="0" w:after="0" w:afterAutospacing="0"/>
              <w:jc w:val="both"/>
              <w:rPr>
                <w:rFonts w:eastAsia="MS Mincho"/>
                <w:iCs/>
                <w:lang w:eastAsia="en-US"/>
              </w:rPr>
            </w:pPr>
            <w:r w:rsidRPr="00FA54E0">
              <w:t>Нечасто</w:t>
            </w:r>
          </w:p>
        </w:tc>
      </w:tr>
      <w:tr w:rsidR="00DD5ED2" w:rsidRPr="00FA54E0" w14:paraId="2949F04F" w14:textId="77777777" w:rsidTr="005917D6">
        <w:tc>
          <w:tcPr>
            <w:tcW w:w="5524" w:type="dxa"/>
          </w:tcPr>
          <w:p w14:paraId="71DEEAE9" w14:textId="77777777" w:rsidR="00DD5ED2" w:rsidRPr="00FA54E0" w:rsidRDefault="00DD5ED2" w:rsidP="005917D6">
            <w:pPr>
              <w:pStyle w:val="ab"/>
              <w:spacing w:before="0" w:beforeAutospacing="0" w:after="0" w:afterAutospacing="0"/>
              <w:jc w:val="both"/>
              <w:rPr>
                <w:rFonts w:eastAsia="MS Mincho"/>
                <w:iCs/>
                <w:lang w:eastAsia="en-US"/>
              </w:rPr>
            </w:pPr>
            <w:r w:rsidRPr="00FA54E0">
              <w:t>Повышение активности липазы в плазме крови**</w:t>
            </w:r>
          </w:p>
        </w:tc>
        <w:tc>
          <w:tcPr>
            <w:tcW w:w="3822" w:type="dxa"/>
          </w:tcPr>
          <w:p w14:paraId="0FE6EE20" w14:textId="77777777" w:rsidR="00DD5ED2" w:rsidRPr="00FA54E0" w:rsidRDefault="00DD5ED2" w:rsidP="005917D6">
            <w:pPr>
              <w:pStyle w:val="ab"/>
              <w:spacing w:before="0" w:beforeAutospacing="0" w:after="0" w:afterAutospacing="0"/>
              <w:jc w:val="both"/>
              <w:rPr>
                <w:rFonts w:eastAsia="MS Mincho"/>
                <w:iCs/>
                <w:lang w:eastAsia="en-US"/>
              </w:rPr>
            </w:pPr>
            <w:r w:rsidRPr="00FA54E0">
              <w:t>Часто</w:t>
            </w:r>
          </w:p>
        </w:tc>
      </w:tr>
      <w:tr w:rsidR="00DD5ED2" w14:paraId="02B9138A" w14:textId="77777777" w:rsidTr="005917D6">
        <w:tc>
          <w:tcPr>
            <w:tcW w:w="9346" w:type="dxa"/>
            <w:gridSpan w:val="2"/>
          </w:tcPr>
          <w:p w14:paraId="1494C066" w14:textId="77777777" w:rsidR="00DD5ED2" w:rsidRPr="00F96DCB" w:rsidRDefault="00DD5ED2" w:rsidP="005917D6">
            <w:pPr>
              <w:pStyle w:val="ab"/>
              <w:spacing w:before="0" w:beforeAutospacing="0" w:after="0" w:afterAutospacing="0"/>
              <w:jc w:val="both"/>
              <w:rPr>
                <w:b/>
                <w:sz w:val="20"/>
                <w:szCs w:val="20"/>
              </w:rPr>
            </w:pPr>
            <w:r w:rsidRPr="00F96DCB">
              <w:rPr>
                <w:b/>
                <w:sz w:val="20"/>
                <w:szCs w:val="20"/>
              </w:rPr>
              <w:t>Примечание:</w:t>
            </w:r>
          </w:p>
          <w:p w14:paraId="29A5B74A" w14:textId="77777777" w:rsidR="00DD5ED2" w:rsidRDefault="00DD5ED2" w:rsidP="005917D6">
            <w:pPr>
              <w:pStyle w:val="afff7"/>
              <w:spacing w:before="0" w:after="0"/>
              <w:rPr>
                <w:rFonts w:eastAsia="MS Mincho"/>
                <w:iCs/>
                <w:lang w:eastAsia="en-US"/>
              </w:rPr>
            </w:pPr>
            <w:r>
              <w:rPr>
                <w:rFonts w:eastAsia="MS Mincho"/>
                <w:iCs/>
                <w:lang w:eastAsia="en-US"/>
              </w:rPr>
              <w:t>*</w:t>
            </w:r>
            <w:r w:rsidRPr="00B878CD">
              <w:t xml:space="preserve"> </w:t>
            </w:r>
            <w:r>
              <w:t>на основании пострегистрационного наблюдения</w:t>
            </w:r>
          </w:p>
          <w:p w14:paraId="55754821" w14:textId="77777777" w:rsidR="00DD5ED2" w:rsidRDefault="00DD5ED2" w:rsidP="005917D6">
            <w:pPr>
              <w:pStyle w:val="afff7"/>
              <w:spacing w:before="0" w:after="0"/>
            </w:pPr>
            <w:r>
              <w:rPr>
                <w:rFonts w:eastAsia="MS Mincho"/>
                <w:iCs/>
                <w:lang w:eastAsia="en-US"/>
              </w:rPr>
              <w:t>**</w:t>
            </w:r>
            <w:r w:rsidRPr="00B878CD">
              <w:t xml:space="preserve"> </w:t>
            </w:r>
            <w:r>
              <w:t xml:space="preserve">на основании данных о превышении нормы липазы более чем в три раза, полученных в клинических исследованиях </w:t>
            </w:r>
          </w:p>
          <w:p w14:paraId="0F5D0750" w14:textId="77777777" w:rsidR="00DD5ED2" w:rsidRDefault="00DD5ED2" w:rsidP="005917D6">
            <w:pPr>
              <w:pStyle w:val="afff7"/>
              <w:spacing w:before="0" w:after="0"/>
            </w:pPr>
            <w:r>
              <w:rPr>
                <w:sz w:val="18"/>
                <w:lang w:val="en-US"/>
              </w:rPr>
              <w:t>a</w:t>
            </w:r>
            <w:r w:rsidRPr="00E87810">
              <w:rPr>
                <w:sz w:val="18"/>
              </w:rPr>
              <w:t xml:space="preserve"> </w:t>
            </w:r>
            <w:r>
              <w:rPr>
                <w:sz w:val="18"/>
                <w:vertAlign w:val="superscript"/>
              </w:rPr>
              <w:t xml:space="preserve"> </w:t>
            </w:r>
            <w:r>
              <w:t>на основании данных, полученных в клиническом исследовании CARMELINA</w:t>
            </w:r>
          </w:p>
          <w:p w14:paraId="7EEE3C0F" w14:textId="77777777" w:rsidR="00DD5ED2" w:rsidRDefault="00DD5ED2" w:rsidP="005917D6">
            <w:pPr>
              <w:pStyle w:val="afff7"/>
              <w:spacing w:before="0" w:after="0"/>
            </w:pPr>
            <w:r w:rsidRPr="0017785D">
              <w:rPr>
                <w:b/>
                <w:bCs/>
                <w:color w:val="000000"/>
                <w:vertAlign w:val="superscript"/>
              </w:rPr>
              <w:t>1</w:t>
            </w:r>
            <w:r>
              <w:rPr>
                <w:b/>
                <w:bCs/>
                <w:color w:val="000000"/>
                <w:vertAlign w:val="superscript"/>
              </w:rPr>
              <w:t xml:space="preserve"> </w:t>
            </w:r>
            <w:r>
              <w:t>наблюдавшиеся при применении в комбинации с метформином и производным сульфонилмочевины</w:t>
            </w:r>
          </w:p>
          <w:p w14:paraId="14830DE7" w14:textId="77777777" w:rsidR="00DD5ED2" w:rsidRPr="00954835" w:rsidRDefault="00DD5ED2" w:rsidP="005917D6">
            <w:pPr>
              <w:pStyle w:val="afff7"/>
              <w:spacing w:before="0" w:after="0"/>
            </w:pPr>
            <w:r w:rsidRPr="0017785D">
              <w:rPr>
                <w:vertAlign w:val="superscript"/>
              </w:rPr>
              <w:t>2</w:t>
            </w:r>
            <w:r>
              <w:rPr>
                <w:vertAlign w:val="superscript"/>
              </w:rPr>
              <w:t xml:space="preserve"> </w:t>
            </w:r>
            <w:r>
              <w:t>НР, наблюдавшиеся при применении в комбинации с инсулином</w:t>
            </w:r>
          </w:p>
        </w:tc>
      </w:tr>
    </w:tbl>
    <w:p w14:paraId="36E58383" w14:textId="0C00DD3A" w:rsidR="004B1452" w:rsidRDefault="004B1452" w:rsidP="004B1452">
      <w:pPr>
        <w:pStyle w:val="3"/>
        <w:tabs>
          <w:tab w:val="left" w:pos="8647"/>
        </w:tabs>
        <w:spacing w:after="240"/>
        <w:rPr>
          <w:rFonts w:ascii="Times New Roman" w:hAnsi="Times New Roman"/>
          <w:color w:val="000000" w:themeColor="text1"/>
        </w:rPr>
      </w:pPr>
      <w:bookmarkStart w:id="296" w:name="_Toc139362026"/>
      <w:r w:rsidRPr="005E6358">
        <w:rPr>
          <w:rFonts w:ascii="Times New Roman" w:hAnsi="Times New Roman"/>
          <w:color w:val="000000" w:themeColor="text1"/>
        </w:rPr>
        <w:t>5.3.</w:t>
      </w:r>
      <w:r>
        <w:rPr>
          <w:rFonts w:ascii="Times New Roman" w:hAnsi="Times New Roman"/>
          <w:color w:val="000000" w:themeColor="text1"/>
        </w:rPr>
        <w:t>6</w:t>
      </w:r>
      <w:r w:rsidRPr="005E6358">
        <w:rPr>
          <w:rFonts w:ascii="Times New Roman" w:hAnsi="Times New Roman"/>
          <w:color w:val="000000" w:themeColor="text1"/>
        </w:rPr>
        <w:t xml:space="preserve">. </w:t>
      </w:r>
      <w:r>
        <w:rPr>
          <w:rFonts w:ascii="Times New Roman" w:hAnsi="Times New Roman"/>
          <w:color w:val="000000" w:themeColor="text1"/>
        </w:rPr>
        <w:t>Передозировка</w:t>
      </w:r>
      <w:bookmarkEnd w:id="296"/>
    </w:p>
    <w:p w14:paraId="0FBFCB68" w14:textId="77777777" w:rsidR="00942474" w:rsidRPr="001D180F" w:rsidRDefault="00942474" w:rsidP="00942474">
      <w:pPr>
        <w:tabs>
          <w:tab w:val="left" w:pos="8647"/>
        </w:tabs>
        <w:autoSpaceDE w:val="0"/>
        <w:autoSpaceDN w:val="0"/>
        <w:adjustRightInd w:val="0"/>
        <w:contextualSpacing/>
        <w:rPr>
          <w:b/>
          <w:iCs/>
          <w:lang w:eastAsia="en-US"/>
        </w:rPr>
      </w:pPr>
      <w:r w:rsidRPr="001D180F">
        <w:rPr>
          <w:b/>
          <w:iCs/>
          <w:lang w:eastAsia="en-US"/>
        </w:rPr>
        <w:t>Симптомы</w:t>
      </w:r>
    </w:p>
    <w:p w14:paraId="5A4B9167" w14:textId="77777777" w:rsidR="00942474" w:rsidRDefault="00942474" w:rsidP="0054157B">
      <w:pPr>
        <w:ind w:firstLine="709"/>
      </w:pPr>
    </w:p>
    <w:p w14:paraId="1DF2FFA0" w14:textId="7A0BDDAD" w:rsidR="004B1452" w:rsidRDefault="004B1452" w:rsidP="0054157B">
      <w:pPr>
        <w:ind w:firstLine="709"/>
      </w:pPr>
      <w:r>
        <w:t>Во время проведения контролируемых клинических исследований у здоровых добровольцев однократные дозы линаглиптина, достигавшие 600 мг (в 120 раз превышавшие рекомендуемую дозу), переносились хорошо. Опыта применения дозы, превышающей 600 мг, нет.</w:t>
      </w:r>
    </w:p>
    <w:p w14:paraId="34442AE3" w14:textId="77777777" w:rsidR="00942474" w:rsidRDefault="00942474" w:rsidP="0054157B">
      <w:pPr>
        <w:ind w:firstLine="709"/>
      </w:pPr>
    </w:p>
    <w:p w14:paraId="39726A27" w14:textId="1CDD86B7" w:rsidR="00942474" w:rsidRDefault="00942474" w:rsidP="00942474">
      <w:pPr>
        <w:rPr>
          <w:b/>
          <w:shd w:val="clear" w:color="auto" w:fill="FFFFFF"/>
        </w:rPr>
      </w:pPr>
      <w:r w:rsidRPr="001D180F">
        <w:rPr>
          <w:b/>
          <w:shd w:val="clear" w:color="auto" w:fill="FFFFFF"/>
        </w:rPr>
        <w:t>Лечение</w:t>
      </w:r>
    </w:p>
    <w:p w14:paraId="7985E57B" w14:textId="77777777" w:rsidR="00942474" w:rsidRDefault="00942474" w:rsidP="00942474"/>
    <w:p w14:paraId="0E455819" w14:textId="77777777" w:rsidR="004B1452" w:rsidRDefault="004B1452" w:rsidP="0054157B">
      <w:pPr>
        <w:ind w:firstLine="709"/>
      </w:pPr>
      <w:r>
        <w:t>В случае передозировки рекомендуется использовать стандартные вспомогательные мероприятия, например, удаление неабсорбированного препарата из желудочно-кишечного тракта, осуществление клинического контроля и проведение симптоматического лечения.</w:t>
      </w:r>
    </w:p>
    <w:p w14:paraId="155168B0" w14:textId="77777777" w:rsidR="004B1452" w:rsidRDefault="004B1452" w:rsidP="004B1452">
      <w:pPr>
        <w:pStyle w:val="3"/>
        <w:tabs>
          <w:tab w:val="left" w:pos="8647"/>
        </w:tabs>
        <w:spacing w:after="240"/>
        <w:rPr>
          <w:rFonts w:ascii="Times New Roman" w:eastAsia="Courier New" w:hAnsi="Times New Roman"/>
          <w:szCs w:val="24"/>
          <w:lang w:eastAsia="ru-RU" w:bidi="ru-RU"/>
        </w:rPr>
      </w:pPr>
      <w:bookmarkStart w:id="297" w:name="_Toc139362027"/>
      <w:r w:rsidRPr="005E6358">
        <w:rPr>
          <w:rFonts w:ascii="Times New Roman" w:hAnsi="Times New Roman"/>
          <w:color w:val="000000" w:themeColor="text1"/>
        </w:rPr>
        <w:lastRenderedPageBreak/>
        <w:t>5.3.</w:t>
      </w:r>
      <w:r>
        <w:rPr>
          <w:rFonts w:ascii="Times New Roman" w:hAnsi="Times New Roman"/>
          <w:color w:val="000000" w:themeColor="text1"/>
        </w:rPr>
        <w:t>7</w:t>
      </w:r>
      <w:r w:rsidRPr="005E6358">
        <w:rPr>
          <w:rFonts w:ascii="Times New Roman" w:hAnsi="Times New Roman"/>
          <w:color w:val="000000" w:themeColor="text1"/>
        </w:rPr>
        <w:t xml:space="preserve">. </w:t>
      </w:r>
      <w:r w:rsidRPr="003F11CF">
        <w:rPr>
          <w:rFonts w:ascii="Times New Roman" w:eastAsia="Courier New" w:hAnsi="Times New Roman"/>
          <w:szCs w:val="24"/>
          <w:lang w:eastAsia="ru-RU" w:bidi="ru-RU"/>
        </w:rPr>
        <w:t>Взаимодействие с другими лекарственными средствами</w:t>
      </w:r>
      <w:bookmarkEnd w:id="297"/>
    </w:p>
    <w:p w14:paraId="6F29E4DA" w14:textId="77777777" w:rsidR="004B1452" w:rsidRPr="00931F6B" w:rsidRDefault="004B1452" w:rsidP="004B1452">
      <w:pPr>
        <w:rPr>
          <w:b/>
          <w:bCs/>
          <w:lang w:eastAsia="ru-RU" w:bidi="ru-RU"/>
        </w:rPr>
      </w:pPr>
      <w:r w:rsidRPr="007F5E52">
        <w:rPr>
          <w:b/>
          <w:bCs/>
          <w:lang w:eastAsia="ru-RU" w:bidi="ru-RU"/>
        </w:rPr>
        <w:t>Оценка лекарственных взаимодействий</w:t>
      </w:r>
      <w:r w:rsidRPr="00373ECE">
        <w:rPr>
          <w:b/>
          <w:bCs/>
          <w:i/>
          <w:lang w:eastAsia="ru-RU" w:bidi="ru-RU"/>
        </w:rPr>
        <w:t xml:space="preserve"> </w:t>
      </w:r>
      <w:r w:rsidRPr="00931F6B">
        <w:rPr>
          <w:b/>
          <w:bCs/>
          <w:i/>
          <w:iCs/>
          <w:lang w:eastAsia="ru-RU" w:bidi="ru-RU"/>
        </w:rPr>
        <w:t>in vitro</w:t>
      </w:r>
    </w:p>
    <w:p w14:paraId="73B9B269" w14:textId="77777777" w:rsidR="007F5E52" w:rsidRDefault="007F5E52" w:rsidP="008972BC">
      <w:pPr>
        <w:ind w:firstLine="709"/>
        <w:rPr>
          <w:lang w:eastAsia="ru-RU" w:bidi="ru-RU"/>
        </w:rPr>
      </w:pPr>
    </w:p>
    <w:p w14:paraId="353D72E3" w14:textId="09ED67F4" w:rsidR="004B1452" w:rsidRDefault="004B1452" w:rsidP="008972BC">
      <w:pPr>
        <w:ind w:firstLine="709"/>
        <w:rPr>
          <w:lang w:eastAsia="ru-RU" w:bidi="ru-RU"/>
        </w:rPr>
      </w:pPr>
      <w:r w:rsidRPr="00F4704E">
        <w:rPr>
          <w:lang w:eastAsia="ru-RU" w:bidi="ru-RU"/>
        </w:rPr>
        <w:t xml:space="preserve">Линаглиптин является слабым конкурентным ингибитором изофермента </w:t>
      </w:r>
      <w:r w:rsidR="00215B69">
        <w:rPr>
          <w:lang w:val="en-US" w:eastAsia="ru-RU" w:bidi="ru-RU"/>
        </w:rPr>
        <w:t>CYP</w:t>
      </w:r>
      <w:r w:rsidR="00215B69" w:rsidRPr="00215B69">
        <w:rPr>
          <w:lang w:eastAsia="ru-RU" w:bidi="ru-RU"/>
        </w:rPr>
        <w:t>3</w:t>
      </w:r>
      <w:r w:rsidRPr="00F4704E">
        <w:rPr>
          <w:lang w:eastAsia="ru-RU" w:bidi="ru-RU"/>
        </w:rPr>
        <w:t>А4.</w:t>
      </w:r>
      <w:r>
        <w:rPr>
          <w:lang w:eastAsia="ru-RU" w:bidi="ru-RU"/>
        </w:rPr>
        <w:t xml:space="preserve"> </w:t>
      </w:r>
      <w:r w:rsidRPr="00F4704E">
        <w:rPr>
          <w:lang w:eastAsia="ru-RU" w:bidi="ru-RU"/>
        </w:rPr>
        <w:t xml:space="preserve">Линаглиптин не ингибирует другие изоферменты </w:t>
      </w:r>
      <w:r w:rsidR="00215B69">
        <w:rPr>
          <w:lang w:val="en-US" w:eastAsia="ru-RU" w:bidi="ru-RU"/>
        </w:rPr>
        <w:t>CYP</w:t>
      </w:r>
      <w:r w:rsidRPr="00F4704E">
        <w:rPr>
          <w:lang w:eastAsia="ru-RU" w:bidi="ru-RU"/>
        </w:rPr>
        <w:t xml:space="preserve"> и не является их индуктором. Линаглиптин является субстратом для P-gp и ингибирует в небольшой степени опосредованный P-gp транспорт дигоксина.</w:t>
      </w:r>
    </w:p>
    <w:p w14:paraId="433A7BFB" w14:textId="77777777" w:rsidR="008972BC" w:rsidRDefault="008972BC" w:rsidP="004B1452">
      <w:pPr>
        <w:ind w:firstLine="851"/>
        <w:rPr>
          <w:lang w:eastAsia="ru-RU" w:bidi="ru-RU"/>
        </w:rPr>
      </w:pPr>
    </w:p>
    <w:p w14:paraId="116D3354" w14:textId="77777777" w:rsidR="004B1452" w:rsidRPr="00AE5D3E" w:rsidRDefault="004B1452" w:rsidP="008972BC">
      <w:pPr>
        <w:rPr>
          <w:b/>
          <w:bCs/>
          <w:lang w:eastAsia="ru-RU" w:bidi="ru-RU"/>
        </w:rPr>
      </w:pPr>
      <w:r w:rsidRPr="007F5E52">
        <w:rPr>
          <w:b/>
          <w:bCs/>
          <w:lang w:eastAsia="ru-RU" w:bidi="ru-RU"/>
        </w:rPr>
        <w:t>Оценка лекарственных взаимодействий</w:t>
      </w:r>
      <w:r w:rsidRPr="00AE5D3E">
        <w:rPr>
          <w:b/>
          <w:bCs/>
          <w:lang w:eastAsia="ru-RU" w:bidi="ru-RU"/>
        </w:rPr>
        <w:t xml:space="preserve"> </w:t>
      </w:r>
      <w:r w:rsidRPr="00AE5D3E">
        <w:rPr>
          <w:b/>
          <w:bCs/>
          <w:i/>
          <w:iCs/>
          <w:lang w:eastAsia="ru-RU" w:bidi="ru-RU"/>
        </w:rPr>
        <w:t>in vivo</w:t>
      </w:r>
    </w:p>
    <w:p w14:paraId="13229063" w14:textId="77777777" w:rsidR="007F5E52" w:rsidRDefault="007F5E52" w:rsidP="008972BC">
      <w:pPr>
        <w:ind w:firstLine="709"/>
        <w:rPr>
          <w:lang w:eastAsia="ru-RU" w:bidi="ru-RU"/>
        </w:rPr>
      </w:pPr>
    </w:p>
    <w:p w14:paraId="2556CE39" w14:textId="188DCDF3" w:rsidR="004B1452" w:rsidRDefault="004B1452" w:rsidP="008972BC">
      <w:pPr>
        <w:ind w:firstLine="709"/>
        <w:rPr>
          <w:lang w:eastAsia="ru-RU" w:bidi="ru-RU"/>
        </w:rPr>
      </w:pPr>
      <w:r>
        <w:rPr>
          <w:lang w:eastAsia="ru-RU" w:bidi="ru-RU"/>
        </w:rPr>
        <w:t xml:space="preserve">Линаглиптин не оказывает клинически значимого влияния на фармакокинетику метформина, глибенкламида, симвастатина, пиоглитазона, варфарина, дигоксина и пероральных контрацептивных препаратов, что доказано в условиях </w:t>
      </w:r>
      <w:r w:rsidRPr="00AE5D3E">
        <w:rPr>
          <w:i/>
          <w:iCs/>
          <w:lang w:eastAsia="ru-RU" w:bidi="ru-RU"/>
        </w:rPr>
        <w:t>in vivo</w:t>
      </w:r>
      <w:r>
        <w:rPr>
          <w:lang w:eastAsia="ru-RU" w:bidi="ru-RU"/>
        </w:rPr>
        <w:t xml:space="preserve">, и основывается на низкой способности линаглиптина приводить к лекарственным взаимодействиям с субстратами для </w:t>
      </w:r>
      <w:r w:rsidR="00215B69">
        <w:rPr>
          <w:lang w:val="en-US" w:eastAsia="ru-RU" w:bidi="ru-RU"/>
        </w:rPr>
        <w:t>CYP</w:t>
      </w:r>
      <w:r w:rsidR="00660530" w:rsidRPr="00660530">
        <w:rPr>
          <w:lang w:eastAsia="ru-RU" w:bidi="ru-RU"/>
        </w:rPr>
        <w:t>3</w:t>
      </w:r>
      <w:r>
        <w:rPr>
          <w:lang w:eastAsia="ru-RU" w:bidi="ru-RU"/>
        </w:rPr>
        <w:t xml:space="preserve">А4, </w:t>
      </w:r>
      <w:r w:rsidR="00215B69">
        <w:rPr>
          <w:lang w:val="en-US" w:eastAsia="ru-RU" w:bidi="ru-RU"/>
        </w:rPr>
        <w:t>CYP</w:t>
      </w:r>
      <w:r>
        <w:rPr>
          <w:lang w:eastAsia="ru-RU" w:bidi="ru-RU"/>
        </w:rPr>
        <w:t xml:space="preserve">2С9, </w:t>
      </w:r>
      <w:r w:rsidR="00215B69">
        <w:rPr>
          <w:lang w:val="en-US" w:eastAsia="ru-RU" w:bidi="ru-RU"/>
        </w:rPr>
        <w:t>CYP</w:t>
      </w:r>
      <w:r>
        <w:rPr>
          <w:lang w:eastAsia="ru-RU" w:bidi="ru-RU"/>
        </w:rPr>
        <w:t>2С8, P-gp и транспортными молекулами органических катионов.</w:t>
      </w:r>
    </w:p>
    <w:p w14:paraId="366C2A44" w14:textId="77777777" w:rsidR="00373ECE" w:rsidRPr="00373ECE" w:rsidRDefault="004B1452" w:rsidP="00373ECE">
      <w:pPr>
        <w:rPr>
          <w:i/>
          <w:lang w:eastAsia="ru-RU" w:bidi="ru-RU"/>
        </w:rPr>
      </w:pPr>
      <w:r w:rsidRPr="00373ECE">
        <w:rPr>
          <w:bCs/>
          <w:i/>
          <w:lang w:eastAsia="ru-RU" w:bidi="ru-RU"/>
        </w:rPr>
        <w:t>Метформин</w:t>
      </w:r>
    </w:p>
    <w:p w14:paraId="0E3216BC" w14:textId="24CBB85A" w:rsidR="004B1452" w:rsidRDefault="004B1452" w:rsidP="00373ECE">
      <w:pPr>
        <w:ind w:firstLine="709"/>
        <w:rPr>
          <w:lang w:eastAsia="ru-RU" w:bidi="ru-RU"/>
        </w:rPr>
      </w:pPr>
      <w:r w:rsidRPr="00E8302C">
        <w:rPr>
          <w:lang w:eastAsia="ru-RU" w:bidi="ru-RU"/>
        </w:rPr>
        <w:t xml:space="preserve">Совместное применение метформина (многократный ежедневный прием дозы 850 мг </w:t>
      </w:r>
      <w:r>
        <w:rPr>
          <w:lang w:eastAsia="ru-RU" w:bidi="ru-RU"/>
        </w:rPr>
        <w:t>3</w:t>
      </w:r>
      <w:r w:rsidRPr="00E8302C">
        <w:rPr>
          <w:lang w:eastAsia="ru-RU" w:bidi="ru-RU"/>
        </w:rPr>
        <w:t xml:space="preserve"> раза в день) и линаглиптина в дозе 1</w:t>
      </w:r>
      <w:r>
        <w:rPr>
          <w:lang w:eastAsia="ru-RU" w:bidi="ru-RU"/>
        </w:rPr>
        <w:t xml:space="preserve">0 </w:t>
      </w:r>
      <w:r w:rsidRPr="00E8302C">
        <w:rPr>
          <w:lang w:eastAsia="ru-RU" w:bidi="ru-RU"/>
        </w:rPr>
        <w:t>мг 1 раз в день (выше терапевтической дозы) у здоровых добровольцев не приводило к клинически значимым изменениям фармакокинетики линаглиптина или метформина. Таким образом, линаглиптин не является ингибитором транспорта органических катионов.</w:t>
      </w:r>
    </w:p>
    <w:p w14:paraId="413D6345" w14:textId="77777777" w:rsidR="00D70DB3" w:rsidRPr="00660530" w:rsidRDefault="004B1452" w:rsidP="00D70DB3">
      <w:pPr>
        <w:rPr>
          <w:i/>
          <w:lang w:eastAsia="ru-RU" w:bidi="ru-RU"/>
        </w:rPr>
      </w:pPr>
      <w:r w:rsidRPr="00660530">
        <w:rPr>
          <w:bCs/>
          <w:i/>
          <w:lang w:eastAsia="ru-RU" w:bidi="ru-RU"/>
        </w:rPr>
        <w:t>Производные сульфонилмочевины</w:t>
      </w:r>
      <w:r w:rsidRPr="00660530">
        <w:rPr>
          <w:i/>
          <w:lang w:eastAsia="ru-RU" w:bidi="ru-RU"/>
        </w:rPr>
        <w:t xml:space="preserve"> </w:t>
      </w:r>
    </w:p>
    <w:p w14:paraId="329EDC5A" w14:textId="5FB0F39A" w:rsidR="004B1452" w:rsidRDefault="004B1452" w:rsidP="00D70DB3">
      <w:pPr>
        <w:ind w:firstLine="709"/>
        <w:rPr>
          <w:lang w:eastAsia="ru-RU" w:bidi="ru-RU"/>
        </w:rPr>
      </w:pPr>
      <w:r w:rsidRPr="00E8302C">
        <w:rPr>
          <w:lang w:eastAsia="ru-RU" w:bidi="ru-RU"/>
        </w:rPr>
        <w:t>Фармакокинетика линаглиптина (5 мг) не изменялась при совместном применении с глибенкламидом (однократная доза глибенкламида 1,75 мг) и многократного приема линаглиптина внутрь (по 5 мг). Однако отмечалось клинически незначительное снижение значений AUC и С</w:t>
      </w:r>
      <w:r w:rsidRPr="00760E4F">
        <w:rPr>
          <w:vertAlign w:val="subscript"/>
          <w:lang w:val="en-US" w:eastAsia="ru-RU" w:bidi="ru-RU"/>
        </w:rPr>
        <w:t>max</w:t>
      </w:r>
      <w:r w:rsidRPr="00760E4F">
        <w:rPr>
          <w:vertAlign w:val="subscript"/>
          <w:lang w:eastAsia="ru-RU" w:bidi="ru-RU"/>
        </w:rPr>
        <w:t xml:space="preserve"> </w:t>
      </w:r>
      <w:r w:rsidRPr="00E8302C">
        <w:rPr>
          <w:lang w:eastAsia="ru-RU" w:bidi="ru-RU"/>
        </w:rPr>
        <w:t>глибенкламида на 14</w:t>
      </w:r>
      <w:r w:rsidRPr="003C6D15">
        <w:rPr>
          <w:lang w:eastAsia="ru-RU" w:bidi="ru-RU"/>
        </w:rPr>
        <w:t>%</w:t>
      </w:r>
      <w:r>
        <w:rPr>
          <w:lang w:eastAsia="ru-RU" w:bidi="ru-RU"/>
        </w:rPr>
        <w:t xml:space="preserve">. </w:t>
      </w:r>
      <w:r w:rsidRPr="00E8302C">
        <w:rPr>
          <w:lang w:eastAsia="ru-RU" w:bidi="ru-RU"/>
        </w:rPr>
        <w:t xml:space="preserve">Поскольку глибенкламид метаболизируется в основном </w:t>
      </w:r>
      <w:r w:rsidR="00215B69">
        <w:rPr>
          <w:lang w:val="en-US" w:eastAsia="ru-RU" w:bidi="ru-RU"/>
        </w:rPr>
        <w:t>CYP</w:t>
      </w:r>
      <w:r w:rsidRPr="00E8302C">
        <w:rPr>
          <w:lang w:eastAsia="ru-RU" w:bidi="ru-RU"/>
        </w:rPr>
        <w:t xml:space="preserve">2С9, эти данные также подтверждают вывод о том, что линаглиптин не является ингибитором </w:t>
      </w:r>
      <w:r w:rsidR="00215B69">
        <w:rPr>
          <w:lang w:val="en-US" w:eastAsia="ru-RU" w:bidi="ru-RU"/>
        </w:rPr>
        <w:t>CYP</w:t>
      </w:r>
      <w:r w:rsidRPr="00E8302C">
        <w:rPr>
          <w:lang w:eastAsia="ru-RU" w:bidi="ru-RU"/>
        </w:rPr>
        <w:t xml:space="preserve">2С9. Не ожидается клинически существенных взаимодействий и с другими производными сульфонилмочевины (например, глипизидом и глимепиридом), которые, как и глибенкламид, в основном метаболизируются с участием </w:t>
      </w:r>
      <w:r w:rsidR="00215B69">
        <w:rPr>
          <w:lang w:val="en-US" w:eastAsia="ru-RU" w:bidi="ru-RU"/>
        </w:rPr>
        <w:t>CYP</w:t>
      </w:r>
      <w:r w:rsidRPr="00E8302C">
        <w:rPr>
          <w:lang w:eastAsia="ru-RU" w:bidi="ru-RU"/>
        </w:rPr>
        <w:t>2С9.</w:t>
      </w:r>
    </w:p>
    <w:p w14:paraId="749A4BA5" w14:textId="77777777" w:rsidR="00D70DB3" w:rsidRPr="00660530" w:rsidRDefault="004B1452" w:rsidP="00D70DB3">
      <w:pPr>
        <w:rPr>
          <w:i/>
          <w:lang w:eastAsia="ru-RU" w:bidi="ru-RU"/>
        </w:rPr>
      </w:pPr>
      <w:r w:rsidRPr="00660530">
        <w:rPr>
          <w:bCs/>
          <w:i/>
          <w:lang w:eastAsia="ru-RU" w:bidi="ru-RU"/>
        </w:rPr>
        <w:t>Тиазолидиндионы</w:t>
      </w:r>
    </w:p>
    <w:p w14:paraId="13782910" w14:textId="2E206A74" w:rsidR="004B1452" w:rsidRDefault="004B1452" w:rsidP="00D70DB3">
      <w:pPr>
        <w:ind w:firstLine="709"/>
        <w:rPr>
          <w:lang w:eastAsia="ru-RU" w:bidi="ru-RU"/>
        </w:rPr>
      </w:pPr>
      <w:r w:rsidRPr="00AF0D44">
        <w:rPr>
          <w:lang w:eastAsia="ru-RU" w:bidi="ru-RU"/>
        </w:rPr>
        <w:t xml:space="preserve">Совместное применение нескольких доз линаглиптина по 10 мг в день (выше терапевтической дозы) и пиоглитазона по 45 мг в день (многократный прием), который является субстратом для </w:t>
      </w:r>
      <w:r w:rsidR="00660530">
        <w:rPr>
          <w:lang w:val="en-US" w:eastAsia="ru-RU" w:bidi="ru-RU"/>
        </w:rPr>
        <w:t>CYP</w:t>
      </w:r>
      <w:r w:rsidRPr="00AF0D44">
        <w:rPr>
          <w:lang w:eastAsia="ru-RU" w:bidi="ru-RU"/>
        </w:rPr>
        <w:t xml:space="preserve">2С8 и </w:t>
      </w:r>
      <w:r w:rsidR="00660530">
        <w:rPr>
          <w:lang w:val="en-US" w:eastAsia="ru-RU" w:bidi="ru-RU"/>
        </w:rPr>
        <w:t>CYP</w:t>
      </w:r>
      <w:r w:rsidR="00660530" w:rsidRPr="00660530">
        <w:rPr>
          <w:lang w:eastAsia="ru-RU" w:bidi="ru-RU"/>
        </w:rPr>
        <w:t>3</w:t>
      </w:r>
      <w:r w:rsidRPr="00AF0D44">
        <w:rPr>
          <w:lang w:eastAsia="ru-RU" w:bidi="ru-RU"/>
        </w:rPr>
        <w:t xml:space="preserve">А4, не оказывало клинически значимого влияния на фармакокинетику линаглиптина или пиоглитазона, или </w:t>
      </w:r>
      <w:r>
        <w:rPr>
          <w:lang w:eastAsia="ru-RU" w:bidi="ru-RU"/>
        </w:rPr>
        <w:t>активных</w:t>
      </w:r>
      <w:r w:rsidRPr="00AF0D44">
        <w:rPr>
          <w:lang w:eastAsia="ru-RU" w:bidi="ru-RU"/>
        </w:rPr>
        <w:t xml:space="preserve"> метаболитов пиоглитазона. Это указывает на то, что линаглиптин </w:t>
      </w:r>
      <w:r w:rsidRPr="00CD7BAB">
        <w:rPr>
          <w:i/>
          <w:iCs/>
          <w:lang w:eastAsia="ru-RU" w:bidi="ru-RU"/>
        </w:rPr>
        <w:t>in vivo</w:t>
      </w:r>
      <w:r w:rsidRPr="00AF0D44">
        <w:rPr>
          <w:lang w:eastAsia="ru-RU" w:bidi="ru-RU"/>
        </w:rPr>
        <w:t xml:space="preserve"> не является ингибитором метаболизма, опосредуемого </w:t>
      </w:r>
      <w:r w:rsidR="00660530">
        <w:rPr>
          <w:lang w:val="en-US" w:eastAsia="ru-RU" w:bidi="ru-RU"/>
        </w:rPr>
        <w:t>CYP</w:t>
      </w:r>
      <w:r w:rsidRPr="00AF0D44">
        <w:rPr>
          <w:lang w:eastAsia="ru-RU" w:bidi="ru-RU"/>
        </w:rPr>
        <w:t xml:space="preserve">2С8, и подтверждает заключение об отсутствии существенного ингибирующего влияния линаглиптина </w:t>
      </w:r>
      <w:r w:rsidRPr="00CD7BAB">
        <w:rPr>
          <w:i/>
          <w:iCs/>
          <w:lang w:eastAsia="ru-RU" w:bidi="ru-RU"/>
        </w:rPr>
        <w:t>in vivo</w:t>
      </w:r>
      <w:r w:rsidRPr="00AF0D44">
        <w:rPr>
          <w:lang w:eastAsia="ru-RU" w:bidi="ru-RU"/>
        </w:rPr>
        <w:t xml:space="preserve"> на </w:t>
      </w:r>
      <w:r w:rsidR="00660530">
        <w:rPr>
          <w:lang w:val="en-US" w:eastAsia="ru-RU" w:bidi="ru-RU"/>
        </w:rPr>
        <w:t>CYP</w:t>
      </w:r>
      <w:r w:rsidR="00660530" w:rsidRPr="00660530">
        <w:rPr>
          <w:lang w:eastAsia="ru-RU" w:bidi="ru-RU"/>
        </w:rPr>
        <w:t>3</w:t>
      </w:r>
      <w:r w:rsidRPr="00AF0D44">
        <w:rPr>
          <w:lang w:eastAsia="ru-RU" w:bidi="ru-RU"/>
        </w:rPr>
        <w:t>А4.</w:t>
      </w:r>
    </w:p>
    <w:p w14:paraId="0766D995" w14:textId="77777777" w:rsidR="00660530" w:rsidRPr="00660530" w:rsidRDefault="004B1452" w:rsidP="00660530">
      <w:pPr>
        <w:rPr>
          <w:i/>
          <w:lang w:eastAsia="ru-RU" w:bidi="ru-RU"/>
        </w:rPr>
      </w:pPr>
      <w:r w:rsidRPr="00660530">
        <w:rPr>
          <w:bCs/>
          <w:i/>
          <w:lang w:eastAsia="ru-RU" w:bidi="ru-RU"/>
        </w:rPr>
        <w:t>Ритонавир</w:t>
      </w:r>
    </w:p>
    <w:p w14:paraId="03CBFF6B" w14:textId="23C6DE23" w:rsidR="004B1452" w:rsidRDefault="004B1452" w:rsidP="00660530">
      <w:pPr>
        <w:ind w:firstLine="709"/>
        <w:rPr>
          <w:lang w:eastAsia="ru-RU" w:bidi="ru-RU"/>
        </w:rPr>
      </w:pPr>
      <w:r w:rsidRPr="00CD7BAB">
        <w:rPr>
          <w:lang w:eastAsia="ru-RU" w:bidi="ru-RU"/>
        </w:rPr>
        <w:t xml:space="preserve">Совместное применение линаглиптина (однократная доза 5 мг внутрь) и ритонавира (многократный прием дозы 200 мг внутрь), активного ингибитора P-gp и изофермента </w:t>
      </w:r>
      <w:r w:rsidR="003D27E9">
        <w:rPr>
          <w:lang w:val="en-US" w:eastAsia="ru-RU" w:bidi="ru-RU"/>
        </w:rPr>
        <w:t>CYP</w:t>
      </w:r>
      <w:r w:rsidR="003D27E9" w:rsidRPr="00C766E7">
        <w:rPr>
          <w:lang w:eastAsia="ru-RU" w:bidi="ru-RU"/>
        </w:rPr>
        <w:t>3</w:t>
      </w:r>
      <w:r w:rsidRPr="00CD7BAB">
        <w:rPr>
          <w:lang w:eastAsia="ru-RU" w:bidi="ru-RU"/>
        </w:rPr>
        <w:t>А4, увеличивало значения AUC и С</w:t>
      </w:r>
      <w:r w:rsidRPr="00562C08">
        <w:rPr>
          <w:vertAlign w:val="subscript"/>
          <w:lang w:val="en-US" w:eastAsia="ru-RU" w:bidi="ru-RU"/>
        </w:rPr>
        <w:t>max</w:t>
      </w:r>
      <w:r w:rsidRPr="00CD7BAB">
        <w:rPr>
          <w:lang w:eastAsia="ru-RU" w:bidi="ru-RU"/>
        </w:rPr>
        <w:t xml:space="preserve">, линаглиптина примерно в 2 раза и в 3 раза соответственно. Однако эти изменения фармакокинетики линаглиптина не считались значимыми. Поэтому клинически существенного взаимодействия с другими </w:t>
      </w:r>
      <w:r>
        <w:rPr>
          <w:lang w:val="en-US" w:eastAsia="ru-RU" w:bidi="ru-RU"/>
        </w:rPr>
        <w:t>c</w:t>
      </w:r>
      <w:r w:rsidRPr="00CD7BAB">
        <w:rPr>
          <w:lang w:eastAsia="ru-RU" w:bidi="ru-RU"/>
        </w:rPr>
        <w:t xml:space="preserve"> ингибиторами P-gp и </w:t>
      </w:r>
      <w:r w:rsidR="00C766E7">
        <w:rPr>
          <w:lang w:val="en-US" w:eastAsia="ru-RU" w:bidi="ru-RU"/>
        </w:rPr>
        <w:t>CYP</w:t>
      </w:r>
      <w:r w:rsidR="00C766E7" w:rsidRPr="00C766E7">
        <w:rPr>
          <w:lang w:eastAsia="ru-RU" w:bidi="ru-RU"/>
        </w:rPr>
        <w:t>3</w:t>
      </w:r>
      <w:r w:rsidRPr="00CD7BAB">
        <w:rPr>
          <w:lang w:eastAsia="ru-RU" w:bidi="ru-RU"/>
        </w:rPr>
        <w:t>А4 не ожидается, и изменения дозы не требуется.</w:t>
      </w:r>
    </w:p>
    <w:p w14:paraId="10FC74FA" w14:textId="77777777" w:rsidR="00C766E7" w:rsidRPr="002D3646" w:rsidRDefault="00C766E7" w:rsidP="00C766E7">
      <w:pPr>
        <w:rPr>
          <w:bCs/>
          <w:i/>
          <w:lang w:eastAsia="ru-RU" w:bidi="ru-RU"/>
        </w:rPr>
      </w:pPr>
      <w:r w:rsidRPr="002D3646">
        <w:rPr>
          <w:bCs/>
          <w:i/>
          <w:lang w:eastAsia="ru-RU" w:bidi="ru-RU"/>
        </w:rPr>
        <w:t>Рифампицин</w:t>
      </w:r>
    </w:p>
    <w:p w14:paraId="44124C9D" w14:textId="7C4C16BE" w:rsidR="004B1452" w:rsidRDefault="004B1452" w:rsidP="002D3646">
      <w:pPr>
        <w:ind w:firstLine="709"/>
        <w:rPr>
          <w:lang w:eastAsia="ru-RU" w:bidi="ru-RU"/>
        </w:rPr>
      </w:pPr>
      <w:r w:rsidRPr="00562C08">
        <w:rPr>
          <w:lang w:eastAsia="ru-RU" w:bidi="ru-RU"/>
        </w:rPr>
        <w:lastRenderedPageBreak/>
        <w:t xml:space="preserve">Многократное совместное применение линаглиптина и рифампицина, активного индуктора P-gp и изофермента </w:t>
      </w:r>
      <w:r w:rsidR="002D3646">
        <w:rPr>
          <w:lang w:val="en-US" w:eastAsia="ru-RU" w:bidi="ru-RU"/>
        </w:rPr>
        <w:t>CYP</w:t>
      </w:r>
      <w:r w:rsidR="002D3646" w:rsidRPr="002D3646">
        <w:rPr>
          <w:lang w:eastAsia="ru-RU" w:bidi="ru-RU"/>
        </w:rPr>
        <w:t>3</w:t>
      </w:r>
      <w:r w:rsidRPr="00562C08">
        <w:rPr>
          <w:lang w:eastAsia="ru-RU" w:bidi="ru-RU"/>
        </w:rPr>
        <w:t xml:space="preserve">А4, приводило к снижению значений AUC и </w:t>
      </w:r>
      <w:r w:rsidRPr="00CD7BAB">
        <w:rPr>
          <w:lang w:eastAsia="ru-RU" w:bidi="ru-RU"/>
        </w:rPr>
        <w:t>С</w:t>
      </w:r>
      <w:r w:rsidRPr="00562C08">
        <w:rPr>
          <w:vertAlign w:val="subscript"/>
          <w:lang w:val="en-US" w:eastAsia="ru-RU" w:bidi="ru-RU"/>
        </w:rPr>
        <w:t>max</w:t>
      </w:r>
      <w:r w:rsidRPr="00562C08">
        <w:rPr>
          <w:lang w:eastAsia="ru-RU" w:bidi="ru-RU"/>
        </w:rPr>
        <w:t xml:space="preserve"> линаглиптина, соответственно на 39,6 % и 43,8 %, и к снижению ингибирования базальной активности дипептидилпептидазы-4 примерно на 30</w:t>
      </w:r>
      <w:r w:rsidRPr="00645B0A">
        <w:rPr>
          <w:lang w:eastAsia="ru-RU" w:bidi="ru-RU"/>
        </w:rPr>
        <w:t>%.</w:t>
      </w:r>
      <w:r w:rsidRPr="00562C08">
        <w:rPr>
          <w:lang w:eastAsia="ru-RU" w:bidi="ru-RU"/>
        </w:rPr>
        <w:t xml:space="preserve"> Таким образом, ожидается, что клиническая эффективность линаглиптина, применяющегося в комбинации с активными индукторами P-gp, будет сохраняться, хотя может проявляться не в полной мере.</w:t>
      </w:r>
    </w:p>
    <w:p w14:paraId="4D793A30" w14:textId="77777777" w:rsidR="002D3646" w:rsidRPr="002D3646" w:rsidRDefault="004B1452" w:rsidP="002D3646">
      <w:pPr>
        <w:rPr>
          <w:i/>
          <w:lang w:eastAsia="ru-RU" w:bidi="ru-RU"/>
        </w:rPr>
      </w:pPr>
      <w:r w:rsidRPr="002D3646">
        <w:rPr>
          <w:bCs/>
          <w:i/>
          <w:lang w:eastAsia="ru-RU" w:bidi="ru-RU"/>
        </w:rPr>
        <w:t>Дигоксин</w:t>
      </w:r>
    </w:p>
    <w:p w14:paraId="0D120B57" w14:textId="0E00BDAC" w:rsidR="004B1452" w:rsidRDefault="004B1452" w:rsidP="002D3646">
      <w:pPr>
        <w:ind w:firstLine="709"/>
        <w:rPr>
          <w:lang w:eastAsia="ru-RU" w:bidi="ru-RU"/>
        </w:rPr>
      </w:pPr>
      <w:r w:rsidRPr="00307472">
        <w:rPr>
          <w:lang w:eastAsia="ru-RU" w:bidi="ru-RU"/>
        </w:rPr>
        <w:t xml:space="preserve">Совместное многократное применение у здоровых добровольцев линаглиптина (5 мг в день) и дигоксина (0,25 мг в день) не оказывало влияния на фармакокинетику дигоксина. Таким образом, линаглиптин </w:t>
      </w:r>
      <w:r w:rsidRPr="00307472">
        <w:rPr>
          <w:i/>
          <w:iCs/>
          <w:lang w:eastAsia="ru-RU" w:bidi="ru-RU"/>
        </w:rPr>
        <w:t>in vivo</w:t>
      </w:r>
      <w:r w:rsidRPr="00307472">
        <w:rPr>
          <w:lang w:eastAsia="ru-RU" w:bidi="ru-RU"/>
        </w:rPr>
        <w:t xml:space="preserve"> не является ингибитором транспорта, опосредуемого P-gp.</w:t>
      </w:r>
    </w:p>
    <w:p w14:paraId="7711FA57" w14:textId="77777777" w:rsidR="002D3646" w:rsidRPr="002D3646" w:rsidRDefault="002D3646" w:rsidP="002D3646">
      <w:pPr>
        <w:rPr>
          <w:bCs/>
          <w:i/>
          <w:lang w:eastAsia="ru-RU" w:bidi="ru-RU"/>
        </w:rPr>
      </w:pPr>
      <w:r w:rsidRPr="002D3646">
        <w:rPr>
          <w:bCs/>
          <w:i/>
          <w:lang w:eastAsia="ru-RU" w:bidi="ru-RU"/>
        </w:rPr>
        <w:t>Варфарин</w:t>
      </w:r>
    </w:p>
    <w:p w14:paraId="0849B617" w14:textId="7F70428C" w:rsidR="004B1452" w:rsidRDefault="004B1452" w:rsidP="002D3646">
      <w:pPr>
        <w:ind w:firstLine="709"/>
        <w:rPr>
          <w:lang w:eastAsia="ru-RU" w:bidi="ru-RU"/>
        </w:rPr>
      </w:pPr>
      <w:r w:rsidRPr="00307472">
        <w:rPr>
          <w:lang w:eastAsia="ru-RU" w:bidi="ru-RU"/>
        </w:rPr>
        <w:t xml:space="preserve">Линаглиптин, применявшийся многократно в дозе 5 мг в день, не изменял фармакокинетику варфарина, являющегося субстратом для </w:t>
      </w:r>
      <w:r w:rsidR="002D3646">
        <w:rPr>
          <w:lang w:val="en-US" w:eastAsia="ru-RU" w:bidi="ru-RU"/>
        </w:rPr>
        <w:t>CYP</w:t>
      </w:r>
      <w:r w:rsidRPr="00307472">
        <w:rPr>
          <w:lang w:eastAsia="ru-RU" w:bidi="ru-RU"/>
        </w:rPr>
        <w:t xml:space="preserve">2С9, что свидетельствует об отсутствии у линаглиптина способности ингибировать </w:t>
      </w:r>
      <w:r w:rsidR="002D3646">
        <w:rPr>
          <w:lang w:val="en-US" w:eastAsia="ru-RU" w:bidi="ru-RU"/>
        </w:rPr>
        <w:t>CYP</w:t>
      </w:r>
      <w:r w:rsidRPr="00307472">
        <w:rPr>
          <w:lang w:eastAsia="ru-RU" w:bidi="ru-RU"/>
        </w:rPr>
        <w:t>2С9.</w:t>
      </w:r>
    </w:p>
    <w:p w14:paraId="4C7A9EDC" w14:textId="77777777" w:rsidR="002D3646" w:rsidRDefault="002D3646" w:rsidP="002D3646">
      <w:pPr>
        <w:rPr>
          <w:b/>
          <w:bCs/>
          <w:lang w:eastAsia="ru-RU" w:bidi="ru-RU"/>
        </w:rPr>
      </w:pPr>
      <w:r w:rsidRPr="002D3646">
        <w:rPr>
          <w:bCs/>
          <w:i/>
          <w:lang w:eastAsia="ru-RU" w:bidi="ru-RU"/>
        </w:rPr>
        <w:t>Симвастатин</w:t>
      </w:r>
    </w:p>
    <w:p w14:paraId="0EDB4DA6" w14:textId="6724835A" w:rsidR="004B1452" w:rsidRDefault="004B1452" w:rsidP="002D3646">
      <w:pPr>
        <w:ind w:firstLine="709"/>
        <w:rPr>
          <w:lang w:eastAsia="ru-RU" w:bidi="ru-RU"/>
        </w:rPr>
      </w:pPr>
      <w:r w:rsidRPr="00307472">
        <w:rPr>
          <w:lang w:eastAsia="ru-RU" w:bidi="ru-RU"/>
        </w:rPr>
        <w:t xml:space="preserve">Линаглиптин, применявшийся у здоровых добровольцев многократно в дозе 10 мг в день (выше терапевтической дозы), оказывал минимальное влияние на фармакокинетические показатели симвастатина, являющегося чувствительным субстратом для </w:t>
      </w:r>
      <w:r w:rsidR="00A640A9">
        <w:rPr>
          <w:lang w:val="en-US" w:eastAsia="ru-RU" w:bidi="ru-RU"/>
        </w:rPr>
        <w:t>CYP</w:t>
      </w:r>
      <w:r w:rsidR="00A640A9" w:rsidRPr="00A640A9">
        <w:rPr>
          <w:lang w:eastAsia="ru-RU" w:bidi="ru-RU"/>
        </w:rPr>
        <w:t>3</w:t>
      </w:r>
      <w:r w:rsidRPr="00307472">
        <w:rPr>
          <w:lang w:eastAsia="ru-RU" w:bidi="ru-RU"/>
        </w:rPr>
        <w:t xml:space="preserve">А4. После приема линаглиптина в дозе 10 мг совместно с симвастатином, применявшимся в суточной дозе 40 мг в течение 6 дней, величина AUC симвастатина повышалась на 34 </w:t>
      </w:r>
      <w:r w:rsidRPr="00B140B9">
        <w:rPr>
          <w:lang w:eastAsia="ru-RU" w:bidi="ru-RU"/>
        </w:rPr>
        <w:t>%</w:t>
      </w:r>
      <w:r w:rsidRPr="00307472">
        <w:rPr>
          <w:lang w:eastAsia="ru-RU" w:bidi="ru-RU"/>
        </w:rPr>
        <w:t xml:space="preserve">, а величина </w:t>
      </w:r>
      <w:r w:rsidRPr="00CD7BAB">
        <w:rPr>
          <w:lang w:eastAsia="ru-RU" w:bidi="ru-RU"/>
        </w:rPr>
        <w:t>С</w:t>
      </w:r>
      <w:r w:rsidRPr="00562C08">
        <w:rPr>
          <w:vertAlign w:val="subscript"/>
          <w:lang w:val="en-US" w:eastAsia="ru-RU" w:bidi="ru-RU"/>
        </w:rPr>
        <w:t>max</w:t>
      </w:r>
      <w:r w:rsidRPr="00307472">
        <w:rPr>
          <w:lang w:eastAsia="ru-RU" w:bidi="ru-RU"/>
        </w:rPr>
        <w:t xml:space="preserve"> — на 10 </w:t>
      </w:r>
      <w:r w:rsidRPr="00B140B9">
        <w:rPr>
          <w:lang w:eastAsia="ru-RU" w:bidi="ru-RU"/>
        </w:rPr>
        <w:t>%</w:t>
      </w:r>
      <w:r w:rsidRPr="00307472">
        <w:rPr>
          <w:lang w:eastAsia="ru-RU" w:bidi="ru-RU"/>
        </w:rPr>
        <w:t xml:space="preserve">. Таким образом, линаглиптин является слабым ингибитором метаболизма, опосредуемого </w:t>
      </w:r>
      <w:r w:rsidR="00A640A9">
        <w:rPr>
          <w:lang w:val="en-US" w:eastAsia="ru-RU" w:bidi="ru-RU"/>
        </w:rPr>
        <w:t>CYP</w:t>
      </w:r>
      <w:r w:rsidR="00A640A9" w:rsidRPr="00B06644">
        <w:rPr>
          <w:lang w:eastAsia="ru-RU" w:bidi="ru-RU"/>
        </w:rPr>
        <w:t>3</w:t>
      </w:r>
      <w:r w:rsidRPr="00307472">
        <w:rPr>
          <w:lang w:eastAsia="ru-RU" w:bidi="ru-RU"/>
        </w:rPr>
        <w:t xml:space="preserve">А4. Изменение дозы при одновременном приеме с препаратами, которые метаболизируются с участием </w:t>
      </w:r>
      <w:r w:rsidR="00B06644">
        <w:rPr>
          <w:lang w:val="en-US" w:eastAsia="ru-RU" w:bidi="ru-RU"/>
        </w:rPr>
        <w:t>CYP</w:t>
      </w:r>
      <w:r w:rsidR="00B06644" w:rsidRPr="00B06644">
        <w:rPr>
          <w:lang w:eastAsia="ru-RU" w:bidi="ru-RU"/>
        </w:rPr>
        <w:t>3</w:t>
      </w:r>
      <w:r w:rsidRPr="00307472">
        <w:rPr>
          <w:lang w:eastAsia="ru-RU" w:bidi="ru-RU"/>
        </w:rPr>
        <w:t>А4, считается нецелесообразным.</w:t>
      </w:r>
    </w:p>
    <w:p w14:paraId="3E0A67D8" w14:textId="77777777" w:rsidR="00B06644" w:rsidRPr="00B06644" w:rsidRDefault="004B1452" w:rsidP="00B06644">
      <w:pPr>
        <w:rPr>
          <w:i/>
          <w:lang w:eastAsia="ru-RU" w:bidi="ru-RU"/>
        </w:rPr>
      </w:pPr>
      <w:r w:rsidRPr="00B06644">
        <w:rPr>
          <w:bCs/>
          <w:i/>
          <w:lang w:eastAsia="ru-RU" w:bidi="ru-RU"/>
        </w:rPr>
        <w:t>Пероральные контрацептивные препараты</w:t>
      </w:r>
    </w:p>
    <w:p w14:paraId="0E3EA31D" w14:textId="00437CCA" w:rsidR="004B1452" w:rsidRDefault="004B1452" w:rsidP="00B06644">
      <w:pPr>
        <w:ind w:firstLine="709"/>
        <w:rPr>
          <w:lang w:eastAsia="ru-RU" w:bidi="ru-RU"/>
        </w:rPr>
      </w:pPr>
      <w:r w:rsidRPr="00575C5A">
        <w:rPr>
          <w:lang w:eastAsia="ru-RU" w:bidi="ru-RU"/>
        </w:rPr>
        <w:t>Совместное применение линаглиптина в дозе 5 мг с левоноргестрелом или этинилэстрадиолом не изменяло фармакокинетику этих препаратов.</w:t>
      </w:r>
    </w:p>
    <w:p w14:paraId="14043FCB" w14:textId="77777777" w:rsidR="004B1452" w:rsidRDefault="004B1452" w:rsidP="004B1452">
      <w:pPr>
        <w:pStyle w:val="3"/>
        <w:tabs>
          <w:tab w:val="left" w:pos="8647"/>
        </w:tabs>
        <w:spacing w:after="240"/>
        <w:rPr>
          <w:rFonts w:ascii="Times New Roman" w:eastAsia="Courier New" w:hAnsi="Times New Roman"/>
          <w:szCs w:val="24"/>
          <w:lang w:eastAsia="ru-RU" w:bidi="ru-RU"/>
        </w:rPr>
      </w:pPr>
      <w:bookmarkStart w:id="298" w:name="_Toc139362028"/>
      <w:bookmarkEnd w:id="295"/>
      <w:r w:rsidRPr="005E6358">
        <w:rPr>
          <w:rFonts w:ascii="Times New Roman" w:hAnsi="Times New Roman"/>
          <w:color w:val="000000" w:themeColor="text1"/>
        </w:rPr>
        <w:t>5.3.</w:t>
      </w:r>
      <w:r>
        <w:rPr>
          <w:rFonts w:ascii="Times New Roman" w:hAnsi="Times New Roman"/>
          <w:color w:val="000000" w:themeColor="text1"/>
        </w:rPr>
        <w:t>8</w:t>
      </w:r>
      <w:r w:rsidRPr="005E6358">
        <w:rPr>
          <w:rFonts w:ascii="Times New Roman" w:hAnsi="Times New Roman"/>
          <w:color w:val="000000" w:themeColor="text1"/>
        </w:rPr>
        <w:t xml:space="preserve">. </w:t>
      </w:r>
      <w:r>
        <w:rPr>
          <w:rFonts w:ascii="Times New Roman" w:eastAsia="Courier New" w:hAnsi="Times New Roman"/>
          <w:szCs w:val="24"/>
          <w:lang w:eastAsia="ru-RU" w:bidi="ru-RU"/>
        </w:rPr>
        <w:t>Особые указания</w:t>
      </w:r>
      <w:bookmarkEnd w:id="298"/>
    </w:p>
    <w:p w14:paraId="02100154" w14:textId="092BB5C8" w:rsidR="004B1452" w:rsidRDefault="008A6FCB" w:rsidP="00B467D0">
      <w:pPr>
        <w:ind w:firstLine="709"/>
        <w:rPr>
          <w:lang w:eastAsia="ru-RU" w:bidi="ru-RU"/>
        </w:rPr>
      </w:pPr>
      <w:r>
        <w:rPr>
          <w:lang w:eastAsia="ru-RU" w:bidi="ru-RU"/>
        </w:rPr>
        <w:t>Препарат</w:t>
      </w:r>
      <w:r w:rsidR="004B1452">
        <w:rPr>
          <w:lang w:eastAsia="ru-RU" w:bidi="ru-RU"/>
        </w:rPr>
        <w:t xml:space="preserve"> </w:t>
      </w:r>
      <w:r w:rsidR="004B1452" w:rsidRPr="00575C5A">
        <w:rPr>
          <w:lang w:eastAsia="ru-RU" w:bidi="ru-RU"/>
        </w:rPr>
        <w:t>линаглиптин</w:t>
      </w:r>
      <w:r w:rsidR="004B1452">
        <w:rPr>
          <w:lang w:eastAsia="ru-RU" w:bidi="ru-RU"/>
        </w:rPr>
        <w:t xml:space="preserve"> противопоказан у пациентов с сахарным диабетом 1 типа или для лечения диабетического кетоацидоза.</w:t>
      </w:r>
    </w:p>
    <w:p w14:paraId="3B0F97EE" w14:textId="77777777" w:rsidR="004B1452" w:rsidRDefault="004B1452" w:rsidP="004B1452">
      <w:pPr>
        <w:rPr>
          <w:lang w:eastAsia="ru-RU" w:bidi="ru-RU"/>
        </w:rPr>
      </w:pPr>
      <w:r w:rsidRPr="00A15608">
        <w:rPr>
          <w:b/>
          <w:bCs/>
          <w:lang w:eastAsia="ru-RU" w:bidi="ru-RU"/>
        </w:rPr>
        <w:t>Гипогликеми</w:t>
      </w:r>
      <w:r>
        <w:rPr>
          <w:lang w:eastAsia="ru-RU" w:bidi="ru-RU"/>
        </w:rPr>
        <w:t>я</w:t>
      </w:r>
    </w:p>
    <w:p w14:paraId="1D35CE25" w14:textId="77777777" w:rsidR="009F552F" w:rsidRDefault="009F552F" w:rsidP="004B1452">
      <w:pPr>
        <w:ind w:firstLine="851"/>
        <w:rPr>
          <w:lang w:eastAsia="ru-RU" w:bidi="ru-RU"/>
        </w:rPr>
      </w:pPr>
    </w:p>
    <w:p w14:paraId="604469F1" w14:textId="37C860C9" w:rsidR="004B1452" w:rsidRDefault="004B1452" w:rsidP="009F552F">
      <w:pPr>
        <w:ind w:firstLine="709"/>
        <w:rPr>
          <w:lang w:eastAsia="ru-RU" w:bidi="ru-RU"/>
        </w:rPr>
      </w:pPr>
      <w:r>
        <w:rPr>
          <w:lang w:eastAsia="ru-RU" w:bidi="ru-RU"/>
        </w:rPr>
        <w:t>Частота развития гипогликемии в случае применения линаглиптина в виде монотерапии была сопоставима с плацебо.</w:t>
      </w:r>
    </w:p>
    <w:p w14:paraId="3BA12349" w14:textId="77777777" w:rsidR="004B1452" w:rsidRDefault="004B1452" w:rsidP="005917D6">
      <w:pPr>
        <w:ind w:firstLine="709"/>
        <w:rPr>
          <w:lang w:eastAsia="ru-RU" w:bidi="ru-RU"/>
        </w:rPr>
      </w:pPr>
      <w:r>
        <w:rPr>
          <w:lang w:eastAsia="ru-RU" w:bidi="ru-RU"/>
        </w:rPr>
        <w:t>В клинических исследованиях сообщалось, что частота развития гипогликемии в случае применения линаглиптина в комбинации с препаратами, которые, как считается, не вызывают гипогликемию (метформин, производные тиазолидиндиона), была сходной с соответствующим эффектом плацебо.</w:t>
      </w:r>
    </w:p>
    <w:p w14:paraId="2FD36E1A" w14:textId="06CF1F3E" w:rsidR="004B1452" w:rsidRDefault="004B1452" w:rsidP="005917D6">
      <w:pPr>
        <w:ind w:firstLine="709"/>
        <w:rPr>
          <w:lang w:eastAsia="ru-RU" w:bidi="ru-RU"/>
        </w:rPr>
      </w:pPr>
      <w:r w:rsidRPr="00A15608">
        <w:rPr>
          <w:lang w:eastAsia="ru-RU" w:bidi="ru-RU"/>
        </w:rPr>
        <w:t>Производные сульфонилмочевины и инсулин, как известно, вызывают гипогликемию. Поэтому в случае применения линаглиптина в комбинации с производным сульфонилмочевины и/или инсулином следует соблюдать осторожность. При необходимости возможно снижение дозы производного сульфонилмочевины или инсулина.</w:t>
      </w:r>
    </w:p>
    <w:p w14:paraId="52EE2FC4" w14:textId="77777777" w:rsidR="005917D6" w:rsidRDefault="005917D6" w:rsidP="005917D6">
      <w:pPr>
        <w:ind w:firstLine="709"/>
        <w:rPr>
          <w:lang w:eastAsia="ru-RU" w:bidi="ru-RU"/>
        </w:rPr>
      </w:pPr>
    </w:p>
    <w:p w14:paraId="0061B4C2" w14:textId="77777777" w:rsidR="007F5E52" w:rsidRDefault="007F5E52" w:rsidP="005917D6">
      <w:pPr>
        <w:rPr>
          <w:b/>
          <w:bCs/>
          <w:lang w:eastAsia="ru-RU" w:bidi="ru-RU"/>
        </w:rPr>
        <w:sectPr w:rsidR="007F5E52" w:rsidSect="00AB01E2">
          <w:footnotePr>
            <w:pos w:val="beneathText"/>
          </w:footnotePr>
          <w:pgSz w:w="11906" w:h="16838"/>
          <w:pgMar w:top="1134" w:right="849" w:bottom="1134" w:left="1701" w:header="708" w:footer="709" w:gutter="0"/>
          <w:cols w:space="708"/>
          <w:docGrid w:linePitch="360"/>
        </w:sectPr>
      </w:pPr>
    </w:p>
    <w:p w14:paraId="5D33B954" w14:textId="44335571" w:rsidR="004B1452" w:rsidRPr="00FD1266" w:rsidRDefault="004B1452" w:rsidP="005917D6">
      <w:pPr>
        <w:rPr>
          <w:b/>
          <w:bCs/>
          <w:lang w:eastAsia="ru-RU" w:bidi="ru-RU"/>
        </w:rPr>
      </w:pPr>
      <w:r w:rsidRPr="00FD1266">
        <w:rPr>
          <w:b/>
          <w:bCs/>
          <w:lang w:eastAsia="ru-RU" w:bidi="ru-RU"/>
        </w:rPr>
        <w:lastRenderedPageBreak/>
        <w:t>Нарушение функции почек</w:t>
      </w:r>
    </w:p>
    <w:p w14:paraId="233502CD" w14:textId="77777777" w:rsidR="005917D6" w:rsidRDefault="005917D6" w:rsidP="005917D6">
      <w:pPr>
        <w:ind w:firstLine="709"/>
        <w:rPr>
          <w:lang w:eastAsia="ru-RU" w:bidi="ru-RU"/>
        </w:rPr>
      </w:pPr>
    </w:p>
    <w:p w14:paraId="2459BC36" w14:textId="026CCE5A" w:rsidR="004B1452" w:rsidRDefault="004B1452" w:rsidP="005917D6">
      <w:pPr>
        <w:ind w:firstLine="709"/>
        <w:rPr>
          <w:lang w:eastAsia="ru-RU" w:bidi="ru-RU"/>
        </w:rPr>
      </w:pPr>
      <w:r>
        <w:rPr>
          <w:lang w:eastAsia="ru-RU" w:bidi="ru-RU"/>
        </w:rPr>
        <w:t xml:space="preserve">Линаглиптин в комбинированной терапии с другими пероральными гипогликемическими препаратами применялся у пациентов с почечной недостаточностью тяжелой степени. Линаглиптин обеспечивал значительное снижение концентрации НЬА1с и концентрации </w:t>
      </w:r>
      <w:r w:rsidRPr="003E70CC">
        <w:rPr>
          <w:lang w:eastAsia="ru-RU" w:bidi="ru-RU"/>
        </w:rPr>
        <w:t>глюкозы плазмы натощак</w:t>
      </w:r>
      <w:r>
        <w:rPr>
          <w:lang w:eastAsia="ru-RU" w:bidi="ru-RU"/>
        </w:rPr>
        <w:t>.</w:t>
      </w:r>
    </w:p>
    <w:p w14:paraId="21961E4A" w14:textId="353E5487" w:rsidR="004B1452" w:rsidRDefault="004B1452" w:rsidP="005917D6">
      <w:pPr>
        <w:ind w:firstLine="709"/>
        <w:rPr>
          <w:lang w:eastAsia="ru-RU" w:bidi="ru-RU"/>
        </w:rPr>
      </w:pPr>
      <w:r>
        <w:rPr>
          <w:lang w:eastAsia="ru-RU" w:bidi="ru-RU"/>
        </w:rPr>
        <w:t>Коррекции дозы при применении у пациентов с нарушениями функции почек, печени и у пожилых пациентов не требуется.</w:t>
      </w:r>
    </w:p>
    <w:p w14:paraId="46FF39AC" w14:textId="77777777" w:rsidR="00B467D0" w:rsidRDefault="00B467D0" w:rsidP="004B1452">
      <w:pPr>
        <w:ind w:firstLine="851"/>
        <w:rPr>
          <w:lang w:eastAsia="ru-RU" w:bidi="ru-RU"/>
        </w:rPr>
      </w:pPr>
    </w:p>
    <w:p w14:paraId="1714B8FA" w14:textId="77777777" w:rsidR="004B1452" w:rsidRPr="00112D2B" w:rsidRDefault="004B1452" w:rsidP="005917D6">
      <w:pPr>
        <w:rPr>
          <w:b/>
          <w:bCs/>
          <w:lang w:eastAsia="ru-RU" w:bidi="ru-RU"/>
        </w:rPr>
      </w:pPr>
      <w:r w:rsidRPr="00112D2B">
        <w:rPr>
          <w:b/>
          <w:bCs/>
          <w:lang w:eastAsia="ru-RU" w:bidi="ru-RU"/>
        </w:rPr>
        <w:t>Применение линаглиптина у пациентов старше 70 лет</w:t>
      </w:r>
    </w:p>
    <w:p w14:paraId="679D2DE8" w14:textId="77777777" w:rsidR="005917D6" w:rsidRDefault="005917D6" w:rsidP="004B1452">
      <w:pPr>
        <w:ind w:firstLine="851"/>
        <w:rPr>
          <w:lang w:eastAsia="ru-RU" w:bidi="ru-RU"/>
        </w:rPr>
      </w:pPr>
    </w:p>
    <w:p w14:paraId="11091C39" w14:textId="3EDAB6A2" w:rsidR="004B1452" w:rsidRDefault="004B1452" w:rsidP="00007BA5">
      <w:pPr>
        <w:ind w:firstLine="709"/>
        <w:rPr>
          <w:lang w:eastAsia="ru-RU" w:bidi="ru-RU"/>
        </w:rPr>
      </w:pPr>
      <w:r>
        <w:rPr>
          <w:lang w:eastAsia="ru-RU" w:bidi="ru-RU"/>
        </w:rPr>
        <w:t xml:space="preserve">Применение линаглиптина приводило к значимому снижению НЬА1с (на 0,64 % по сравнению с плацебо; исходное значение НЬА1с составляло около 7,8 %). Применение линаглиптина также приводило к существенному уменьшению концентрации </w:t>
      </w:r>
      <w:r w:rsidRPr="003E70CC">
        <w:rPr>
          <w:lang w:eastAsia="ru-RU" w:bidi="ru-RU"/>
        </w:rPr>
        <w:t>глюкозы плазмы натощак</w:t>
      </w:r>
      <w:r>
        <w:rPr>
          <w:lang w:eastAsia="ru-RU" w:bidi="ru-RU"/>
        </w:rPr>
        <w:t>. Однако, клинический опыт у пациентов старше 80 лет ограничен, поэтому лечение таких групп пациентов необходимо проводить с осторожностью.</w:t>
      </w:r>
    </w:p>
    <w:p w14:paraId="6723A388" w14:textId="77777777" w:rsidR="005917D6" w:rsidRDefault="005917D6" w:rsidP="005917D6">
      <w:pPr>
        <w:rPr>
          <w:b/>
          <w:bCs/>
          <w:lang w:eastAsia="ru-RU" w:bidi="ru-RU"/>
        </w:rPr>
      </w:pPr>
    </w:p>
    <w:p w14:paraId="258C8289" w14:textId="12DDEEED" w:rsidR="004B1452" w:rsidRPr="009C77C9" w:rsidRDefault="004B1452" w:rsidP="005917D6">
      <w:pPr>
        <w:rPr>
          <w:b/>
          <w:bCs/>
          <w:lang w:eastAsia="ru-RU" w:bidi="ru-RU"/>
        </w:rPr>
      </w:pPr>
      <w:r w:rsidRPr="009C77C9">
        <w:rPr>
          <w:b/>
          <w:bCs/>
          <w:lang w:eastAsia="ru-RU" w:bidi="ru-RU"/>
        </w:rPr>
        <w:t>Кардиоваскулярный риск</w:t>
      </w:r>
    </w:p>
    <w:p w14:paraId="3E84EDF8" w14:textId="77777777" w:rsidR="005917D6" w:rsidRDefault="005917D6" w:rsidP="004B1452">
      <w:pPr>
        <w:ind w:firstLine="851"/>
        <w:rPr>
          <w:lang w:eastAsia="ru-RU" w:bidi="ru-RU"/>
        </w:rPr>
      </w:pPr>
    </w:p>
    <w:p w14:paraId="1A7894B8" w14:textId="633879DF" w:rsidR="004B1452" w:rsidRDefault="004B1452" w:rsidP="005617CE">
      <w:pPr>
        <w:ind w:firstLine="709"/>
        <w:rPr>
          <w:lang w:eastAsia="ru-RU" w:bidi="ru-RU"/>
        </w:rPr>
      </w:pPr>
      <w:r>
        <w:rPr>
          <w:lang w:eastAsia="ru-RU" w:bidi="ru-RU"/>
        </w:rPr>
        <w:t xml:space="preserve">Лечение линаглиптином не приводит к </w:t>
      </w:r>
      <w:r w:rsidR="005617CE">
        <w:rPr>
          <w:lang w:eastAsia="ru-RU" w:bidi="ru-RU"/>
        </w:rPr>
        <w:t>повышению</w:t>
      </w:r>
      <w:r>
        <w:rPr>
          <w:lang w:eastAsia="ru-RU" w:bidi="ru-RU"/>
        </w:rPr>
        <w:t xml:space="preserve"> кардиоваскулярного риска. В исследовании CARMELINA, большом плацебо-контролируемом исследовании сердечно-сосудистых исходов у пациентов с СД 2 и высоким сердечно-сосудистым риском первичная конечная точка (комбинация частоты возникновения или времени, проходившего до первого возникновения кардиоваскулярной смерти, нефатального инфаркта миокарда или нефатального инсульта) достигалась у пациентов, получавших линаглиптин, без повышения риска в сравнении с пациентами, получавшими плацебо (ОР 1 ,02; 95 % ДИ 0,89; 1,17).</w:t>
      </w:r>
    </w:p>
    <w:p w14:paraId="4F719DBB" w14:textId="77777777" w:rsidR="005917D6" w:rsidRDefault="005917D6" w:rsidP="005917D6">
      <w:pPr>
        <w:rPr>
          <w:b/>
          <w:bCs/>
          <w:lang w:eastAsia="ru-RU" w:bidi="ru-RU"/>
        </w:rPr>
      </w:pPr>
    </w:p>
    <w:p w14:paraId="1EEE0D3E" w14:textId="68C101DE" w:rsidR="004B1452" w:rsidRPr="0077528E" w:rsidRDefault="004B1452" w:rsidP="005917D6">
      <w:pPr>
        <w:rPr>
          <w:b/>
          <w:bCs/>
          <w:lang w:eastAsia="ru-RU" w:bidi="ru-RU"/>
        </w:rPr>
      </w:pPr>
      <w:r w:rsidRPr="0077528E">
        <w:rPr>
          <w:b/>
          <w:bCs/>
          <w:lang w:eastAsia="ru-RU" w:bidi="ru-RU"/>
        </w:rPr>
        <w:t>Панкреатит</w:t>
      </w:r>
    </w:p>
    <w:p w14:paraId="4029FF5F" w14:textId="77777777" w:rsidR="005917D6" w:rsidRDefault="005917D6" w:rsidP="004B1452">
      <w:pPr>
        <w:ind w:firstLine="851"/>
        <w:rPr>
          <w:lang w:eastAsia="ru-RU" w:bidi="ru-RU"/>
        </w:rPr>
      </w:pPr>
    </w:p>
    <w:p w14:paraId="2D7ED86B" w14:textId="28D88FEE" w:rsidR="004B1452" w:rsidRDefault="004B1452" w:rsidP="005617CE">
      <w:pPr>
        <w:ind w:firstLine="709"/>
        <w:rPr>
          <w:lang w:eastAsia="ru-RU" w:bidi="ru-RU"/>
        </w:rPr>
      </w:pPr>
      <w:r>
        <w:rPr>
          <w:lang w:eastAsia="ru-RU" w:bidi="ru-RU"/>
        </w:rPr>
        <w:t>У пациентов, принимающих линаглиптин, были зафиксированы случаи острого панкреатита. В случае подозрения на панкреатит прием препарата должен быть прекращен.</w:t>
      </w:r>
    </w:p>
    <w:p w14:paraId="36C46B61" w14:textId="77777777" w:rsidR="007F5E52" w:rsidRDefault="007F5E52" w:rsidP="005917D6">
      <w:pPr>
        <w:rPr>
          <w:b/>
          <w:bCs/>
          <w:lang w:eastAsia="ru-RU" w:bidi="ru-RU"/>
        </w:rPr>
      </w:pPr>
    </w:p>
    <w:p w14:paraId="764152FD" w14:textId="34442ECE" w:rsidR="004B1452" w:rsidRPr="0077528E" w:rsidRDefault="004B1452" w:rsidP="005917D6">
      <w:pPr>
        <w:rPr>
          <w:b/>
          <w:bCs/>
          <w:lang w:eastAsia="ru-RU" w:bidi="ru-RU"/>
        </w:rPr>
      </w:pPr>
      <w:r w:rsidRPr="0077528E">
        <w:rPr>
          <w:b/>
          <w:bCs/>
          <w:lang w:eastAsia="ru-RU" w:bidi="ru-RU"/>
        </w:rPr>
        <w:t>Буллезный пемфигоид</w:t>
      </w:r>
    </w:p>
    <w:p w14:paraId="33E4F018" w14:textId="77777777" w:rsidR="005917D6" w:rsidRDefault="005917D6" w:rsidP="004B1452">
      <w:pPr>
        <w:ind w:firstLine="851"/>
        <w:rPr>
          <w:lang w:eastAsia="ru-RU" w:bidi="ru-RU"/>
        </w:rPr>
      </w:pPr>
    </w:p>
    <w:p w14:paraId="4319B71C" w14:textId="0C304C1F" w:rsidR="004B1452" w:rsidRDefault="004B1452" w:rsidP="005617CE">
      <w:pPr>
        <w:ind w:firstLine="709"/>
        <w:rPr>
          <w:lang w:eastAsia="ru-RU" w:bidi="ru-RU"/>
        </w:rPr>
      </w:pPr>
      <w:r>
        <w:rPr>
          <w:lang w:eastAsia="ru-RU" w:bidi="ru-RU"/>
        </w:rPr>
        <w:t>У пациентов, принимающих линаглиптин, были зафиксированы случаи буллезного пемфигоида. В случае подозрения на буллезный пемфигоид прием препарата должен быть прекращен.</w:t>
      </w:r>
    </w:p>
    <w:p w14:paraId="4C92891C" w14:textId="77777777" w:rsidR="004B1452" w:rsidRDefault="004B1452" w:rsidP="004B1452">
      <w:pPr>
        <w:pStyle w:val="3"/>
        <w:spacing w:after="240"/>
        <w:rPr>
          <w:rFonts w:ascii="Times New Roman" w:hAnsi="Times New Roman"/>
          <w:color w:val="000000" w:themeColor="text1"/>
        </w:rPr>
      </w:pPr>
      <w:bookmarkStart w:id="299" w:name="_Toc81410160"/>
      <w:bookmarkStart w:id="300" w:name="_Toc139362029"/>
      <w:r>
        <w:rPr>
          <w:rFonts w:ascii="Times New Roman" w:hAnsi="Times New Roman"/>
          <w:color w:val="000000" w:themeColor="text1"/>
        </w:rPr>
        <w:t>5.3.9 Влияние на способность управлять транспортными средствами и механизмами</w:t>
      </w:r>
      <w:bookmarkEnd w:id="299"/>
      <w:bookmarkEnd w:id="300"/>
    </w:p>
    <w:p w14:paraId="7C9707CE" w14:textId="3AF8D9EB" w:rsidR="007F5E52" w:rsidRPr="006A69BC" w:rsidRDefault="004B1452" w:rsidP="007F5E52">
      <w:pPr>
        <w:ind w:firstLine="709"/>
      </w:pPr>
      <w:r w:rsidRPr="006A69BC">
        <w:t>Исследований влияния препарата на способность управлять транспортными средствами и механизмами не проводилось. Однако в связи с возможным развитием гипогликемии (которая может проявляться в виде головной боли, сонливости, слабости, головокружения, спутанности сознания, раздражительности, голода, учащенного сердцебиения, потливости, панических атак), особенно при приеме линаглиптина в комбинации с производным сульфонилмочевины и/или инсулином, необходимо соблюдать осторожность при управлении транспо</w:t>
      </w:r>
      <w:r w:rsidR="007F5E52">
        <w:t>ртными средствами и механизмами/</w:t>
      </w:r>
    </w:p>
    <w:p w14:paraId="4E627829" w14:textId="3B49094F" w:rsidR="004B1452" w:rsidRDefault="007F5E52" w:rsidP="007F5E52">
      <w:pPr>
        <w:pStyle w:val="12"/>
        <w:spacing w:line="240" w:lineRule="auto"/>
        <w:rPr>
          <w:rStyle w:val="src"/>
          <w:rFonts w:cs="Times New Roman"/>
          <w:color w:val="000000" w:themeColor="text1"/>
          <w:szCs w:val="24"/>
        </w:rPr>
      </w:pPr>
      <w:bookmarkStart w:id="301" w:name="_Toc139362030"/>
      <w:r w:rsidRPr="007F5E52">
        <w:rPr>
          <w:rStyle w:val="src"/>
          <w:rFonts w:cs="Times New Roman"/>
          <w:color w:val="000000" w:themeColor="text1"/>
          <w:szCs w:val="24"/>
        </w:rPr>
        <w:lastRenderedPageBreak/>
        <w:t xml:space="preserve">6. </w:t>
      </w:r>
      <w:r w:rsidR="004B1452" w:rsidRPr="005E6358">
        <w:rPr>
          <w:rStyle w:val="src"/>
          <w:rFonts w:cs="Times New Roman"/>
          <w:color w:val="000000" w:themeColor="text1"/>
          <w:szCs w:val="24"/>
        </w:rPr>
        <w:t>ЗАКЛЮЧЕНИЕ</w:t>
      </w:r>
      <w:bookmarkEnd w:id="301"/>
    </w:p>
    <w:p w14:paraId="0BDBD73E" w14:textId="7CEBA16F" w:rsidR="004B1452" w:rsidRDefault="004B1452" w:rsidP="00D26A3A">
      <w:pPr>
        <w:ind w:firstLine="709"/>
      </w:pPr>
      <w:bookmarkStart w:id="302" w:name="_Hlk121103738"/>
      <w:r>
        <w:t>СД 2</w:t>
      </w:r>
      <w:r w:rsidR="00D26A3A">
        <w:t xml:space="preserve"> </w:t>
      </w:r>
      <w:r>
        <w:t>— нарушение углеводного обмена, вызванное преимущественной инсулинорезистентностью и относительной инсулиновой недостаточностью или преимущественным нарушением секреции инсулина с инсулинорезистентностью или без нее. СД 2 чаще развивается у лиц старше 40 лет с избыточной массой тела или ожирением (особенно абдоминальным его типом), но может развиваться и в более молодом возрасте, и у лиц с нормальной массой тела.</w:t>
      </w:r>
    </w:p>
    <w:bookmarkEnd w:id="302"/>
    <w:p w14:paraId="3ED806DC" w14:textId="3817005D" w:rsidR="004B1452" w:rsidRDefault="004B1452" w:rsidP="00D26A3A">
      <w:pPr>
        <w:ind w:firstLine="709"/>
        <w:rPr>
          <w:noProof/>
        </w:rPr>
      </w:pPr>
      <w:r w:rsidRPr="0046364A">
        <w:rPr>
          <w:noProof/>
        </w:rPr>
        <w:t xml:space="preserve">Линаглиптин является перорально активным низкомолекулярным ингибитором </w:t>
      </w:r>
      <w:r>
        <w:rPr>
          <w:noProof/>
        </w:rPr>
        <w:t>ДПП-4</w:t>
      </w:r>
      <w:r w:rsidRPr="0046364A">
        <w:rPr>
          <w:noProof/>
        </w:rPr>
        <w:t xml:space="preserve">, который был впервые </w:t>
      </w:r>
      <w:r>
        <w:rPr>
          <w:noProof/>
        </w:rPr>
        <w:t>зарегистрирован</w:t>
      </w:r>
      <w:r w:rsidRPr="0046364A">
        <w:rPr>
          <w:noProof/>
        </w:rPr>
        <w:t xml:space="preserve"> в США, Европе, Японии и других странах в 2011 году для улучшения гликемического контроля у взрослых с сахарным диабетом 2 типа.</w:t>
      </w:r>
      <w:r>
        <w:rPr>
          <w:noProof/>
        </w:rPr>
        <w:t xml:space="preserve"> В РФ препарат зарегистрирован </w:t>
      </w:r>
      <w:r w:rsidR="00D9584E">
        <w:rPr>
          <w:noProof/>
        </w:rPr>
        <w:t>в</w:t>
      </w:r>
      <w:r>
        <w:rPr>
          <w:noProof/>
        </w:rPr>
        <w:t xml:space="preserve"> 2012 году.</w:t>
      </w:r>
      <w:r w:rsidRPr="0046364A">
        <w:rPr>
          <w:noProof/>
        </w:rPr>
        <w:t xml:space="preserve"> Линаглиптин является первым и пока единственным ингибитором ДПП-4 и пероральным сахароснижающим препаратом в целом, одобренным в виде однократной дозы для приема один раз в сутки (5 мг). По сравнению с другими доступными ингибиторами ДПП-4, линаглиптин имеет уникальный фармакокинетический/фармакодинамический профиль, который характеризуется нелинейной фармакокинетикой, опосредованной мишенью, зависимым от концентрации связыванием с белками, минимальным почечным клиренсом и отсутствием необходимости в коррекции дозы </w:t>
      </w:r>
      <w:r>
        <w:rPr>
          <w:noProof/>
        </w:rPr>
        <w:t>из-за</w:t>
      </w:r>
      <w:r w:rsidRPr="0046364A">
        <w:rPr>
          <w:noProof/>
        </w:rPr>
        <w:t xml:space="preserve"> какого-либо внутреннего или внешнего фактора</w:t>
      </w:r>
      <w:r>
        <w:rPr>
          <w:noProof/>
        </w:rPr>
        <w:t xml:space="preserve">. </w:t>
      </w:r>
    </w:p>
    <w:p w14:paraId="008BEEFB" w14:textId="11FD5291" w:rsidR="004B1452" w:rsidRDefault="004B1452" w:rsidP="00D26A3A">
      <w:pPr>
        <w:ind w:firstLine="709"/>
        <w:rPr>
          <w:noProof/>
        </w:rPr>
      </w:pPr>
      <w:r>
        <w:rPr>
          <w:noProof/>
        </w:rPr>
        <w:t>Клинические рекомендации по лечению СД 2 типа в последней редакции рекомендуют раннее назначение ДПП-4, в том числе линаглиптин</w:t>
      </w:r>
      <w:r w:rsidR="00714B37">
        <w:rPr>
          <w:noProof/>
        </w:rPr>
        <w:t>а</w:t>
      </w:r>
      <w:r>
        <w:rPr>
          <w:noProof/>
        </w:rPr>
        <w:t xml:space="preserve"> у пациентов в дебюте СД 2 типа без АССЗ, ХСН и ХБП в сос</w:t>
      </w:r>
      <w:r w:rsidR="000B34F7">
        <w:rPr>
          <w:noProof/>
        </w:rPr>
        <w:t>т</w:t>
      </w:r>
      <w:r>
        <w:rPr>
          <w:noProof/>
        </w:rPr>
        <w:t>аве комбинированной терапии. Комбинированная терапия  может иметь преимущества в отношении долгосрочного удержания гликемического контроля даже при незначительном превышении целевого уровня HbA1c.</w:t>
      </w:r>
    </w:p>
    <w:p w14:paraId="47AC707E" w14:textId="4125F542" w:rsidR="004B1452" w:rsidRDefault="004B1452" w:rsidP="00D26A3A">
      <w:pPr>
        <w:ind w:firstLine="709"/>
        <w:rPr>
          <w:bCs/>
        </w:rPr>
      </w:pPr>
      <w:r w:rsidRPr="00AF7CFB">
        <w:rPr>
          <w:color w:val="000000" w:themeColor="text1"/>
        </w:rPr>
        <w:t xml:space="preserve">Для изучения </w:t>
      </w:r>
      <w:r w:rsidRPr="009C3181">
        <w:rPr>
          <w:bCs/>
        </w:rPr>
        <w:t>линаглиптин</w:t>
      </w:r>
      <w:r>
        <w:rPr>
          <w:color w:val="000000" w:themeColor="text1"/>
        </w:rPr>
        <w:t>а</w:t>
      </w:r>
      <w:r w:rsidRPr="009C3181">
        <w:rPr>
          <w:color w:val="000000" w:themeColor="text1"/>
        </w:rPr>
        <w:t xml:space="preserve"> </w:t>
      </w:r>
      <w:r w:rsidRPr="00AF7CFB">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AF7CFB">
        <w:rPr>
          <w:i/>
          <w:iCs/>
          <w:color w:val="000000" w:themeColor="text1"/>
        </w:rPr>
        <w:t>in vitro</w:t>
      </w:r>
      <w:r w:rsidRPr="00AF7CFB">
        <w:rPr>
          <w:color w:val="000000" w:themeColor="text1"/>
        </w:rPr>
        <w:t xml:space="preserve">, так и </w:t>
      </w:r>
      <w:r w:rsidRPr="00AF7CFB">
        <w:rPr>
          <w:i/>
          <w:iCs/>
          <w:color w:val="000000" w:themeColor="text1"/>
        </w:rPr>
        <w:t>in vivo</w:t>
      </w:r>
      <w:r w:rsidRPr="00AF7CFB">
        <w:rPr>
          <w:color w:val="000000" w:themeColor="text1"/>
        </w:rPr>
        <w:t xml:space="preserve">, в результате которых были хорошо изучены фармакодинамические, фармакокинетические и токсикологические свойства </w:t>
      </w:r>
      <w:r w:rsidRPr="009C3181">
        <w:rPr>
          <w:bCs/>
        </w:rPr>
        <w:t>линаглиптина.</w:t>
      </w:r>
    </w:p>
    <w:p w14:paraId="683EB466" w14:textId="3BEBF09A" w:rsidR="008200B5" w:rsidRDefault="008200B5" w:rsidP="00D26A3A">
      <w:pPr>
        <w:ind w:firstLine="709"/>
      </w:pPr>
      <w:r>
        <w:t>При</w:t>
      </w:r>
      <w:r w:rsidRPr="008200B5">
        <w:t xml:space="preserve"> доклиническом изучении препарата линаглиптин было выяснено, что линаглиптин в целом хорошо переноси</w:t>
      </w:r>
      <w:r w:rsidR="004A71E6">
        <w:t>т</w:t>
      </w:r>
      <w:r w:rsidRPr="008200B5">
        <w:t>ся здоровыми животными и животными с диабетом. Необратимая и/или неконтролируемая токсичность возникала только при очень высоких дозах, достигавших 50 кратного увеличения максимально рекомендованной дозы человека, линаглиптин не обладает генотоксическими и канцерогенными свойствами.</w:t>
      </w:r>
    </w:p>
    <w:p w14:paraId="73D55848" w14:textId="46E1FD96" w:rsidR="008200B5" w:rsidRDefault="008200B5" w:rsidP="00D26A3A">
      <w:pPr>
        <w:ind w:firstLine="709"/>
      </w:pPr>
      <w:r>
        <w:t xml:space="preserve">Программа 3 фазы клинических исследований линаглиптина </w:t>
      </w:r>
      <w:r w:rsidR="00C14D0B">
        <w:t>включала исследование</w:t>
      </w:r>
      <w:r>
        <w:t xml:space="preserve"> эффективност</w:t>
      </w:r>
      <w:r w:rsidR="00C14D0B">
        <w:t>и</w:t>
      </w:r>
      <w:r>
        <w:t xml:space="preserve"> линаглиптина в монотерапии и в комбинации с 3 важными </w:t>
      </w:r>
      <w:r w:rsidRPr="005B2F71">
        <w:rPr>
          <w:rFonts w:eastAsia="TimesNewRomanPSMT"/>
          <w:lang w:eastAsia="en-US"/>
        </w:rPr>
        <w:t>ПССП</w:t>
      </w:r>
      <w:r>
        <w:rPr>
          <w:rFonts w:eastAsia="TimesNewRomanPSMT"/>
          <w:lang w:eastAsia="en-US"/>
        </w:rPr>
        <w:t>:</w:t>
      </w:r>
      <w:r>
        <w:t xml:space="preserve"> метформином, сульфонилмочевиной и пиоглитазоном. Предполагалось, что эти комбинации будут клинически эффективны, учитывая потенциально взаимодополняющие механизмы действия – добавление препаратов, направленных на инсулинорезистентность и/или чрезмерное печеночное производство глюкозы (агонист PPARγ или метформин) с линаглиптином, препаратом, действие которого направлено на повышение секреции инсулина и снижение концентрации глюкагона. </w:t>
      </w:r>
    </w:p>
    <w:p w14:paraId="5AA8B971" w14:textId="77777777" w:rsidR="008200B5" w:rsidRDefault="008200B5" w:rsidP="00D26A3A">
      <w:pPr>
        <w:ind w:firstLine="709"/>
      </w:pPr>
      <w:r>
        <w:t xml:space="preserve">Эффективность и безопасность монотерапии линаглиптином была оценена в двойном слепом плацебо-контролируемом исследовании продолжительностью 24 недели. </w:t>
      </w:r>
    </w:p>
    <w:p w14:paraId="15DF047D" w14:textId="6C3D51D7" w:rsidR="008200B5" w:rsidRPr="00B4057F" w:rsidRDefault="008200B5" w:rsidP="00D26A3A">
      <w:pPr>
        <w:ind w:firstLine="709"/>
        <w:rPr>
          <w:color w:val="FF0000"/>
        </w:rPr>
      </w:pPr>
      <w:r>
        <w:t>Было показано, что л</w:t>
      </w:r>
      <w:r w:rsidRPr="0060778A">
        <w:t xml:space="preserve">ечение линаглиптином привело </w:t>
      </w:r>
      <w:r>
        <w:t>к снижению</w:t>
      </w:r>
      <w:r w:rsidRPr="0060778A">
        <w:t xml:space="preserve"> изменению HbA1c по сравнению с исходным уровнем на -0,69% (p </w:t>
      </w:r>
      <w:r w:rsidR="004A71E6" w:rsidRPr="0060778A">
        <w:t>&lt;0</w:t>
      </w:r>
      <w:r w:rsidRPr="0060778A">
        <w:t xml:space="preserve">,0001) через 24 недели. У пациентов с исходным уровнем HbA1c ≥ 9,0 % снижение HbA1c составило 1,01 % (p </w:t>
      </w:r>
      <w:r w:rsidR="004A71E6" w:rsidRPr="0060778A">
        <w:t>&lt;0</w:t>
      </w:r>
      <w:r w:rsidRPr="0060778A">
        <w:t>,0001)</w:t>
      </w:r>
      <w:r>
        <w:t xml:space="preserve">. </w:t>
      </w:r>
    </w:p>
    <w:p w14:paraId="6CAB9F44" w14:textId="45FF14FA" w:rsidR="008200B5" w:rsidRDefault="00AA0900" w:rsidP="00AA0900">
      <w:pPr>
        <w:ind w:firstLine="709"/>
      </w:pPr>
      <w:r>
        <w:t>П</w:t>
      </w:r>
      <w:r w:rsidR="008200B5">
        <w:t>роведено международное рандомизированное двойное слепое плацебо-контролируемое исследование в параллельных группах изучени</w:t>
      </w:r>
      <w:r>
        <w:t>я</w:t>
      </w:r>
      <w:r w:rsidR="008200B5">
        <w:t xml:space="preserve"> эффективности </w:t>
      </w:r>
      <w:r>
        <w:lastRenderedPageBreak/>
        <w:t xml:space="preserve">комбинированной терапии </w:t>
      </w:r>
      <w:r w:rsidR="008200B5" w:rsidRPr="0060778A">
        <w:t>линаглиптин</w:t>
      </w:r>
      <w:r>
        <w:t>ом</w:t>
      </w:r>
      <w:r w:rsidR="008200B5" w:rsidRPr="0060778A">
        <w:t xml:space="preserve"> </w:t>
      </w:r>
      <w:r>
        <w:t>с пиоглитазоном. Установлено</w:t>
      </w:r>
      <w:r w:rsidR="008200B5">
        <w:t xml:space="preserve">, что разница в средних значениях HbA1c в группе линаглиптина по сравнению с плацебо составила -0,51% (95% доверительный </w:t>
      </w:r>
      <w:r>
        <w:t>интервал [ДИ] -0,71, -0,30; p &lt;</w:t>
      </w:r>
      <w:r w:rsidR="008200B5">
        <w:t xml:space="preserve">0,0001). Снижение уровня ГПН было значительно больше для группы линаглиптин плюс пиоглитазон, чем для плацебо плюс пиоглитазон; -1,8 и -1,0 ммоль/л соответственно (95% ДИ -1,2, -0,4; p </w:t>
      </w:r>
      <w:r w:rsidR="001D6ADC">
        <w:t>&lt;0</w:t>
      </w:r>
      <w:r w:rsidR="008200B5">
        <w:t xml:space="preserve">,0001). </w:t>
      </w:r>
    </w:p>
    <w:p w14:paraId="09525A50" w14:textId="6575C55A" w:rsidR="008200B5" w:rsidRPr="00F77D2A" w:rsidRDefault="001A66A6" w:rsidP="001A66A6">
      <w:pPr>
        <w:ind w:firstLine="709"/>
      </w:pPr>
      <w:r>
        <w:t>П</w:t>
      </w:r>
      <w:r w:rsidR="008200B5" w:rsidRPr="0016106D">
        <w:t>роведено международное рандомизированное двойное слепое плацебо-контролируемое исследование в параллельных группах</w:t>
      </w:r>
      <w:r>
        <w:t xml:space="preserve"> изучения</w:t>
      </w:r>
      <w:r w:rsidR="008200B5" w:rsidRPr="0016106D">
        <w:t xml:space="preserve"> эффективности комбинированной </w:t>
      </w:r>
      <w:r w:rsidRPr="0016106D">
        <w:t>терапии линаглиптина</w:t>
      </w:r>
      <w:r w:rsidR="008200B5" w:rsidRPr="0016106D">
        <w:t xml:space="preserve"> с метформином</w:t>
      </w:r>
      <w:r w:rsidR="008200B5">
        <w:t xml:space="preserve">. </w:t>
      </w:r>
      <w:r>
        <w:t>Л</w:t>
      </w:r>
      <w:r w:rsidR="008200B5">
        <w:t xml:space="preserve">инаглиптин показал значительное снижение по сравнению с плацебо средних значений по сравнению с исходным уровнем </w:t>
      </w:r>
      <w:r>
        <w:t xml:space="preserve">для следующих показателей: </w:t>
      </w:r>
      <w:r w:rsidR="008200B5">
        <w:t>HbA1c (-0,49 против 0,15%), ГПН (-0,59 против 0,58 ммоль/л) и у</w:t>
      </w:r>
      <w:r w:rsidR="008200B5" w:rsidRPr="00B41EC9">
        <w:t>ровн</w:t>
      </w:r>
      <w:r w:rsidR="008200B5">
        <w:t>я</w:t>
      </w:r>
      <w:r w:rsidR="008200B5" w:rsidRPr="00B41EC9">
        <w:t xml:space="preserve"> глюкоз</w:t>
      </w:r>
      <w:r w:rsidR="008200B5">
        <w:t>ы</w:t>
      </w:r>
      <w:r w:rsidR="008200B5" w:rsidRPr="00B41EC9">
        <w:t xml:space="preserve"> в </w:t>
      </w:r>
      <w:r w:rsidR="004C160C" w:rsidRPr="00B41EC9">
        <w:t>крови через</w:t>
      </w:r>
      <w:r w:rsidR="008200B5" w:rsidRPr="00B41EC9">
        <w:t xml:space="preserve"> 2 часа после приема пищи</w:t>
      </w:r>
      <w:r w:rsidR="008200B5">
        <w:t xml:space="preserve"> (-2,7 против 0,7 ммоль/л), р </w:t>
      </w:r>
      <w:r w:rsidR="004C160C">
        <w:t>&lt;0</w:t>
      </w:r>
      <w:r w:rsidR="008200B5">
        <w:t>,0001. Добавление линаглиптина в дозе 5 мг 1 раз в сутки у пациентов с СД 2, недостаточно контролируемым метформином, приводило к значительному и клинически значимому улучшение гликемического контроля без увеличения веса или повышенного риска гипогликемии.</w:t>
      </w:r>
    </w:p>
    <w:p w14:paraId="6379211A" w14:textId="6BC09327" w:rsidR="008200B5" w:rsidRPr="0016106D" w:rsidRDefault="004C160C" w:rsidP="004C160C">
      <w:pPr>
        <w:ind w:firstLine="709"/>
      </w:pPr>
      <w:r>
        <w:t>П</w:t>
      </w:r>
      <w:r w:rsidR="008200B5">
        <w:t xml:space="preserve">роведено </w:t>
      </w:r>
      <w:r w:rsidR="008200B5" w:rsidRPr="006840D6">
        <w:t xml:space="preserve">многоцентровое 24-недельное рандомизированное двойное слепое исследование в параллельных группах с участием 1058 пациентов, сравнивающее </w:t>
      </w:r>
      <w:r w:rsidR="008200B5">
        <w:t xml:space="preserve">лечение </w:t>
      </w:r>
      <w:r w:rsidR="008200B5" w:rsidRPr="006840D6">
        <w:t>линаглиптин</w:t>
      </w:r>
      <w:r w:rsidR="008200B5">
        <w:t>ом</w:t>
      </w:r>
      <w:r w:rsidR="008200B5" w:rsidRPr="006840D6">
        <w:t xml:space="preserve"> (5 мг один раз в </w:t>
      </w:r>
      <w:r w:rsidR="008200B5">
        <w:t>сутки</w:t>
      </w:r>
      <w:r w:rsidR="008200B5" w:rsidRPr="006840D6">
        <w:t xml:space="preserve">) и плацебо при добавлении к </w:t>
      </w:r>
      <w:r w:rsidR="008200B5">
        <w:t xml:space="preserve">комбинации </w:t>
      </w:r>
      <w:r w:rsidR="008200B5" w:rsidRPr="006840D6">
        <w:t xml:space="preserve">метформин плюс сульфонилмочевина. </w:t>
      </w:r>
      <w:r>
        <w:t>На</w:t>
      </w:r>
      <w:r w:rsidR="008200B5">
        <w:t xml:space="preserve"> 24-й неделе среднее изменение HbA(1c) по сравнению с исходным уровнем составило -7 ммоль/моль (-0,62%) [95% ДИ от -8 до -6 </w:t>
      </w:r>
      <w:r>
        <w:t>ммоль/моль (от -0,73 до -0,50%)</w:t>
      </w:r>
      <w:r w:rsidR="008200B5">
        <w:t xml:space="preserve">; р &lt;0,0001]. Больше участников с исходным уровнем HbA(1c) ≥ 53 ммоль/моль (≥ 7,0%) достигли уровня HbA(1c) </w:t>
      </w:r>
      <w:r>
        <w:t>&lt;53</w:t>
      </w:r>
      <w:r w:rsidR="008200B5">
        <w:t xml:space="preserve"> ммоль/моль (&lt;7,0%) при применении линаглиптина по сравнению с плацебо (29,2% против 8,1%, </w:t>
      </w:r>
      <w:r w:rsidR="00D02D6B">
        <w:rPr>
          <w:lang w:val="en-US"/>
        </w:rPr>
        <w:t>p</w:t>
      </w:r>
      <w:r w:rsidR="00D02D6B">
        <w:t xml:space="preserve"> &lt;</w:t>
      </w:r>
      <w:r w:rsidR="008200B5">
        <w:t xml:space="preserve">0,0001). ГПН снижалась при приеме линаглиптина по сравнению с плацебо (-0,7 ммоль/л, 95% ДИ от -1,0 до -0,4; </w:t>
      </w:r>
      <w:r w:rsidR="00D02D6B">
        <w:rPr>
          <w:lang w:val="en-US"/>
        </w:rPr>
        <w:t>p</w:t>
      </w:r>
      <w:r w:rsidR="00D02D6B">
        <w:t xml:space="preserve"> &lt;</w:t>
      </w:r>
      <w:r w:rsidR="008200B5">
        <w:t>0,0001). У пациентов с СД2 добавление линаглиптина к метформину, назначаемому в комбинации с сульфонилмочевиной, значительно улучшало гликемический контроль. Линаглиптин может быть возможным вариантом лечения для лиц с неадекватным гликемическим контролем при применении комбинированной терапии метформином и производным сульфонилмочевины.</w:t>
      </w:r>
    </w:p>
    <w:p w14:paraId="38F7CE58" w14:textId="77777777" w:rsidR="008200B5" w:rsidRDefault="008200B5" w:rsidP="00D26A3A">
      <w:pPr>
        <w:pStyle w:val="OT"/>
        <w:spacing w:after="0"/>
        <w:ind w:firstLine="709"/>
        <w:rPr>
          <w:sz w:val="24"/>
          <w:szCs w:val="24"/>
        </w:rPr>
      </w:pPr>
      <w:r w:rsidRPr="00296518">
        <w:rPr>
          <w:sz w:val="24"/>
          <w:szCs w:val="24"/>
        </w:rPr>
        <w:t>В анализ безопасности включены исследования, которые проводились у пациентов с СД 2</w:t>
      </w:r>
      <w:r>
        <w:rPr>
          <w:sz w:val="24"/>
          <w:szCs w:val="24"/>
        </w:rPr>
        <w:t>. В</w:t>
      </w:r>
      <w:r w:rsidRPr="00C41DF0">
        <w:rPr>
          <w:sz w:val="24"/>
          <w:szCs w:val="24"/>
        </w:rPr>
        <w:t>се исследования у пациентов с сахарным диабетом 2 типа включали в общей сложности 6198 пациентов. Из них 4687</w:t>
      </w:r>
      <w:r>
        <w:rPr>
          <w:sz w:val="24"/>
          <w:szCs w:val="24"/>
        </w:rPr>
        <w:t xml:space="preserve"> </w:t>
      </w:r>
      <w:r w:rsidRPr="00C41DF0">
        <w:rPr>
          <w:sz w:val="24"/>
          <w:szCs w:val="24"/>
        </w:rPr>
        <w:t xml:space="preserve">пациентов получали линаглиптин (в любой дозе), а 4040 пациентов получали линаглиптин в дозе 5 мг </w:t>
      </w:r>
      <w:r>
        <w:rPr>
          <w:sz w:val="24"/>
          <w:szCs w:val="24"/>
        </w:rPr>
        <w:t>один раз в день</w:t>
      </w:r>
      <w:r w:rsidRPr="00C41DF0">
        <w:rPr>
          <w:sz w:val="24"/>
          <w:szCs w:val="24"/>
        </w:rPr>
        <w:t>.</w:t>
      </w:r>
      <w:r>
        <w:rPr>
          <w:sz w:val="24"/>
          <w:szCs w:val="24"/>
        </w:rPr>
        <w:t xml:space="preserve"> </w:t>
      </w:r>
      <w:r w:rsidRPr="00C41DF0">
        <w:rPr>
          <w:sz w:val="24"/>
          <w:szCs w:val="24"/>
        </w:rPr>
        <w:t>Из пациентов, получавших линаглиптин в дозе 5 мг, 3430 пациентов подвергались воздействию в течение 6 месяцев или дольше</w:t>
      </w:r>
      <w:r>
        <w:rPr>
          <w:sz w:val="24"/>
          <w:szCs w:val="24"/>
        </w:rPr>
        <w:t xml:space="preserve">, </w:t>
      </w:r>
      <w:r>
        <w:t xml:space="preserve">2390 </w:t>
      </w:r>
      <w:r w:rsidRPr="00C41DF0">
        <w:rPr>
          <w:sz w:val="24"/>
          <w:szCs w:val="24"/>
        </w:rPr>
        <w:t xml:space="preserve">пациентов в течение 12 месяцев или дольше и 536 пациентов в течение 18 месяцев или дольше. </w:t>
      </w:r>
    </w:p>
    <w:p w14:paraId="6BEA9DA5" w14:textId="77777777" w:rsidR="00D02D6B" w:rsidRDefault="00D02D6B" w:rsidP="00D02D6B">
      <w:pPr>
        <w:pStyle w:val="OT"/>
        <w:spacing w:after="0"/>
        <w:ind w:firstLine="709"/>
        <w:rPr>
          <w:sz w:val="24"/>
          <w:szCs w:val="24"/>
        </w:rPr>
      </w:pPr>
      <w:r w:rsidRPr="00326568">
        <w:rPr>
          <w:sz w:val="24"/>
          <w:szCs w:val="24"/>
        </w:rPr>
        <w:t xml:space="preserve">Общий процент пациентов с нежелательными явлениями был сопоставим между видами лечения (плацебо 53,8% по сравнению с линаглиптином 55,0%). Доля пациентов с нежелательными явлениями легкой (36,8% против 37,6% в группе плацебо и линаглиптина соответственно), средней тяжести (15,6% против 15,6%) или тяжелой (1,4% против 1,8%) интенсивности были одинаковыми. Нежелательные явления, связанные с лекарственным </w:t>
      </w:r>
      <w:r>
        <w:rPr>
          <w:sz w:val="24"/>
          <w:szCs w:val="24"/>
        </w:rPr>
        <w:t>препаратом</w:t>
      </w:r>
      <w:r w:rsidRPr="00326568">
        <w:rPr>
          <w:sz w:val="24"/>
          <w:szCs w:val="24"/>
        </w:rPr>
        <w:t>, были немного более частыми в группе линаглиптина, чем в группе плацебо (10,4%</w:t>
      </w:r>
      <w:r>
        <w:rPr>
          <w:sz w:val="24"/>
          <w:szCs w:val="24"/>
        </w:rPr>
        <w:t xml:space="preserve"> </w:t>
      </w:r>
      <w:r w:rsidRPr="00326568">
        <w:rPr>
          <w:sz w:val="24"/>
          <w:szCs w:val="24"/>
        </w:rPr>
        <w:t>против</w:t>
      </w:r>
      <w:r>
        <w:rPr>
          <w:sz w:val="24"/>
          <w:szCs w:val="24"/>
        </w:rPr>
        <w:t xml:space="preserve"> </w:t>
      </w:r>
      <w:r w:rsidRPr="00326568">
        <w:rPr>
          <w:sz w:val="24"/>
          <w:szCs w:val="24"/>
        </w:rPr>
        <w:t xml:space="preserve">8,5%). Самое частое связанное с линаглиптином нежелательное явление была гипогликемия с более высокой частотой в группе линаглиптина (2,4% против 5,0% в группе плацебо и линаглиптина соответственно, возникающая преимущественно на фоне </w:t>
      </w:r>
      <w:r>
        <w:rPr>
          <w:sz w:val="24"/>
          <w:szCs w:val="24"/>
        </w:rPr>
        <w:t xml:space="preserve">приема </w:t>
      </w:r>
      <w:r w:rsidRPr="00326568">
        <w:rPr>
          <w:sz w:val="24"/>
          <w:szCs w:val="24"/>
        </w:rPr>
        <w:t>метформина), и гипергликемия с более высокой частотой в группе плацебо. группа (1,5% против 0,5%)</w:t>
      </w:r>
      <w:r>
        <w:rPr>
          <w:sz w:val="24"/>
          <w:szCs w:val="24"/>
        </w:rPr>
        <w:t>.</w:t>
      </w:r>
    </w:p>
    <w:p w14:paraId="356116C1" w14:textId="77777777" w:rsidR="00D02D6B" w:rsidRDefault="00D02D6B" w:rsidP="00D02D6B">
      <w:pPr>
        <w:ind w:firstLine="709"/>
      </w:pPr>
      <w:bookmarkStart w:id="303" w:name="_Hlk121103700"/>
      <w:r w:rsidRPr="00C41DF0">
        <w:lastRenderedPageBreak/>
        <w:t xml:space="preserve">Частота преждевременного прекращения приема исследуемого препарата была выше в группе плацебо, чем в группе линаглиптина (3,6% против 2,3%). Разница была в основном связана с более высокой частотой гипергликемии (0,9% против 0,2%) и повышением уровня глюкозы в крови (0,4% против 0,1%) в группе плацебо. </w:t>
      </w:r>
      <w:r>
        <w:t>Как и ожидалось, гипергликемия возникала с большей частотой в группе плацебо/фон, чем в группе линаглиптина (10,6% против 5,0%). И наоборот, гипогликемия реже встречалась в группе плацебо (4,1%), чем в группе линаглиптина (7,6%).</w:t>
      </w:r>
    </w:p>
    <w:p w14:paraId="68B2C6A6" w14:textId="77777777" w:rsidR="00D02D6B" w:rsidRPr="00785050" w:rsidRDefault="00D02D6B" w:rsidP="00D02D6B">
      <w:pPr>
        <w:pStyle w:val="OT"/>
        <w:spacing w:after="0"/>
        <w:ind w:firstLine="709"/>
        <w:rPr>
          <w:sz w:val="24"/>
          <w:szCs w:val="24"/>
        </w:rPr>
      </w:pPr>
      <w:r w:rsidRPr="00326568">
        <w:rPr>
          <w:sz w:val="24"/>
          <w:szCs w:val="24"/>
        </w:rPr>
        <w:t>Частота серьезных нежелательных явлений была низкой в обеих группах лечения (2,5% против 2,7%). Было 2 серьезных нежелательных явления со смертельным исходом в группе линаглиптина и ни одного в группе плацебо</w:t>
      </w:r>
      <w:r>
        <w:rPr>
          <w:sz w:val="24"/>
          <w:szCs w:val="24"/>
        </w:rPr>
        <w:t>.</w:t>
      </w:r>
    </w:p>
    <w:p w14:paraId="2D7BB4A8" w14:textId="77777777" w:rsidR="00D02D6B" w:rsidRPr="0016106D" w:rsidRDefault="00D02D6B" w:rsidP="00D02D6B">
      <w:pPr>
        <w:ind w:firstLine="709"/>
      </w:pPr>
      <w:r>
        <w:t xml:space="preserve">В целом, инфекции и инвазии были наиболее частыми побочными эффектами. Нарушения опорно-двигательного аппарата и соединительной ткани; респираторные, торакальные и медиастинальные расстройства, а также сосудистые расстройства встречались с большей частотой в группе линаглиптина, однако разница никогда не превышала 2%. Кроме того, в группе линаглиптина также наблюдались более высокие частоты заболеваний кожи и подкожной клетчатки (2,6% против 4,0%). </w:t>
      </w:r>
    </w:p>
    <w:p w14:paraId="7C4D0D05" w14:textId="48B2DB42" w:rsidR="008200B5" w:rsidRDefault="008200B5" w:rsidP="00D26A3A">
      <w:pPr>
        <w:ind w:firstLine="709"/>
      </w:pPr>
      <w:r>
        <w:t>Одним из основных преимуществ применени</w:t>
      </w:r>
      <w:r w:rsidR="00B11E63">
        <w:t>я</w:t>
      </w:r>
      <w:r>
        <w:t xml:space="preserve"> линаглиптина перед другими гипогликемическими препаратами является его безопасное использование у пациентов с почечной и печеночной недостаточностью и у пациентов с сердечно-сосудистыми </w:t>
      </w:r>
      <w:r w:rsidR="00656A75">
        <w:t>заболеваниями, возможность</w:t>
      </w:r>
      <w:r>
        <w:t xml:space="preserve"> сочетать с другими гипогликемическими препаратами.</w:t>
      </w:r>
    </w:p>
    <w:bookmarkEnd w:id="164"/>
    <w:bookmarkEnd w:id="303"/>
    <w:p w14:paraId="2634ABB7" w14:textId="13787AED" w:rsidR="00B11E63" w:rsidRDefault="00B11E63" w:rsidP="00B11E63">
      <w:pPr>
        <w:ind w:firstLine="709"/>
        <w:rPr>
          <w:color w:val="000000" w:themeColor="text1"/>
        </w:rPr>
      </w:pPr>
      <w:r w:rsidRPr="00656A75">
        <w:rPr>
          <w:lang w:val="en-US" w:eastAsia="ru-RU"/>
        </w:rPr>
        <w:t>D</w:t>
      </w:r>
      <w:r w:rsidRPr="00656A75">
        <w:rPr>
          <w:lang w:eastAsia="ru-RU"/>
        </w:rPr>
        <w:t>T-</w:t>
      </w:r>
      <w:r w:rsidRPr="00656A75">
        <w:rPr>
          <w:lang w:val="en-US" w:eastAsia="ru-RU"/>
        </w:rPr>
        <w:t>LNG</w:t>
      </w:r>
      <w:r w:rsidRPr="00656A75">
        <w:rPr>
          <w:color w:val="000000" w:themeColor="text1"/>
        </w:rPr>
        <w:t xml:space="preserve">, </w:t>
      </w:r>
      <w:r w:rsidRPr="00656A75">
        <w:t>таблетки, покрытые пленочной оболочкой, 5 мг</w:t>
      </w:r>
      <w:r w:rsidRPr="00656A75">
        <w:rPr>
          <w:color w:val="000000" w:themeColor="text1"/>
        </w:rPr>
        <w:t xml:space="preserve"> (</w:t>
      </w:r>
      <w:r w:rsidRPr="00656A75">
        <w:rPr>
          <w:lang w:eastAsia="ru-RU"/>
        </w:rPr>
        <w:t>АО «Р-Фарм», Россия</w:t>
      </w:r>
      <w:r w:rsidRPr="00656A75">
        <w:rPr>
          <w:color w:val="000000" w:themeColor="text1"/>
        </w:rPr>
        <w:t xml:space="preserve">) представляет собой воспроизведенный препарат по отношению к референтному препарату линаглиптина </w:t>
      </w:r>
      <w:r w:rsidR="006D3A74">
        <w:rPr>
          <w:color w:val="000000" w:themeColor="text1"/>
        </w:rPr>
        <w:t xml:space="preserve">– </w:t>
      </w:r>
      <w:r w:rsidRPr="00656A75">
        <w:t>Тражента</w:t>
      </w:r>
      <w:r w:rsidRPr="00656A75">
        <w:rPr>
          <w:vertAlign w:val="superscript"/>
        </w:rPr>
        <w:t>®</w:t>
      </w:r>
      <w:r w:rsidR="001568A5">
        <w:t>, таблетки, покрыты</w:t>
      </w:r>
      <w:r w:rsidRPr="00656A75">
        <w:t>е пленочной оболочкой, 5 мг (</w:t>
      </w:r>
      <w:r w:rsidR="00656A75" w:rsidRPr="00656A75">
        <w:rPr>
          <w:rFonts w:eastAsia="Calibri"/>
          <w:bCs/>
        </w:rPr>
        <w:t>Берингер Ингельхайм Интернешнл ГмбХ, Германия</w:t>
      </w:r>
      <w:r w:rsidRPr="00656A75">
        <w:t>)</w:t>
      </w:r>
      <w:r w:rsidRPr="00656A75">
        <w:rPr>
          <w:color w:val="000000" w:themeColor="text1"/>
        </w:rPr>
        <w:t xml:space="preserve">. Он полностью соответствует по качественному и количественному составу действующего и </w:t>
      </w:r>
      <w:r w:rsidR="006D3A74">
        <w:rPr>
          <w:color w:val="000000" w:themeColor="text1"/>
        </w:rPr>
        <w:t xml:space="preserve">по качественному составу </w:t>
      </w:r>
      <w:r w:rsidRPr="00656A75">
        <w:rPr>
          <w:color w:val="000000" w:themeColor="text1"/>
        </w:rPr>
        <w:t xml:space="preserve">вспомогательных веществ, дозировке и форме выпуска препарату </w:t>
      </w:r>
      <w:r w:rsidR="006D3A74" w:rsidRPr="00656A75">
        <w:t>Тражента</w:t>
      </w:r>
      <w:r w:rsidRPr="00656A75">
        <w:rPr>
          <w:vertAlign w:val="superscript"/>
        </w:rPr>
        <w:t>®</w:t>
      </w:r>
      <w:r w:rsidRPr="00656A75">
        <w:rPr>
          <w:color w:val="000000" w:themeColor="text1"/>
        </w:rPr>
        <w:t>, а, следовательно, может быть рекомендован для проведения клинического исследования биоэквивалентности у добровольцев, с целью осуществления его последующей государственной регистрации.</w:t>
      </w:r>
    </w:p>
    <w:p w14:paraId="413F803C" w14:textId="77777777" w:rsidR="004B1452" w:rsidRPr="004B1452" w:rsidRDefault="004B1452" w:rsidP="004B1452">
      <w:pPr>
        <w:ind w:firstLine="708"/>
        <w:rPr>
          <w:color w:val="000000"/>
        </w:rPr>
      </w:pPr>
    </w:p>
    <w:sectPr w:rsidR="004B1452" w:rsidRPr="004B1452" w:rsidSect="00AB01E2">
      <w:headerReference w:type="default" r:id="rId26"/>
      <w:footerReference w:type="default" r:id="rId27"/>
      <w:headerReference w:type="first" r:id="rId28"/>
      <w:pgSz w:w="11906" w:h="16838"/>
      <w:pgMar w:top="1134" w:right="849" w:bottom="1134" w:left="1701"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B33B0" w14:textId="77777777" w:rsidR="00624B1D" w:rsidRDefault="00624B1D" w:rsidP="00E30437">
      <w:r>
        <w:separator/>
      </w:r>
    </w:p>
  </w:endnote>
  <w:endnote w:type="continuationSeparator" w:id="0">
    <w:p w14:paraId="3773FA36" w14:textId="77777777" w:rsidR="00624B1D" w:rsidRDefault="00624B1D" w:rsidP="00E3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MT">
    <w:altName w:val="MS Gothic"/>
    <w:panose1 w:val="00000000000000000000"/>
    <w:charset w:val="80"/>
    <w:family w:val="auto"/>
    <w:notTrueType/>
    <w:pitch w:val="default"/>
    <w:sig w:usb0="00000201" w:usb1="08070000" w:usb2="00000010" w:usb3="00000000" w:csb0="00020004"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Yu Gothic UI"/>
    <w:panose1 w:val="00000000000000000000"/>
    <w:charset w:val="81"/>
    <w:family w:val="auto"/>
    <w:notTrueType/>
    <w:pitch w:val="default"/>
    <w:sig w:usb0="00000000" w:usb1="09060000" w:usb2="00000010" w:usb3="00000000" w:csb0="00080000"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imSun">
    <w:altName w:val="§­§°§®§Ц"/>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4EF16" w14:textId="77777777" w:rsidR="00686E75" w:rsidRPr="00AB01E2" w:rsidRDefault="00686E75" w:rsidP="00BF01A9">
    <w:pPr>
      <w:rPr>
        <w:sz w:val="20"/>
      </w:rPr>
    </w:pPr>
  </w:p>
  <w:tbl>
    <w:tblPr>
      <w:tblW w:w="9498" w:type="dxa"/>
      <w:tblInd w:w="-142" w:type="dxa"/>
      <w:tblLook w:val="04A0" w:firstRow="1" w:lastRow="0" w:firstColumn="1" w:lastColumn="0" w:noHBand="0" w:noVBand="1"/>
    </w:tblPr>
    <w:tblGrid>
      <w:gridCol w:w="3261"/>
      <w:gridCol w:w="3544"/>
      <w:gridCol w:w="2693"/>
    </w:tblGrid>
    <w:tr w:rsidR="00686E75" w:rsidRPr="00A624A0" w14:paraId="48E32660" w14:textId="77777777" w:rsidTr="006A403D">
      <w:tc>
        <w:tcPr>
          <w:tcW w:w="3261" w:type="dxa"/>
          <w:hideMark/>
        </w:tcPr>
        <w:p w14:paraId="6463542A" w14:textId="77777777" w:rsidR="00686E75" w:rsidRPr="006A403D" w:rsidRDefault="00686E75" w:rsidP="006A403D">
          <w:pPr>
            <w:tabs>
              <w:tab w:val="center" w:pos="4395"/>
              <w:tab w:val="right" w:pos="9355"/>
            </w:tabs>
            <w:jc w:val="left"/>
            <w:rPr>
              <w:rFonts w:eastAsia="Times New Roman"/>
              <w:szCs w:val="22"/>
              <w:lang w:eastAsia="en-US"/>
            </w:rPr>
          </w:pPr>
          <w:r w:rsidRPr="00E34EAC">
            <w:rPr>
              <w:rFonts w:eastAsia="Times New Roman"/>
              <w:szCs w:val="22"/>
              <w:lang w:eastAsia="en-US"/>
            </w:rPr>
            <w:t>КОНФИДЕНЦИАЛЬНО</w:t>
          </w:r>
        </w:p>
      </w:tc>
      <w:tc>
        <w:tcPr>
          <w:tcW w:w="3544" w:type="dxa"/>
          <w:hideMark/>
        </w:tcPr>
        <w:p w14:paraId="51A0CE56" w14:textId="21F1932D" w:rsidR="00686E75" w:rsidRPr="00E34EAC" w:rsidRDefault="00686E75" w:rsidP="00BE477C">
          <w:pPr>
            <w:tabs>
              <w:tab w:val="center" w:pos="4395"/>
              <w:tab w:val="right" w:pos="9355"/>
            </w:tabs>
            <w:ind w:left="34"/>
            <w:jc w:val="center"/>
            <w:rPr>
              <w:rFonts w:eastAsia="Times New Roman"/>
              <w:lang w:eastAsia="en-US"/>
            </w:rPr>
          </w:pPr>
          <w:r>
            <w:rPr>
              <w:rFonts w:eastAsia="Times New Roman"/>
              <w:lang w:eastAsia="en-US"/>
            </w:rPr>
            <w:t>Версия 1.0 от 23</w:t>
          </w:r>
          <w:r w:rsidRPr="00595638">
            <w:rPr>
              <w:rFonts w:eastAsia="Times New Roman"/>
              <w:lang w:eastAsia="en-US"/>
            </w:rPr>
            <w:t>-июн-2023 г.</w:t>
          </w:r>
        </w:p>
      </w:tc>
      <w:tc>
        <w:tcPr>
          <w:tcW w:w="2693" w:type="dxa"/>
          <w:hideMark/>
        </w:tcPr>
        <w:p w14:paraId="2118A0F2" w14:textId="25ADC78B" w:rsidR="00686E75" w:rsidRPr="00A624A0" w:rsidRDefault="00686E75" w:rsidP="006A403D">
          <w:pPr>
            <w:tabs>
              <w:tab w:val="center" w:pos="4395"/>
              <w:tab w:val="right" w:pos="9355"/>
            </w:tabs>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7F5E52">
            <w:rPr>
              <w:rFonts w:eastAsia="Times New Roman"/>
              <w:noProof/>
              <w:lang w:eastAsia="en-US"/>
            </w:rPr>
            <w:t>4</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7F5E52">
            <w:rPr>
              <w:rFonts w:eastAsia="Times New Roman"/>
              <w:noProof/>
              <w:lang w:eastAsia="en-US"/>
            </w:rPr>
            <w:t>83</w:t>
          </w:r>
          <w:r>
            <w:rPr>
              <w:rFonts w:eastAsia="Times New Roman"/>
              <w:lang w:eastAsia="en-US"/>
            </w:rPr>
            <w:fldChar w:fldCharType="end"/>
          </w:r>
        </w:p>
      </w:tc>
    </w:tr>
  </w:tbl>
  <w:p w14:paraId="09E6F73C" w14:textId="77777777" w:rsidR="00686E75" w:rsidRPr="008C1807" w:rsidRDefault="00686E75" w:rsidP="00AB01E2">
    <w:pPr>
      <w:pStyle w:val="a6"/>
      <w:tabs>
        <w:tab w:val="left" w:pos="2268"/>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6BEF" w14:textId="77777777" w:rsidR="00686E75" w:rsidRPr="00AB01E2" w:rsidRDefault="00686E75" w:rsidP="00BF01A9">
    <w:pPr>
      <w:rPr>
        <w:sz w:val="20"/>
      </w:rPr>
    </w:pPr>
  </w:p>
  <w:tbl>
    <w:tblPr>
      <w:tblW w:w="9498" w:type="dxa"/>
      <w:tblInd w:w="-142" w:type="dxa"/>
      <w:tblLook w:val="04A0" w:firstRow="1" w:lastRow="0" w:firstColumn="1" w:lastColumn="0" w:noHBand="0" w:noVBand="1"/>
    </w:tblPr>
    <w:tblGrid>
      <w:gridCol w:w="3261"/>
      <w:gridCol w:w="3544"/>
      <w:gridCol w:w="2693"/>
    </w:tblGrid>
    <w:tr w:rsidR="00686E75" w:rsidRPr="00A624A0" w14:paraId="6E66D2B4" w14:textId="77777777" w:rsidTr="006A403D">
      <w:tc>
        <w:tcPr>
          <w:tcW w:w="3261" w:type="dxa"/>
          <w:hideMark/>
        </w:tcPr>
        <w:p w14:paraId="41FEA9BC" w14:textId="77777777" w:rsidR="00686E75" w:rsidRPr="006A403D" w:rsidRDefault="00686E75" w:rsidP="006A403D">
          <w:pPr>
            <w:tabs>
              <w:tab w:val="center" w:pos="4395"/>
              <w:tab w:val="right" w:pos="9355"/>
            </w:tabs>
            <w:jc w:val="left"/>
            <w:rPr>
              <w:rFonts w:eastAsia="Times New Roman"/>
              <w:szCs w:val="22"/>
              <w:lang w:eastAsia="en-US"/>
            </w:rPr>
          </w:pPr>
          <w:r w:rsidRPr="00E34EAC">
            <w:rPr>
              <w:rFonts w:eastAsia="Times New Roman"/>
              <w:szCs w:val="22"/>
              <w:lang w:eastAsia="en-US"/>
            </w:rPr>
            <w:t>КОНФИДЕНЦИАЛЬНО</w:t>
          </w:r>
        </w:p>
      </w:tc>
      <w:tc>
        <w:tcPr>
          <w:tcW w:w="3544" w:type="dxa"/>
          <w:hideMark/>
        </w:tcPr>
        <w:p w14:paraId="61C25914" w14:textId="60CF2A4A" w:rsidR="00686E75" w:rsidRPr="00E34EAC" w:rsidRDefault="00686E75" w:rsidP="00BE477C">
          <w:pPr>
            <w:tabs>
              <w:tab w:val="center" w:pos="4395"/>
              <w:tab w:val="right" w:pos="9355"/>
            </w:tabs>
            <w:ind w:left="-107"/>
            <w:jc w:val="center"/>
            <w:rPr>
              <w:rFonts w:eastAsia="Times New Roman"/>
              <w:lang w:eastAsia="en-US"/>
            </w:rPr>
          </w:pPr>
          <w:r>
            <w:rPr>
              <w:rFonts w:eastAsia="Times New Roman"/>
              <w:lang w:eastAsia="en-US"/>
            </w:rPr>
            <w:t xml:space="preserve">Версия 1.0 </w:t>
          </w:r>
          <w:r w:rsidRPr="0039499A">
            <w:rPr>
              <w:rFonts w:eastAsia="Times New Roman"/>
              <w:lang w:eastAsia="en-US"/>
            </w:rPr>
            <w:t xml:space="preserve">от </w:t>
          </w:r>
          <w:r>
            <w:rPr>
              <w:rFonts w:eastAsia="Times New Roman"/>
              <w:lang w:eastAsia="en-US"/>
            </w:rPr>
            <w:t>23</w:t>
          </w:r>
          <w:r w:rsidRPr="0039499A">
            <w:rPr>
              <w:rFonts w:eastAsia="Times New Roman"/>
              <w:lang w:eastAsia="en-US"/>
            </w:rPr>
            <w:t>-июн-2023 г.</w:t>
          </w:r>
        </w:p>
      </w:tc>
      <w:tc>
        <w:tcPr>
          <w:tcW w:w="2693" w:type="dxa"/>
          <w:hideMark/>
        </w:tcPr>
        <w:p w14:paraId="77E02E8D" w14:textId="2A08FF2E" w:rsidR="00686E75" w:rsidRPr="00A624A0" w:rsidRDefault="00686E75" w:rsidP="006A403D">
          <w:pPr>
            <w:tabs>
              <w:tab w:val="center" w:pos="4395"/>
              <w:tab w:val="right" w:pos="9355"/>
            </w:tabs>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7F5E52">
            <w:rPr>
              <w:rFonts w:eastAsia="Times New Roman"/>
              <w:noProof/>
              <w:lang w:eastAsia="en-US"/>
            </w:rPr>
            <w:t>83</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7F5E52">
            <w:rPr>
              <w:rFonts w:eastAsia="Times New Roman"/>
              <w:noProof/>
              <w:lang w:eastAsia="en-US"/>
            </w:rPr>
            <w:t>83</w:t>
          </w:r>
          <w:r>
            <w:rPr>
              <w:rFonts w:eastAsia="Times New Roman"/>
              <w:lang w:eastAsia="en-US"/>
            </w:rPr>
            <w:fldChar w:fldCharType="end"/>
          </w:r>
        </w:p>
      </w:tc>
    </w:tr>
  </w:tbl>
  <w:p w14:paraId="79AE2A6A" w14:textId="77777777" w:rsidR="00686E75" w:rsidRPr="008C1807" w:rsidRDefault="00686E75" w:rsidP="00AB01E2">
    <w:pPr>
      <w:pStyle w:val="a6"/>
      <w:tabs>
        <w:tab w:val="left" w:pos="226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376FC" w14:textId="77777777" w:rsidR="00624B1D" w:rsidRDefault="00624B1D" w:rsidP="00E30437">
      <w:r>
        <w:separator/>
      </w:r>
    </w:p>
  </w:footnote>
  <w:footnote w:type="continuationSeparator" w:id="0">
    <w:p w14:paraId="3F303376" w14:textId="77777777" w:rsidR="00624B1D" w:rsidRDefault="00624B1D" w:rsidP="00E30437">
      <w:r>
        <w:continuationSeparator/>
      </w:r>
    </w:p>
  </w:footnote>
  <w:footnote w:id="1">
    <w:p w14:paraId="14B25D6E" w14:textId="73DD56A2" w:rsidR="00686E75" w:rsidRPr="003C3405" w:rsidRDefault="00686E75" w:rsidP="003C3405">
      <w:pPr>
        <w:pStyle w:val="ab"/>
        <w:spacing w:before="0" w:beforeAutospacing="0" w:after="0" w:afterAutospacing="0"/>
        <w:jc w:val="both"/>
        <w:rPr>
          <w:sz w:val="20"/>
          <w:szCs w:val="20"/>
          <w:lang w:val="en-US"/>
        </w:rPr>
      </w:pPr>
      <w:r w:rsidRPr="00CB47F7">
        <w:rPr>
          <w:rStyle w:val="af"/>
          <w:sz w:val="20"/>
          <w:szCs w:val="20"/>
        </w:rPr>
        <w:footnoteRef/>
      </w:r>
      <w:r w:rsidRPr="00CB47F7">
        <w:rPr>
          <w:sz w:val="20"/>
          <w:szCs w:val="20"/>
          <w:lang w:val="en-US"/>
        </w:rPr>
        <w:t xml:space="preserve"> </w:t>
      </w:r>
      <w:r>
        <w:rPr>
          <w:sz w:val="20"/>
          <w:szCs w:val="20"/>
          <w:lang w:val="en-US"/>
        </w:rPr>
        <w:t xml:space="preserve">CBG MEB. Public Assessment Report. Scientific discussion. Linagliptin 5 mg film-coated tablets (linagliptin).June 8 2021. </w:t>
      </w:r>
      <w:r w:rsidRPr="002B6A2E">
        <w:rPr>
          <w:sz w:val="20"/>
          <w:szCs w:val="20"/>
          <w:lang w:val="en-US"/>
        </w:rPr>
        <w:t>https://www.geneesmiddeleninformatiebank.nl/pars/h125696.pdf</w:t>
      </w:r>
    </w:p>
  </w:footnote>
  <w:footnote w:id="2">
    <w:p w14:paraId="4F9930ED" w14:textId="58B847CB" w:rsidR="00686E75" w:rsidRPr="00D9115A" w:rsidRDefault="00686E75" w:rsidP="003C3405">
      <w:pPr>
        <w:pStyle w:val="ad"/>
        <w:jc w:val="both"/>
        <w:rPr>
          <w:shd w:val="clear" w:color="auto" w:fill="FCFCFC"/>
          <w:lang w:val="en-US"/>
        </w:rPr>
      </w:pPr>
      <w:r w:rsidRPr="003C3405">
        <w:rPr>
          <w:rStyle w:val="af"/>
        </w:rPr>
        <w:footnoteRef/>
      </w:r>
      <w:r w:rsidRPr="003C3405">
        <w:rPr>
          <w:lang w:val="en-US"/>
        </w:rPr>
        <w:t xml:space="preserve"> </w:t>
      </w:r>
      <w:r w:rsidRPr="00CB47F7">
        <w:rPr>
          <w:lang w:val="en-US"/>
        </w:rPr>
        <w:t xml:space="preserve">Friedrich C, Jungnik A, Retlich S, Ring A, Meinicke T. Bioequivalence of Linagliptin 5 mg once daily and 2.5 mg twice daily: Pharmacokinetics and pharmacodynamics in an open-label Crossover Trial. </w:t>
      </w:r>
      <w:r w:rsidRPr="003C3405">
        <w:rPr>
          <w:i/>
          <w:iCs/>
          <w:lang w:val="en-US"/>
        </w:rPr>
        <w:t>Drug Research</w:t>
      </w:r>
      <w:r w:rsidRPr="003C3405">
        <w:rPr>
          <w:lang w:val="en-US"/>
        </w:rPr>
        <w:t xml:space="preserve">. 2013;64(05):269-275. doi:10.1055/s-0033-1357144 </w:t>
      </w:r>
    </w:p>
  </w:footnote>
  <w:footnote w:id="3">
    <w:p w14:paraId="7189307A" w14:textId="7B0B67DB" w:rsidR="00686E75" w:rsidRPr="002B6A2E" w:rsidRDefault="00686E75" w:rsidP="002B6A2E">
      <w:pPr>
        <w:pStyle w:val="ad"/>
        <w:jc w:val="both"/>
        <w:rPr>
          <w:shd w:val="clear" w:color="auto" w:fill="FCFCFC"/>
          <w:lang w:val="en-US"/>
        </w:rPr>
      </w:pPr>
      <w:r>
        <w:rPr>
          <w:rStyle w:val="af"/>
        </w:rPr>
        <w:footnoteRef/>
      </w:r>
      <w:r w:rsidRPr="00D9115A">
        <w:rPr>
          <w:lang w:val="en-US"/>
        </w:rPr>
        <w:t xml:space="preserve"> </w:t>
      </w:r>
      <w:r w:rsidRPr="003C3405">
        <w:rPr>
          <w:shd w:val="clear" w:color="auto" w:fill="FCFCFC"/>
          <w:lang w:val="en-US"/>
        </w:rPr>
        <w:t>Graefe-Mody, U., Retlich, S. &amp; Friedrich, C. Clinical Pharmacokinetics and Pharmacodynamics of Linagliptin. </w:t>
      </w:r>
      <w:r w:rsidRPr="00D9115A">
        <w:rPr>
          <w:i/>
          <w:iCs/>
          <w:shd w:val="clear" w:color="auto" w:fill="FCFCFC"/>
          <w:lang w:val="en-US"/>
        </w:rPr>
        <w:t>Clin Pharmacokinet</w:t>
      </w:r>
      <w:r w:rsidRPr="00D9115A">
        <w:rPr>
          <w:shd w:val="clear" w:color="auto" w:fill="FCFCFC"/>
          <w:lang w:val="en-US"/>
        </w:rPr>
        <w:t> </w:t>
      </w:r>
      <w:r w:rsidRPr="00D9115A">
        <w:rPr>
          <w:bCs/>
          <w:shd w:val="clear" w:color="auto" w:fill="FCFCFC"/>
          <w:lang w:val="en-US"/>
        </w:rPr>
        <w:t>51</w:t>
      </w:r>
      <w:r w:rsidRPr="00D9115A">
        <w:rPr>
          <w:shd w:val="clear" w:color="auto" w:fill="FCFCFC"/>
          <w:lang w:val="en-US"/>
        </w:rPr>
        <w:t>, 411–427 (2012). https://doi.org/10.2165/11630900-000000000-00000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105893" w14:paraId="5D70F38A" w14:textId="77777777" w:rsidTr="00105893">
      <w:tc>
        <w:tcPr>
          <w:tcW w:w="4564" w:type="dxa"/>
          <w:hideMark/>
        </w:tcPr>
        <w:p w14:paraId="38DADBF9" w14:textId="77777777" w:rsidR="00105893" w:rsidRDefault="00105893" w:rsidP="00105893">
          <w:pPr>
            <w:tabs>
              <w:tab w:val="center" w:pos="4677"/>
              <w:tab w:val="right" w:pos="9355"/>
            </w:tabs>
            <w:spacing w:before="240"/>
            <w:rPr>
              <w:lang w:eastAsia="en-US"/>
            </w:rPr>
          </w:pPr>
          <w:r>
            <w:rPr>
              <w:szCs w:val="22"/>
              <w:lang w:eastAsia="en-US"/>
            </w:rPr>
            <w:t>Брошюра исследователя</w:t>
          </w:r>
        </w:p>
        <w:p w14:paraId="3F35A524" w14:textId="381C0911" w:rsidR="00105893" w:rsidRDefault="00105893" w:rsidP="00105893">
          <w:pPr>
            <w:tabs>
              <w:tab w:val="center" w:pos="4677"/>
              <w:tab w:val="right" w:pos="9355"/>
            </w:tabs>
          </w:pPr>
          <w:r>
            <w:rPr>
              <w:lang w:eastAsia="en-US"/>
            </w:rPr>
            <w:t xml:space="preserve">Номер протокола: </w:t>
          </w:r>
          <w:r>
            <w:rPr>
              <w:rFonts w:eastAsia="Times New Roman"/>
              <w:lang w:val="en-US" w:eastAsia="en-US"/>
            </w:rPr>
            <w:t>CA</w:t>
          </w:r>
          <w:r>
            <w:rPr>
              <w:rFonts w:eastAsia="Times New Roman"/>
              <w:lang w:eastAsia="en-US"/>
            </w:rPr>
            <w:t>101059165</w:t>
          </w:r>
        </w:p>
        <w:p w14:paraId="080D2D13" w14:textId="77777777" w:rsidR="00105893" w:rsidRDefault="00105893" w:rsidP="00105893">
          <w:pPr>
            <w:tabs>
              <w:tab w:val="center" w:pos="4677"/>
              <w:tab w:val="right" w:pos="9355"/>
            </w:tabs>
            <w:rPr>
              <w:lang w:eastAsia="en-US"/>
            </w:rPr>
          </w:pPr>
          <w:r>
            <w:t>Спонсор: АО «Р-Фарм», Россия</w:t>
          </w:r>
        </w:p>
      </w:tc>
      <w:tc>
        <w:tcPr>
          <w:tcW w:w="5076" w:type="dxa"/>
          <w:hideMark/>
        </w:tcPr>
        <w:p w14:paraId="7C86E0F4" w14:textId="693B3CF9" w:rsidR="00105893" w:rsidRDefault="00105893" w:rsidP="00105893">
          <w:pPr>
            <w:tabs>
              <w:tab w:val="center" w:pos="4677"/>
              <w:tab w:val="right" w:pos="9355"/>
            </w:tabs>
            <w:jc w:val="right"/>
            <w:rPr>
              <w:lang w:eastAsia="en-US"/>
            </w:rPr>
          </w:pPr>
          <w:r>
            <w:rPr>
              <w:noProof/>
              <w:lang w:eastAsia="ru-RU"/>
            </w:rPr>
            <w:drawing>
              <wp:inline distT="0" distB="0" distL="0" distR="0" wp14:anchorId="49AACF2D" wp14:editId="0F9BDB5D">
                <wp:extent cx="685800" cy="685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42353739" w14:textId="369E07B4" w:rsidR="00686E75" w:rsidRPr="00105893" w:rsidRDefault="00686E75" w:rsidP="00105893">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9F4CD" w14:textId="77777777" w:rsidR="00686E75" w:rsidRDefault="00686E75" w:rsidP="008A1A8F">
    <w:pPr>
      <w:pStyle w:val="a4"/>
      <w:jc w:val="left"/>
    </w:pPr>
    <w:r>
      <w:rPr>
        <w:noProof/>
        <w:lang w:eastAsia="ru-RU"/>
      </w:rPr>
      <w:drawing>
        <wp:anchor distT="0" distB="0" distL="114300" distR="114300" simplePos="0" relativeHeight="251660288" behindDoc="0" locked="0" layoutInCell="1" allowOverlap="1" wp14:anchorId="61E442D2" wp14:editId="0CE459C5">
          <wp:simplePos x="0" y="0"/>
          <wp:positionH relativeFrom="column">
            <wp:posOffset>4406265</wp:posOffset>
          </wp:positionH>
          <wp:positionV relativeFrom="paragraph">
            <wp:posOffset>-163830</wp:posOffset>
          </wp:positionV>
          <wp:extent cx="1552575" cy="504825"/>
          <wp:effectExtent l="0" t="0" r="9525" b="9525"/>
          <wp:wrapNone/>
          <wp:docPr id="12" name="Рисунок 12"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27D1381D" w14:textId="77777777" w:rsidR="00686E75" w:rsidRDefault="00686E75">
    <w:pPr>
      <w:pStyle w:val="a4"/>
    </w:pPr>
    <w:r>
      <w:t>BCD-033-2</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686E75" w:rsidRPr="008C1807" w14:paraId="0F3FD016" w14:textId="77777777" w:rsidTr="00E34EAC">
      <w:tc>
        <w:tcPr>
          <w:tcW w:w="4564" w:type="dxa"/>
          <w:hideMark/>
        </w:tcPr>
        <w:p w14:paraId="7C8B9E96" w14:textId="77777777" w:rsidR="00686E75" w:rsidRPr="008C1807" w:rsidRDefault="00686E75" w:rsidP="00C81AA5">
          <w:pPr>
            <w:tabs>
              <w:tab w:val="center" w:pos="4677"/>
              <w:tab w:val="right" w:pos="9355"/>
            </w:tabs>
            <w:jc w:val="left"/>
            <w:rPr>
              <w:rFonts w:eastAsia="Times New Roman"/>
              <w:lang w:eastAsia="en-US"/>
            </w:rPr>
          </w:pPr>
          <w:r w:rsidRPr="008C1807">
            <w:rPr>
              <w:rFonts w:eastAsia="Times New Roman"/>
              <w:szCs w:val="22"/>
              <w:lang w:eastAsia="en-US"/>
            </w:rPr>
            <w:t>Брошюра исследователя</w:t>
          </w:r>
        </w:p>
        <w:p w14:paraId="134FE93D" w14:textId="139620D8" w:rsidR="00686E75" w:rsidRPr="00A40B87" w:rsidRDefault="00686E75" w:rsidP="00A1710A">
          <w:pPr>
            <w:tabs>
              <w:tab w:val="center" w:pos="4677"/>
              <w:tab w:val="right" w:pos="9355"/>
            </w:tabs>
            <w:jc w:val="left"/>
          </w:pPr>
          <w:r w:rsidRPr="007E5CDB">
            <w:rPr>
              <w:rFonts w:eastAsia="Times New Roman"/>
              <w:lang w:eastAsia="en-US"/>
            </w:rPr>
            <w:t>Номер протокола</w:t>
          </w:r>
          <w:r w:rsidRPr="008C1807">
            <w:rPr>
              <w:rFonts w:eastAsia="Times New Roman"/>
              <w:lang w:eastAsia="en-US"/>
            </w:rPr>
            <w:t xml:space="preserve">: </w:t>
          </w:r>
          <w:r>
            <w:rPr>
              <w:rFonts w:eastAsia="Times New Roman"/>
              <w:lang w:val="en-US" w:eastAsia="en-US"/>
            </w:rPr>
            <w:t>CA</w:t>
          </w:r>
          <w:r w:rsidRPr="00A40B87">
            <w:rPr>
              <w:rFonts w:eastAsia="Times New Roman"/>
              <w:lang w:eastAsia="en-US"/>
            </w:rPr>
            <w:t>101059165</w:t>
          </w:r>
        </w:p>
        <w:p w14:paraId="7BB38FAA" w14:textId="77777777" w:rsidR="00686E75" w:rsidRPr="00986AA3" w:rsidRDefault="00686E75" w:rsidP="00A1710A">
          <w:pPr>
            <w:tabs>
              <w:tab w:val="center" w:pos="4677"/>
              <w:tab w:val="right" w:pos="9355"/>
            </w:tabs>
            <w:jc w:val="left"/>
            <w:rPr>
              <w:rFonts w:eastAsia="Times New Roman"/>
              <w:lang w:eastAsia="en-US"/>
            </w:rPr>
          </w:pPr>
          <w:r>
            <w:t>Спонсор: АО «Р-Фарм»</w:t>
          </w:r>
        </w:p>
      </w:tc>
      <w:tc>
        <w:tcPr>
          <w:tcW w:w="5076" w:type="dxa"/>
          <w:hideMark/>
        </w:tcPr>
        <w:p w14:paraId="329B6A0A" w14:textId="77777777" w:rsidR="00686E75" w:rsidRPr="008C1807" w:rsidRDefault="00686E75" w:rsidP="000108BC">
          <w:pPr>
            <w:tabs>
              <w:tab w:val="center" w:pos="4677"/>
              <w:tab w:val="right" w:pos="9355"/>
            </w:tabs>
            <w:jc w:val="right"/>
            <w:rPr>
              <w:rFonts w:eastAsia="Times New Roman"/>
              <w:lang w:eastAsia="en-US"/>
            </w:rPr>
          </w:pPr>
          <w:r w:rsidRPr="00EC20DD">
            <w:rPr>
              <w:noProof/>
              <w:lang w:eastAsia="ru-RU"/>
            </w:rPr>
            <w:drawing>
              <wp:inline distT="0" distB="0" distL="0" distR="0" wp14:anchorId="63E4520B" wp14:editId="530AB7DF">
                <wp:extent cx="717766" cy="614249"/>
                <wp:effectExtent l="0" t="0" r="6350" b="0"/>
                <wp:docPr id="3"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719490" cy="615724"/>
                        </a:xfrm>
                        <a:prstGeom prst="rect">
                          <a:avLst/>
                        </a:prstGeom>
                      </pic:spPr>
                    </pic:pic>
                  </a:graphicData>
                </a:graphic>
              </wp:inline>
            </w:drawing>
          </w:r>
        </w:p>
      </w:tc>
    </w:tr>
  </w:tbl>
  <w:p w14:paraId="1E1E964A" w14:textId="77777777" w:rsidR="00686E75" w:rsidRPr="00AB01E2" w:rsidRDefault="00686E75" w:rsidP="00A26EEC">
    <w:pPr>
      <w:tabs>
        <w:tab w:val="center" w:pos="4677"/>
        <w:tab w:val="right" w:pos="9355"/>
      </w:tabs>
      <w:rPr>
        <w:sz w:val="2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35188" w14:textId="77777777" w:rsidR="00686E75" w:rsidRDefault="00686E75" w:rsidP="008A1A8F">
    <w:pPr>
      <w:pStyle w:val="a4"/>
      <w:jc w:val="left"/>
    </w:pPr>
    <w:r>
      <w:rPr>
        <w:noProof/>
        <w:lang w:eastAsia="ru-RU"/>
      </w:rPr>
      <w:drawing>
        <wp:anchor distT="0" distB="0" distL="114300" distR="114300" simplePos="0" relativeHeight="251664384" behindDoc="0" locked="0" layoutInCell="1" allowOverlap="1" wp14:anchorId="4621857F" wp14:editId="0F0B3261">
          <wp:simplePos x="0" y="0"/>
          <wp:positionH relativeFrom="column">
            <wp:posOffset>4406265</wp:posOffset>
          </wp:positionH>
          <wp:positionV relativeFrom="paragraph">
            <wp:posOffset>-163830</wp:posOffset>
          </wp:positionV>
          <wp:extent cx="1552575" cy="504825"/>
          <wp:effectExtent l="0" t="0" r="9525" b="9525"/>
          <wp:wrapNone/>
          <wp:docPr id="6" name="Рисунок 6"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1FDBAE9E" w14:textId="77777777" w:rsidR="00686E75" w:rsidRDefault="00686E75">
    <w:pPr>
      <w:pStyle w:val="a4"/>
    </w:pPr>
    <w:r>
      <w:t>BCD-033-2</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686E75" w:rsidRPr="008C1807" w14:paraId="3667E8D8" w14:textId="77777777" w:rsidTr="00E34EAC">
      <w:tc>
        <w:tcPr>
          <w:tcW w:w="4564" w:type="dxa"/>
          <w:hideMark/>
        </w:tcPr>
        <w:p w14:paraId="38D251B0" w14:textId="77777777" w:rsidR="00686E75" w:rsidRDefault="00686E75" w:rsidP="000108BC">
          <w:pPr>
            <w:tabs>
              <w:tab w:val="center" w:pos="4677"/>
              <w:tab w:val="right" w:pos="9355"/>
            </w:tabs>
            <w:jc w:val="left"/>
            <w:rPr>
              <w:rFonts w:eastAsia="Times New Roman"/>
              <w:lang w:eastAsia="en-US"/>
            </w:rPr>
          </w:pPr>
        </w:p>
        <w:p w14:paraId="77949205" w14:textId="77777777" w:rsidR="00686E75" w:rsidRPr="008C1807" w:rsidRDefault="00686E75" w:rsidP="00C81AA5">
          <w:pPr>
            <w:tabs>
              <w:tab w:val="center" w:pos="4677"/>
              <w:tab w:val="right" w:pos="9355"/>
            </w:tabs>
            <w:jc w:val="left"/>
            <w:rPr>
              <w:rFonts w:eastAsia="Times New Roman"/>
              <w:lang w:eastAsia="en-US"/>
            </w:rPr>
          </w:pPr>
          <w:r w:rsidRPr="008C1807">
            <w:rPr>
              <w:rFonts w:eastAsia="Times New Roman"/>
              <w:szCs w:val="22"/>
              <w:lang w:eastAsia="en-US"/>
            </w:rPr>
            <w:t>Брошюра исследователя</w:t>
          </w:r>
        </w:p>
        <w:p w14:paraId="19B2B5CA" w14:textId="2D6838B7" w:rsidR="00686E75" w:rsidRPr="00A40B87" w:rsidRDefault="00686E75" w:rsidP="00A1710A">
          <w:pPr>
            <w:tabs>
              <w:tab w:val="center" w:pos="4677"/>
              <w:tab w:val="right" w:pos="9355"/>
            </w:tabs>
            <w:jc w:val="left"/>
            <w:rPr>
              <w:rFonts w:eastAsiaTheme="minorEastAsia"/>
            </w:rPr>
          </w:pPr>
          <w:r w:rsidRPr="00A40B87">
            <w:rPr>
              <w:rFonts w:eastAsia="Times New Roman"/>
              <w:lang w:eastAsia="en-US"/>
            </w:rPr>
            <w:t>Номер протокола</w:t>
          </w:r>
          <w:r w:rsidRPr="008C1807">
            <w:rPr>
              <w:rFonts w:eastAsia="Times New Roman"/>
              <w:lang w:eastAsia="en-US"/>
            </w:rPr>
            <w:t xml:space="preserve">: </w:t>
          </w:r>
          <w:r>
            <w:rPr>
              <w:rFonts w:eastAsia="Times New Roman"/>
              <w:lang w:val="en-US" w:eastAsia="en-US"/>
            </w:rPr>
            <w:t>CA</w:t>
          </w:r>
          <w:r>
            <w:rPr>
              <w:rFonts w:eastAsiaTheme="minorEastAsia"/>
            </w:rPr>
            <w:t>101059165</w:t>
          </w:r>
        </w:p>
        <w:p w14:paraId="77F4D67A" w14:textId="77777777" w:rsidR="00686E75" w:rsidRPr="00986AA3" w:rsidRDefault="00686E75" w:rsidP="00A1710A">
          <w:pPr>
            <w:tabs>
              <w:tab w:val="center" w:pos="4677"/>
              <w:tab w:val="right" w:pos="9355"/>
            </w:tabs>
            <w:jc w:val="left"/>
            <w:rPr>
              <w:rFonts w:eastAsia="Times New Roman"/>
              <w:lang w:eastAsia="en-US"/>
            </w:rPr>
          </w:pPr>
          <w:r>
            <w:t>Спонсор: АО «Р-Фарм»</w:t>
          </w:r>
        </w:p>
      </w:tc>
      <w:tc>
        <w:tcPr>
          <w:tcW w:w="5076" w:type="dxa"/>
          <w:hideMark/>
        </w:tcPr>
        <w:p w14:paraId="06D50D32" w14:textId="77777777" w:rsidR="00686E75" w:rsidRPr="008C1807" w:rsidRDefault="00686E75" w:rsidP="000108BC">
          <w:pPr>
            <w:tabs>
              <w:tab w:val="center" w:pos="4677"/>
              <w:tab w:val="right" w:pos="9355"/>
            </w:tabs>
            <w:jc w:val="right"/>
            <w:rPr>
              <w:rFonts w:eastAsia="Times New Roman"/>
              <w:lang w:eastAsia="en-US"/>
            </w:rPr>
          </w:pPr>
          <w:r w:rsidRPr="00EC20DD">
            <w:rPr>
              <w:noProof/>
              <w:lang w:eastAsia="ru-RU"/>
            </w:rPr>
            <w:drawing>
              <wp:inline distT="0" distB="0" distL="0" distR="0" wp14:anchorId="0A597FBC" wp14:editId="26860878">
                <wp:extent cx="683260" cy="683260"/>
                <wp:effectExtent l="0" t="0" r="2540" b="2540"/>
                <wp:docPr id="4"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B5C6A5A" w14:textId="77777777" w:rsidR="00686E75" w:rsidRPr="00AB01E2" w:rsidRDefault="00686E75" w:rsidP="00A26EEC">
    <w:pPr>
      <w:tabs>
        <w:tab w:val="center" w:pos="4677"/>
        <w:tab w:val="right" w:pos="9355"/>
      </w:tabs>
      <w:rPr>
        <w:sz w:val="2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EBBE7" w14:textId="77777777" w:rsidR="00686E75" w:rsidRDefault="00686E75" w:rsidP="008A1A8F">
    <w:pPr>
      <w:pStyle w:val="a4"/>
      <w:jc w:val="left"/>
    </w:pPr>
    <w:r>
      <w:rPr>
        <w:noProof/>
        <w:lang w:eastAsia="ru-RU"/>
      </w:rPr>
      <w:drawing>
        <wp:anchor distT="0" distB="0" distL="114300" distR="114300" simplePos="0" relativeHeight="251662336" behindDoc="0" locked="0" layoutInCell="1" allowOverlap="1" wp14:anchorId="7EFFADC5" wp14:editId="31BA5807">
          <wp:simplePos x="0" y="0"/>
          <wp:positionH relativeFrom="column">
            <wp:posOffset>4406265</wp:posOffset>
          </wp:positionH>
          <wp:positionV relativeFrom="paragraph">
            <wp:posOffset>-163830</wp:posOffset>
          </wp:positionV>
          <wp:extent cx="1552575" cy="504825"/>
          <wp:effectExtent l="0" t="0" r="9525" b="9525"/>
          <wp:wrapNone/>
          <wp:docPr id="5" name="Рисунок 5"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4BCB5333" w14:textId="77777777" w:rsidR="00686E75" w:rsidRDefault="00686E75">
    <w:pPr>
      <w:pStyle w:val="a4"/>
    </w:pPr>
    <w:r>
      <w:t>BCD-033-2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377"/>
    <w:multiLevelType w:val="hybridMultilevel"/>
    <w:tmpl w:val="31C82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660790"/>
    <w:multiLevelType w:val="hybridMultilevel"/>
    <w:tmpl w:val="C1F42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CB3247"/>
    <w:multiLevelType w:val="hybridMultilevel"/>
    <w:tmpl w:val="38662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5C7FD7"/>
    <w:multiLevelType w:val="hybridMultilevel"/>
    <w:tmpl w:val="7F9CFA7A"/>
    <w:lvl w:ilvl="0" w:tplc="130AB6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855ACC"/>
    <w:multiLevelType w:val="hybridMultilevel"/>
    <w:tmpl w:val="329611D2"/>
    <w:lvl w:ilvl="0" w:tplc="ED4637E8">
      <w:start w:val="1"/>
      <w:numFmt w:val="decimal"/>
      <w:lvlText w:val="%1."/>
      <w:lvlJc w:val="left"/>
      <w:pPr>
        <w:ind w:left="344" w:hanging="208"/>
      </w:pPr>
      <w:rPr>
        <w:rFonts w:ascii="Cambria" w:eastAsia="Cambria" w:hAnsi="Cambria" w:cs="Cambria" w:hint="default"/>
        <w:b w:val="0"/>
        <w:bCs w:val="0"/>
        <w:i w:val="0"/>
        <w:iCs w:val="0"/>
        <w:spacing w:val="-1"/>
        <w:w w:val="94"/>
        <w:sz w:val="21"/>
        <w:szCs w:val="21"/>
        <w:lang w:val="ru-RU" w:eastAsia="en-US" w:bidi="ar-SA"/>
      </w:rPr>
    </w:lvl>
    <w:lvl w:ilvl="1" w:tplc="0A08104E">
      <w:numFmt w:val="bullet"/>
      <w:lvlText w:val="•"/>
      <w:lvlJc w:val="left"/>
      <w:pPr>
        <w:ind w:left="807" w:hanging="208"/>
      </w:pPr>
      <w:rPr>
        <w:rFonts w:hint="default"/>
        <w:lang w:val="ru-RU" w:eastAsia="en-US" w:bidi="ar-SA"/>
      </w:rPr>
    </w:lvl>
    <w:lvl w:ilvl="2" w:tplc="C4DCBD32">
      <w:numFmt w:val="bullet"/>
      <w:lvlText w:val="•"/>
      <w:lvlJc w:val="left"/>
      <w:pPr>
        <w:ind w:left="1274" w:hanging="208"/>
      </w:pPr>
      <w:rPr>
        <w:rFonts w:hint="default"/>
        <w:lang w:val="ru-RU" w:eastAsia="en-US" w:bidi="ar-SA"/>
      </w:rPr>
    </w:lvl>
    <w:lvl w:ilvl="3" w:tplc="D9E24E66">
      <w:numFmt w:val="bullet"/>
      <w:lvlText w:val="•"/>
      <w:lvlJc w:val="left"/>
      <w:pPr>
        <w:ind w:left="1742" w:hanging="208"/>
      </w:pPr>
      <w:rPr>
        <w:rFonts w:hint="default"/>
        <w:lang w:val="ru-RU" w:eastAsia="en-US" w:bidi="ar-SA"/>
      </w:rPr>
    </w:lvl>
    <w:lvl w:ilvl="4" w:tplc="20BAECFC">
      <w:numFmt w:val="bullet"/>
      <w:lvlText w:val="•"/>
      <w:lvlJc w:val="left"/>
      <w:pPr>
        <w:ind w:left="2209" w:hanging="208"/>
      </w:pPr>
      <w:rPr>
        <w:rFonts w:hint="default"/>
        <w:lang w:val="ru-RU" w:eastAsia="en-US" w:bidi="ar-SA"/>
      </w:rPr>
    </w:lvl>
    <w:lvl w:ilvl="5" w:tplc="1A988F8C">
      <w:numFmt w:val="bullet"/>
      <w:lvlText w:val="•"/>
      <w:lvlJc w:val="left"/>
      <w:pPr>
        <w:ind w:left="2677" w:hanging="208"/>
      </w:pPr>
      <w:rPr>
        <w:rFonts w:hint="default"/>
        <w:lang w:val="ru-RU" w:eastAsia="en-US" w:bidi="ar-SA"/>
      </w:rPr>
    </w:lvl>
    <w:lvl w:ilvl="6" w:tplc="9B1280BA">
      <w:numFmt w:val="bullet"/>
      <w:lvlText w:val="•"/>
      <w:lvlJc w:val="left"/>
      <w:pPr>
        <w:ind w:left="3144" w:hanging="208"/>
      </w:pPr>
      <w:rPr>
        <w:rFonts w:hint="default"/>
        <w:lang w:val="ru-RU" w:eastAsia="en-US" w:bidi="ar-SA"/>
      </w:rPr>
    </w:lvl>
    <w:lvl w:ilvl="7" w:tplc="D482030C">
      <w:numFmt w:val="bullet"/>
      <w:lvlText w:val="•"/>
      <w:lvlJc w:val="left"/>
      <w:pPr>
        <w:ind w:left="3611" w:hanging="208"/>
      </w:pPr>
      <w:rPr>
        <w:rFonts w:hint="default"/>
        <w:lang w:val="ru-RU" w:eastAsia="en-US" w:bidi="ar-SA"/>
      </w:rPr>
    </w:lvl>
    <w:lvl w:ilvl="8" w:tplc="5788938E">
      <w:numFmt w:val="bullet"/>
      <w:lvlText w:val="•"/>
      <w:lvlJc w:val="left"/>
      <w:pPr>
        <w:ind w:left="4079" w:hanging="208"/>
      </w:pPr>
      <w:rPr>
        <w:rFonts w:hint="default"/>
        <w:lang w:val="ru-RU" w:eastAsia="en-US" w:bidi="ar-SA"/>
      </w:rPr>
    </w:lvl>
  </w:abstractNum>
  <w:abstractNum w:abstractNumId="5" w15:restartNumberingAfterBreak="0">
    <w:nsid w:val="099F4F58"/>
    <w:multiLevelType w:val="hybridMultilevel"/>
    <w:tmpl w:val="3AFE7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212827"/>
    <w:multiLevelType w:val="hybridMultilevel"/>
    <w:tmpl w:val="11FC7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6C32A4"/>
    <w:multiLevelType w:val="hybridMultilevel"/>
    <w:tmpl w:val="072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4E24BC0"/>
    <w:multiLevelType w:val="multilevel"/>
    <w:tmpl w:val="A14ECC90"/>
    <w:lvl w:ilvl="0">
      <w:start w:val="3"/>
      <w:numFmt w:val="decimal"/>
      <w:lvlText w:val="%1"/>
      <w:lvlJc w:val="left"/>
      <w:pPr>
        <w:ind w:left="660" w:hanging="660"/>
      </w:pPr>
      <w:rPr>
        <w:rFonts w:hint="default"/>
        <w:b w:val="0"/>
        <w:color w:val="000000" w:themeColor="text1"/>
      </w:rPr>
    </w:lvl>
    <w:lvl w:ilvl="1">
      <w:start w:val="3"/>
      <w:numFmt w:val="decimal"/>
      <w:lvlText w:val="%1.%2"/>
      <w:lvlJc w:val="left"/>
      <w:pPr>
        <w:ind w:left="849" w:hanging="660"/>
      </w:pPr>
      <w:rPr>
        <w:rFonts w:hint="default"/>
        <w:b w:val="0"/>
        <w:color w:val="000000" w:themeColor="text1"/>
      </w:rPr>
    </w:lvl>
    <w:lvl w:ilvl="2">
      <w:start w:val="8"/>
      <w:numFmt w:val="decimal"/>
      <w:lvlText w:val="%1.%2.%3"/>
      <w:lvlJc w:val="left"/>
      <w:pPr>
        <w:ind w:left="1098" w:hanging="720"/>
      </w:pPr>
      <w:rPr>
        <w:rFonts w:hint="default"/>
        <w:b w:val="0"/>
        <w:color w:val="000000" w:themeColor="text1"/>
      </w:rPr>
    </w:lvl>
    <w:lvl w:ilvl="3">
      <w:start w:val="2"/>
      <w:numFmt w:val="decimal"/>
      <w:lvlText w:val="%1.%2.%3.%4"/>
      <w:lvlJc w:val="left"/>
      <w:pPr>
        <w:ind w:left="1287" w:hanging="720"/>
      </w:pPr>
      <w:rPr>
        <w:rFonts w:hint="default"/>
        <w:b w:val="0"/>
        <w:color w:val="000000" w:themeColor="text1"/>
      </w:rPr>
    </w:lvl>
    <w:lvl w:ilvl="4">
      <w:start w:val="1"/>
      <w:numFmt w:val="decimal"/>
      <w:lvlText w:val="%1.%2.%3.%4.%5"/>
      <w:lvlJc w:val="left"/>
      <w:pPr>
        <w:ind w:left="1836" w:hanging="1080"/>
      </w:pPr>
      <w:rPr>
        <w:rFonts w:hint="default"/>
        <w:b w:val="0"/>
        <w:color w:val="000000" w:themeColor="text1"/>
      </w:rPr>
    </w:lvl>
    <w:lvl w:ilvl="5">
      <w:start w:val="1"/>
      <w:numFmt w:val="decimal"/>
      <w:lvlText w:val="%1.%2.%3.%4.%5.%6"/>
      <w:lvlJc w:val="left"/>
      <w:pPr>
        <w:ind w:left="2025" w:hanging="1080"/>
      </w:pPr>
      <w:rPr>
        <w:rFonts w:hint="default"/>
        <w:b w:val="0"/>
        <w:color w:val="000000" w:themeColor="text1"/>
      </w:rPr>
    </w:lvl>
    <w:lvl w:ilvl="6">
      <w:start w:val="1"/>
      <w:numFmt w:val="decimal"/>
      <w:lvlText w:val="%1.%2.%3.%4.%5.%6.%7"/>
      <w:lvlJc w:val="left"/>
      <w:pPr>
        <w:ind w:left="2574" w:hanging="1440"/>
      </w:pPr>
      <w:rPr>
        <w:rFonts w:hint="default"/>
        <w:b w:val="0"/>
        <w:color w:val="000000" w:themeColor="text1"/>
      </w:rPr>
    </w:lvl>
    <w:lvl w:ilvl="7">
      <w:start w:val="1"/>
      <w:numFmt w:val="decimal"/>
      <w:lvlText w:val="%1.%2.%3.%4.%5.%6.%7.%8"/>
      <w:lvlJc w:val="left"/>
      <w:pPr>
        <w:ind w:left="2763" w:hanging="1440"/>
      </w:pPr>
      <w:rPr>
        <w:rFonts w:hint="default"/>
        <w:b w:val="0"/>
        <w:color w:val="000000" w:themeColor="text1"/>
      </w:rPr>
    </w:lvl>
    <w:lvl w:ilvl="8">
      <w:start w:val="1"/>
      <w:numFmt w:val="decimal"/>
      <w:lvlText w:val="%1.%2.%3.%4.%5.%6.%7.%8.%9"/>
      <w:lvlJc w:val="left"/>
      <w:pPr>
        <w:ind w:left="3312" w:hanging="1800"/>
      </w:pPr>
      <w:rPr>
        <w:rFonts w:hint="default"/>
        <w:b w:val="0"/>
        <w:color w:val="000000" w:themeColor="text1"/>
      </w:rPr>
    </w:lvl>
  </w:abstractNum>
  <w:abstractNum w:abstractNumId="9" w15:restartNumberingAfterBreak="0">
    <w:nsid w:val="186F19DA"/>
    <w:multiLevelType w:val="hybridMultilevel"/>
    <w:tmpl w:val="C6B6C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96444B0"/>
    <w:multiLevelType w:val="hybridMultilevel"/>
    <w:tmpl w:val="090E9FD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B3D3602"/>
    <w:multiLevelType w:val="hybridMultilevel"/>
    <w:tmpl w:val="63289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0742F68"/>
    <w:multiLevelType w:val="hybridMultilevel"/>
    <w:tmpl w:val="71D0A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1CB150A"/>
    <w:multiLevelType w:val="hybridMultilevel"/>
    <w:tmpl w:val="87125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A9483F"/>
    <w:multiLevelType w:val="hybridMultilevel"/>
    <w:tmpl w:val="933CC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7D0D65"/>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81F579A"/>
    <w:multiLevelType w:val="hybridMultilevel"/>
    <w:tmpl w:val="886C1074"/>
    <w:lvl w:ilvl="0" w:tplc="A094C336">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A8245A"/>
    <w:multiLevelType w:val="hybridMultilevel"/>
    <w:tmpl w:val="21DC68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758705C"/>
    <w:multiLevelType w:val="hybridMultilevel"/>
    <w:tmpl w:val="B388E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AA51E70"/>
    <w:multiLevelType w:val="hybridMultilevel"/>
    <w:tmpl w:val="D60AB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AF767C0"/>
    <w:multiLevelType w:val="hybridMultilevel"/>
    <w:tmpl w:val="F5B26D1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40720AC3"/>
    <w:multiLevelType w:val="hybridMultilevel"/>
    <w:tmpl w:val="3222C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26138F3"/>
    <w:multiLevelType w:val="hybridMultilevel"/>
    <w:tmpl w:val="0E38E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3D57300"/>
    <w:multiLevelType w:val="hybridMultilevel"/>
    <w:tmpl w:val="1AB4C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112B17"/>
    <w:multiLevelType w:val="hybridMultilevel"/>
    <w:tmpl w:val="78585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8" w15:restartNumberingAfterBreak="0">
    <w:nsid w:val="4A1D77C0"/>
    <w:multiLevelType w:val="hybridMultilevel"/>
    <w:tmpl w:val="AD786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C2277C2"/>
    <w:multiLevelType w:val="hybridMultilevel"/>
    <w:tmpl w:val="2EAA7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FC75DF5"/>
    <w:multiLevelType w:val="hybridMultilevel"/>
    <w:tmpl w:val="BA3AB3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51A31B2E"/>
    <w:multiLevelType w:val="hybridMultilevel"/>
    <w:tmpl w:val="CA9AFF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56095109"/>
    <w:multiLevelType w:val="hybridMultilevel"/>
    <w:tmpl w:val="1E60B2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8B143EC"/>
    <w:multiLevelType w:val="hybridMultilevel"/>
    <w:tmpl w:val="EAAEB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A9257F6"/>
    <w:multiLevelType w:val="multilevel"/>
    <w:tmpl w:val="54EEC968"/>
    <w:lvl w:ilvl="0">
      <w:start w:val="1"/>
      <w:numFmt w:val="decimal"/>
      <w:pStyle w:val="a"/>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35" w15:restartNumberingAfterBreak="0">
    <w:nsid w:val="5AA366FD"/>
    <w:multiLevelType w:val="hybridMultilevel"/>
    <w:tmpl w:val="6F847A3E"/>
    <w:lvl w:ilvl="0" w:tplc="1A62952C">
      <w:numFmt w:val="bullet"/>
      <w:lvlText w:val="•"/>
      <w:lvlJc w:val="left"/>
      <w:pPr>
        <w:ind w:left="855" w:hanging="363"/>
      </w:pPr>
      <w:rPr>
        <w:rFonts w:ascii="Times New Roman" w:eastAsia="Times New Roman" w:hAnsi="Times New Roman" w:cs="Times New Roman" w:hint="default"/>
        <w:b w:val="0"/>
        <w:bCs w:val="0"/>
        <w:i w:val="0"/>
        <w:iCs w:val="0"/>
        <w:w w:val="93"/>
        <w:sz w:val="23"/>
        <w:szCs w:val="23"/>
        <w:lang w:val="ru-RU" w:eastAsia="en-US" w:bidi="ar-SA"/>
      </w:rPr>
    </w:lvl>
    <w:lvl w:ilvl="1" w:tplc="2F60FB68">
      <w:numFmt w:val="bullet"/>
      <w:lvlText w:val="•"/>
      <w:lvlJc w:val="left"/>
      <w:pPr>
        <w:ind w:left="1023" w:hanging="363"/>
      </w:pPr>
      <w:rPr>
        <w:rFonts w:hint="default"/>
        <w:lang w:val="ru-RU" w:eastAsia="en-US" w:bidi="ar-SA"/>
      </w:rPr>
    </w:lvl>
    <w:lvl w:ilvl="2" w:tplc="59AA545C">
      <w:numFmt w:val="bullet"/>
      <w:lvlText w:val="•"/>
      <w:lvlJc w:val="left"/>
      <w:pPr>
        <w:ind w:left="1187" w:hanging="363"/>
      </w:pPr>
      <w:rPr>
        <w:rFonts w:hint="default"/>
        <w:lang w:val="ru-RU" w:eastAsia="en-US" w:bidi="ar-SA"/>
      </w:rPr>
    </w:lvl>
    <w:lvl w:ilvl="3" w:tplc="A412AEAE">
      <w:numFmt w:val="bullet"/>
      <w:lvlText w:val="•"/>
      <w:lvlJc w:val="left"/>
      <w:pPr>
        <w:ind w:left="1351" w:hanging="363"/>
      </w:pPr>
      <w:rPr>
        <w:rFonts w:hint="default"/>
        <w:lang w:val="ru-RU" w:eastAsia="en-US" w:bidi="ar-SA"/>
      </w:rPr>
    </w:lvl>
    <w:lvl w:ilvl="4" w:tplc="D4E6F992">
      <w:numFmt w:val="bullet"/>
      <w:lvlText w:val="•"/>
      <w:lvlJc w:val="left"/>
      <w:pPr>
        <w:ind w:left="1514" w:hanging="363"/>
      </w:pPr>
      <w:rPr>
        <w:rFonts w:hint="default"/>
        <w:lang w:val="ru-RU" w:eastAsia="en-US" w:bidi="ar-SA"/>
      </w:rPr>
    </w:lvl>
    <w:lvl w:ilvl="5" w:tplc="063A1B46">
      <w:numFmt w:val="bullet"/>
      <w:lvlText w:val="•"/>
      <w:lvlJc w:val="left"/>
      <w:pPr>
        <w:ind w:left="1678" w:hanging="363"/>
      </w:pPr>
      <w:rPr>
        <w:rFonts w:hint="default"/>
        <w:lang w:val="ru-RU" w:eastAsia="en-US" w:bidi="ar-SA"/>
      </w:rPr>
    </w:lvl>
    <w:lvl w:ilvl="6" w:tplc="CD1E9BE6">
      <w:numFmt w:val="bullet"/>
      <w:lvlText w:val="•"/>
      <w:lvlJc w:val="left"/>
      <w:pPr>
        <w:ind w:left="1842" w:hanging="363"/>
      </w:pPr>
      <w:rPr>
        <w:rFonts w:hint="default"/>
        <w:lang w:val="ru-RU" w:eastAsia="en-US" w:bidi="ar-SA"/>
      </w:rPr>
    </w:lvl>
    <w:lvl w:ilvl="7" w:tplc="5EB6D85E">
      <w:numFmt w:val="bullet"/>
      <w:lvlText w:val="•"/>
      <w:lvlJc w:val="left"/>
      <w:pPr>
        <w:ind w:left="2005" w:hanging="363"/>
      </w:pPr>
      <w:rPr>
        <w:rFonts w:hint="default"/>
        <w:lang w:val="ru-RU" w:eastAsia="en-US" w:bidi="ar-SA"/>
      </w:rPr>
    </w:lvl>
    <w:lvl w:ilvl="8" w:tplc="31C25AB0">
      <w:numFmt w:val="bullet"/>
      <w:lvlText w:val="•"/>
      <w:lvlJc w:val="left"/>
      <w:pPr>
        <w:ind w:left="2169" w:hanging="363"/>
      </w:pPr>
      <w:rPr>
        <w:rFonts w:hint="default"/>
        <w:lang w:val="ru-RU" w:eastAsia="en-US" w:bidi="ar-SA"/>
      </w:rPr>
    </w:lvl>
  </w:abstractNum>
  <w:abstractNum w:abstractNumId="36" w15:restartNumberingAfterBreak="0">
    <w:nsid w:val="5BE93A62"/>
    <w:multiLevelType w:val="hybridMultilevel"/>
    <w:tmpl w:val="40AC83B8"/>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E570C6D"/>
    <w:multiLevelType w:val="multilevel"/>
    <w:tmpl w:val="DC624F28"/>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4253B94"/>
    <w:multiLevelType w:val="hybridMultilevel"/>
    <w:tmpl w:val="A99AF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7190559"/>
    <w:multiLevelType w:val="hybridMultilevel"/>
    <w:tmpl w:val="8EDAD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72F49DE"/>
    <w:multiLevelType w:val="hybridMultilevel"/>
    <w:tmpl w:val="27880A6A"/>
    <w:lvl w:ilvl="0" w:tplc="D5AA593A">
      <w:numFmt w:val="bullet"/>
      <w:lvlText w:val="•"/>
      <w:lvlJc w:val="left"/>
      <w:pPr>
        <w:ind w:left="860" w:hanging="368"/>
      </w:pPr>
      <w:rPr>
        <w:rFonts w:ascii="Times New Roman" w:eastAsia="Times New Roman" w:hAnsi="Times New Roman" w:cs="Times New Roman" w:hint="default"/>
        <w:b w:val="0"/>
        <w:bCs w:val="0"/>
        <w:i w:val="0"/>
        <w:iCs w:val="0"/>
        <w:color w:val="080808"/>
        <w:w w:val="94"/>
        <w:sz w:val="23"/>
        <w:szCs w:val="23"/>
        <w:lang w:val="ru-RU" w:eastAsia="en-US" w:bidi="ar-SA"/>
      </w:rPr>
    </w:lvl>
    <w:lvl w:ilvl="1" w:tplc="619E5088">
      <w:numFmt w:val="bullet"/>
      <w:lvlText w:val="•"/>
      <w:lvlJc w:val="left"/>
      <w:pPr>
        <w:ind w:left="1023" w:hanging="368"/>
      </w:pPr>
      <w:rPr>
        <w:rFonts w:hint="default"/>
        <w:lang w:val="ru-RU" w:eastAsia="en-US" w:bidi="ar-SA"/>
      </w:rPr>
    </w:lvl>
    <w:lvl w:ilvl="2" w:tplc="FAE0F502">
      <w:numFmt w:val="bullet"/>
      <w:lvlText w:val="•"/>
      <w:lvlJc w:val="left"/>
      <w:pPr>
        <w:ind w:left="1187" w:hanging="368"/>
      </w:pPr>
      <w:rPr>
        <w:rFonts w:hint="default"/>
        <w:lang w:val="ru-RU" w:eastAsia="en-US" w:bidi="ar-SA"/>
      </w:rPr>
    </w:lvl>
    <w:lvl w:ilvl="3" w:tplc="F3A8F3E6">
      <w:numFmt w:val="bullet"/>
      <w:lvlText w:val="•"/>
      <w:lvlJc w:val="left"/>
      <w:pPr>
        <w:ind w:left="1351" w:hanging="368"/>
      </w:pPr>
      <w:rPr>
        <w:rFonts w:hint="default"/>
        <w:lang w:val="ru-RU" w:eastAsia="en-US" w:bidi="ar-SA"/>
      </w:rPr>
    </w:lvl>
    <w:lvl w:ilvl="4" w:tplc="6C14C420">
      <w:numFmt w:val="bullet"/>
      <w:lvlText w:val="•"/>
      <w:lvlJc w:val="left"/>
      <w:pPr>
        <w:ind w:left="1514" w:hanging="368"/>
      </w:pPr>
      <w:rPr>
        <w:rFonts w:hint="default"/>
        <w:lang w:val="ru-RU" w:eastAsia="en-US" w:bidi="ar-SA"/>
      </w:rPr>
    </w:lvl>
    <w:lvl w:ilvl="5" w:tplc="B72474C8">
      <w:numFmt w:val="bullet"/>
      <w:lvlText w:val="•"/>
      <w:lvlJc w:val="left"/>
      <w:pPr>
        <w:ind w:left="1678" w:hanging="368"/>
      </w:pPr>
      <w:rPr>
        <w:rFonts w:hint="default"/>
        <w:lang w:val="ru-RU" w:eastAsia="en-US" w:bidi="ar-SA"/>
      </w:rPr>
    </w:lvl>
    <w:lvl w:ilvl="6" w:tplc="9F42551C">
      <w:numFmt w:val="bullet"/>
      <w:lvlText w:val="•"/>
      <w:lvlJc w:val="left"/>
      <w:pPr>
        <w:ind w:left="1842" w:hanging="368"/>
      </w:pPr>
      <w:rPr>
        <w:rFonts w:hint="default"/>
        <w:lang w:val="ru-RU" w:eastAsia="en-US" w:bidi="ar-SA"/>
      </w:rPr>
    </w:lvl>
    <w:lvl w:ilvl="7" w:tplc="63788ED6">
      <w:numFmt w:val="bullet"/>
      <w:lvlText w:val="•"/>
      <w:lvlJc w:val="left"/>
      <w:pPr>
        <w:ind w:left="2005" w:hanging="368"/>
      </w:pPr>
      <w:rPr>
        <w:rFonts w:hint="default"/>
        <w:lang w:val="ru-RU" w:eastAsia="en-US" w:bidi="ar-SA"/>
      </w:rPr>
    </w:lvl>
    <w:lvl w:ilvl="8" w:tplc="383265D4">
      <w:numFmt w:val="bullet"/>
      <w:lvlText w:val="•"/>
      <w:lvlJc w:val="left"/>
      <w:pPr>
        <w:ind w:left="2169" w:hanging="368"/>
      </w:pPr>
      <w:rPr>
        <w:rFonts w:hint="default"/>
        <w:lang w:val="ru-RU" w:eastAsia="en-US" w:bidi="ar-SA"/>
      </w:rPr>
    </w:lvl>
  </w:abstractNum>
  <w:abstractNum w:abstractNumId="41" w15:restartNumberingAfterBreak="0">
    <w:nsid w:val="6F2B188D"/>
    <w:multiLevelType w:val="hybridMultilevel"/>
    <w:tmpl w:val="1040A72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2" w15:restartNumberingAfterBreak="0">
    <w:nsid w:val="6FD91FFD"/>
    <w:multiLevelType w:val="hybridMultilevel"/>
    <w:tmpl w:val="AB927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6684F47"/>
    <w:multiLevelType w:val="multilevel"/>
    <w:tmpl w:val="DBF49EF2"/>
    <w:lvl w:ilvl="0">
      <w:start w:val="1"/>
      <w:numFmt w:val="decimal"/>
      <w:pStyle w:val="10"/>
      <w:lvlText w:val="%1."/>
      <w:lvlJc w:val="left"/>
      <w:pPr>
        <w:ind w:left="1778" w:hanging="360"/>
      </w:pPr>
      <w:rPr>
        <w:rFonts w:hint="default"/>
      </w:rPr>
    </w:lvl>
    <w:lvl w:ilvl="1">
      <w:start w:val="1"/>
      <w:numFmt w:val="decimal"/>
      <w:pStyle w:val="11"/>
      <w:lvlText w:val="%1.%2."/>
      <w:lvlJc w:val="left"/>
      <w:pPr>
        <w:ind w:left="432" w:hanging="432"/>
      </w:pPr>
      <w:rPr>
        <w:rFonts w:hint="default"/>
      </w:rPr>
    </w:lvl>
    <w:lvl w:ilvl="2">
      <w:start w:val="4"/>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8826E51"/>
    <w:multiLevelType w:val="hybridMultilevel"/>
    <w:tmpl w:val="BA62EF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9690A40"/>
    <w:multiLevelType w:val="hybridMultilevel"/>
    <w:tmpl w:val="E99EE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ED3800"/>
    <w:multiLevelType w:val="hybridMultilevel"/>
    <w:tmpl w:val="2CD8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E4C6F92"/>
    <w:multiLevelType w:val="hybridMultilevel"/>
    <w:tmpl w:val="F2F67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num>
  <w:num w:numId="5">
    <w:abstractNumId w:val="13"/>
  </w:num>
  <w:num w:numId="6">
    <w:abstractNumId w:val="19"/>
  </w:num>
  <w:num w:numId="7">
    <w:abstractNumId w:val="46"/>
  </w:num>
  <w:num w:numId="8">
    <w:abstractNumId w:val="11"/>
  </w:num>
  <w:num w:numId="9">
    <w:abstractNumId w:val="3"/>
  </w:num>
  <w:num w:numId="10">
    <w:abstractNumId w:val="24"/>
  </w:num>
  <w:num w:numId="11">
    <w:abstractNumId w:val="39"/>
  </w:num>
  <w:num w:numId="12">
    <w:abstractNumId w:val="0"/>
  </w:num>
  <w:num w:numId="13">
    <w:abstractNumId w:val="7"/>
  </w:num>
  <w:num w:numId="14">
    <w:abstractNumId w:val="33"/>
  </w:num>
  <w:num w:numId="15">
    <w:abstractNumId w:val="36"/>
  </w:num>
  <w:num w:numId="16">
    <w:abstractNumId w:val="8"/>
  </w:num>
  <w:num w:numId="17">
    <w:abstractNumId w:val="6"/>
  </w:num>
  <w:num w:numId="18">
    <w:abstractNumId w:val="37"/>
  </w:num>
  <w:num w:numId="19">
    <w:abstractNumId w:val="30"/>
  </w:num>
  <w:num w:numId="20">
    <w:abstractNumId w:val="45"/>
  </w:num>
  <w:num w:numId="21">
    <w:abstractNumId w:val="25"/>
  </w:num>
  <w:num w:numId="22">
    <w:abstractNumId w:val="12"/>
  </w:num>
  <w:num w:numId="23">
    <w:abstractNumId w:val="17"/>
  </w:num>
  <w:num w:numId="24">
    <w:abstractNumId w:val="32"/>
  </w:num>
  <w:num w:numId="25">
    <w:abstractNumId w:val="44"/>
  </w:num>
  <w:num w:numId="26">
    <w:abstractNumId w:val="41"/>
  </w:num>
  <w:num w:numId="27">
    <w:abstractNumId w:val="1"/>
  </w:num>
  <w:num w:numId="28">
    <w:abstractNumId w:val="38"/>
  </w:num>
  <w:num w:numId="29">
    <w:abstractNumId w:val="40"/>
  </w:num>
  <w:num w:numId="30">
    <w:abstractNumId w:val="35"/>
  </w:num>
  <w:num w:numId="31">
    <w:abstractNumId w:val="4"/>
  </w:num>
  <w:num w:numId="32">
    <w:abstractNumId w:val="16"/>
  </w:num>
  <w:num w:numId="33">
    <w:abstractNumId w:val="5"/>
  </w:num>
  <w:num w:numId="34">
    <w:abstractNumId w:val="47"/>
  </w:num>
  <w:num w:numId="35">
    <w:abstractNumId w:val="23"/>
  </w:num>
  <w:num w:numId="36">
    <w:abstractNumId w:val="31"/>
  </w:num>
  <w:num w:numId="37">
    <w:abstractNumId w:val="29"/>
  </w:num>
  <w:num w:numId="38">
    <w:abstractNumId w:val="15"/>
  </w:num>
  <w:num w:numId="39">
    <w:abstractNumId w:val="21"/>
  </w:num>
  <w:num w:numId="40">
    <w:abstractNumId w:val="9"/>
  </w:num>
  <w:num w:numId="41">
    <w:abstractNumId w:val="2"/>
  </w:num>
  <w:num w:numId="42">
    <w:abstractNumId w:val="14"/>
  </w:num>
  <w:num w:numId="43">
    <w:abstractNumId w:val="26"/>
  </w:num>
  <w:num w:numId="44">
    <w:abstractNumId w:val="20"/>
  </w:num>
  <w:num w:numId="45">
    <w:abstractNumId w:val="42"/>
  </w:num>
  <w:num w:numId="46">
    <w:abstractNumId w:val="28"/>
  </w:num>
  <w:num w:numId="47">
    <w:abstractNumId w:val="22"/>
  </w:num>
  <w:num w:numId="48">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64"/>
    <w:rsid w:val="00000011"/>
    <w:rsid w:val="00001212"/>
    <w:rsid w:val="0000147D"/>
    <w:rsid w:val="00001690"/>
    <w:rsid w:val="00001B0B"/>
    <w:rsid w:val="00001BDB"/>
    <w:rsid w:val="00001C4E"/>
    <w:rsid w:val="00002443"/>
    <w:rsid w:val="000027F0"/>
    <w:rsid w:val="00002B8B"/>
    <w:rsid w:val="000033BF"/>
    <w:rsid w:val="000039A0"/>
    <w:rsid w:val="0000471C"/>
    <w:rsid w:val="000047F3"/>
    <w:rsid w:val="00004C0C"/>
    <w:rsid w:val="000050B9"/>
    <w:rsid w:val="000054E2"/>
    <w:rsid w:val="00005644"/>
    <w:rsid w:val="00005E88"/>
    <w:rsid w:val="00006059"/>
    <w:rsid w:val="00006D23"/>
    <w:rsid w:val="00006DD4"/>
    <w:rsid w:val="00007879"/>
    <w:rsid w:val="00007BA5"/>
    <w:rsid w:val="000108BC"/>
    <w:rsid w:val="0001162A"/>
    <w:rsid w:val="000125BA"/>
    <w:rsid w:val="0001273E"/>
    <w:rsid w:val="00012A90"/>
    <w:rsid w:val="000139E5"/>
    <w:rsid w:val="00014CAE"/>
    <w:rsid w:val="00014DB5"/>
    <w:rsid w:val="00015441"/>
    <w:rsid w:val="0001594F"/>
    <w:rsid w:val="00015DE8"/>
    <w:rsid w:val="00015FB5"/>
    <w:rsid w:val="00016423"/>
    <w:rsid w:val="00016944"/>
    <w:rsid w:val="000175CB"/>
    <w:rsid w:val="0002045C"/>
    <w:rsid w:val="000204DF"/>
    <w:rsid w:val="00020D43"/>
    <w:rsid w:val="00021CB7"/>
    <w:rsid w:val="000222E6"/>
    <w:rsid w:val="000227F4"/>
    <w:rsid w:val="000232D1"/>
    <w:rsid w:val="0002347F"/>
    <w:rsid w:val="000236FF"/>
    <w:rsid w:val="00023835"/>
    <w:rsid w:val="00023B50"/>
    <w:rsid w:val="0002540B"/>
    <w:rsid w:val="0002546E"/>
    <w:rsid w:val="000255F3"/>
    <w:rsid w:val="00026755"/>
    <w:rsid w:val="00026CE6"/>
    <w:rsid w:val="000275F3"/>
    <w:rsid w:val="00027CCE"/>
    <w:rsid w:val="00031B65"/>
    <w:rsid w:val="00032826"/>
    <w:rsid w:val="0003322F"/>
    <w:rsid w:val="000335ED"/>
    <w:rsid w:val="00033D39"/>
    <w:rsid w:val="00033D6B"/>
    <w:rsid w:val="00034136"/>
    <w:rsid w:val="00034298"/>
    <w:rsid w:val="0003513C"/>
    <w:rsid w:val="000351D9"/>
    <w:rsid w:val="0003556A"/>
    <w:rsid w:val="000356E4"/>
    <w:rsid w:val="00035FD8"/>
    <w:rsid w:val="0003611D"/>
    <w:rsid w:val="0003615F"/>
    <w:rsid w:val="00036506"/>
    <w:rsid w:val="000371C1"/>
    <w:rsid w:val="00037364"/>
    <w:rsid w:val="000379C5"/>
    <w:rsid w:val="00040004"/>
    <w:rsid w:val="00040485"/>
    <w:rsid w:val="000407C8"/>
    <w:rsid w:val="0004095C"/>
    <w:rsid w:val="00040AD6"/>
    <w:rsid w:val="00040BAF"/>
    <w:rsid w:val="00040BFF"/>
    <w:rsid w:val="00040F40"/>
    <w:rsid w:val="000412C0"/>
    <w:rsid w:val="00041586"/>
    <w:rsid w:val="000418CA"/>
    <w:rsid w:val="00041FBD"/>
    <w:rsid w:val="0004213E"/>
    <w:rsid w:val="0004220D"/>
    <w:rsid w:val="00042226"/>
    <w:rsid w:val="0004243C"/>
    <w:rsid w:val="0004273B"/>
    <w:rsid w:val="0004297C"/>
    <w:rsid w:val="00042B37"/>
    <w:rsid w:val="00042E1D"/>
    <w:rsid w:val="0004378C"/>
    <w:rsid w:val="0004381C"/>
    <w:rsid w:val="000438D5"/>
    <w:rsid w:val="00043A77"/>
    <w:rsid w:val="00043D31"/>
    <w:rsid w:val="00044D6C"/>
    <w:rsid w:val="0004596F"/>
    <w:rsid w:val="00045C00"/>
    <w:rsid w:val="00045CA8"/>
    <w:rsid w:val="00046160"/>
    <w:rsid w:val="00046717"/>
    <w:rsid w:val="0004673E"/>
    <w:rsid w:val="00046DBE"/>
    <w:rsid w:val="00046FB8"/>
    <w:rsid w:val="00047FE3"/>
    <w:rsid w:val="0005124B"/>
    <w:rsid w:val="00052E18"/>
    <w:rsid w:val="00052E9A"/>
    <w:rsid w:val="00053099"/>
    <w:rsid w:val="000530A0"/>
    <w:rsid w:val="00054352"/>
    <w:rsid w:val="0005465B"/>
    <w:rsid w:val="00054AC9"/>
    <w:rsid w:val="00054ACA"/>
    <w:rsid w:val="00054B3C"/>
    <w:rsid w:val="00054E11"/>
    <w:rsid w:val="00055713"/>
    <w:rsid w:val="00055777"/>
    <w:rsid w:val="00057425"/>
    <w:rsid w:val="00057DD6"/>
    <w:rsid w:val="000607F0"/>
    <w:rsid w:val="0006109A"/>
    <w:rsid w:val="0006251A"/>
    <w:rsid w:val="00062A47"/>
    <w:rsid w:val="00062C0D"/>
    <w:rsid w:val="000635FB"/>
    <w:rsid w:val="00063E7F"/>
    <w:rsid w:val="0006421D"/>
    <w:rsid w:val="000644D0"/>
    <w:rsid w:val="00065D44"/>
    <w:rsid w:val="00066301"/>
    <w:rsid w:val="00066B07"/>
    <w:rsid w:val="0006721D"/>
    <w:rsid w:val="00067FE5"/>
    <w:rsid w:val="000712C9"/>
    <w:rsid w:val="0007201B"/>
    <w:rsid w:val="00074723"/>
    <w:rsid w:val="0007476F"/>
    <w:rsid w:val="00074904"/>
    <w:rsid w:val="00074FEF"/>
    <w:rsid w:val="000750AC"/>
    <w:rsid w:val="00075C1F"/>
    <w:rsid w:val="00075F2A"/>
    <w:rsid w:val="00076B6B"/>
    <w:rsid w:val="000774CA"/>
    <w:rsid w:val="00077C10"/>
    <w:rsid w:val="00077C26"/>
    <w:rsid w:val="00077E57"/>
    <w:rsid w:val="00080229"/>
    <w:rsid w:val="000804A1"/>
    <w:rsid w:val="000814C6"/>
    <w:rsid w:val="00081D65"/>
    <w:rsid w:val="0008254F"/>
    <w:rsid w:val="000825B2"/>
    <w:rsid w:val="00082AFE"/>
    <w:rsid w:val="00082DE6"/>
    <w:rsid w:val="0008318B"/>
    <w:rsid w:val="00083F9D"/>
    <w:rsid w:val="0008437E"/>
    <w:rsid w:val="0008466F"/>
    <w:rsid w:val="000846A0"/>
    <w:rsid w:val="00085301"/>
    <w:rsid w:val="00085629"/>
    <w:rsid w:val="0008682A"/>
    <w:rsid w:val="00086C50"/>
    <w:rsid w:val="00086DF0"/>
    <w:rsid w:val="00087425"/>
    <w:rsid w:val="000875C9"/>
    <w:rsid w:val="00087856"/>
    <w:rsid w:val="00087936"/>
    <w:rsid w:val="00087ADC"/>
    <w:rsid w:val="00087AE6"/>
    <w:rsid w:val="00087E16"/>
    <w:rsid w:val="000901F1"/>
    <w:rsid w:val="00090FF9"/>
    <w:rsid w:val="00091E18"/>
    <w:rsid w:val="0009226D"/>
    <w:rsid w:val="00092835"/>
    <w:rsid w:val="0009294A"/>
    <w:rsid w:val="00093197"/>
    <w:rsid w:val="00093D2F"/>
    <w:rsid w:val="00094223"/>
    <w:rsid w:val="00094508"/>
    <w:rsid w:val="0009455B"/>
    <w:rsid w:val="00094BA7"/>
    <w:rsid w:val="0009565A"/>
    <w:rsid w:val="000958E0"/>
    <w:rsid w:val="000958ED"/>
    <w:rsid w:val="00095D49"/>
    <w:rsid w:val="0009648F"/>
    <w:rsid w:val="00096CCC"/>
    <w:rsid w:val="00097512"/>
    <w:rsid w:val="000977B3"/>
    <w:rsid w:val="00097A53"/>
    <w:rsid w:val="00097F8A"/>
    <w:rsid w:val="00097F8F"/>
    <w:rsid w:val="00097FCE"/>
    <w:rsid w:val="000A2222"/>
    <w:rsid w:val="000A3943"/>
    <w:rsid w:val="000A4403"/>
    <w:rsid w:val="000A51A1"/>
    <w:rsid w:val="000A52C5"/>
    <w:rsid w:val="000A53A6"/>
    <w:rsid w:val="000A57C9"/>
    <w:rsid w:val="000A5C9A"/>
    <w:rsid w:val="000A71FC"/>
    <w:rsid w:val="000A74C0"/>
    <w:rsid w:val="000B009B"/>
    <w:rsid w:val="000B015B"/>
    <w:rsid w:val="000B02B2"/>
    <w:rsid w:val="000B065F"/>
    <w:rsid w:val="000B1920"/>
    <w:rsid w:val="000B25D6"/>
    <w:rsid w:val="000B2916"/>
    <w:rsid w:val="000B2DDC"/>
    <w:rsid w:val="000B2FFC"/>
    <w:rsid w:val="000B3228"/>
    <w:rsid w:val="000B34F7"/>
    <w:rsid w:val="000B35B6"/>
    <w:rsid w:val="000B39E1"/>
    <w:rsid w:val="000B3E26"/>
    <w:rsid w:val="000B414E"/>
    <w:rsid w:val="000B4712"/>
    <w:rsid w:val="000B4C37"/>
    <w:rsid w:val="000B51C7"/>
    <w:rsid w:val="000B565E"/>
    <w:rsid w:val="000B60DF"/>
    <w:rsid w:val="000B6428"/>
    <w:rsid w:val="000B67D2"/>
    <w:rsid w:val="000B696F"/>
    <w:rsid w:val="000B69EF"/>
    <w:rsid w:val="000B6B06"/>
    <w:rsid w:val="000B78D3"/>
    <w:rsid w:val="000B7983"/>
    <w:rsid w:val="000B7EF2"/>
    <w:rsid w:val="000C06A0"/>
    <w:rsid w:val="000C117E"/>
    <w:rsid w:val="000C12C8"/>
    <w:rsid w:val="000C17B7"/>
    <w:rsid w:val="000C291B"/>
    <w:rsid w:val="000C2C6B"/>
    <w:rsid w:val="000C2C7C"/>
    <w:rsid w:val="000C2E6C"/>
    <w:rsid w:val="000C2FE7"/>
    <w:rsid w:val="000C33F5"/>
    <w:rsid w:val="000C354D"/>
    <w:rsid w:val="000C3608"/>
    <w:rsid w:val="000C37CF"/>
    <w:rsid w:val="000C43B5"/>
    <w:rsid w:val="000C4BB3"/>
    <w:rsid w:val="000C4D7F"/>
    <w:rsid w:val="000C576B"/>
    <w:rsid w:val="000C6365"/>
    <w:rsid w:val="000C6594"/>
    <w:rsid w:val="000C68EA"/>
    <w:rsid w:val="000C6E1B"/>
    <w:rsid w:val="000C700F"/>
    <w:rsid w:val="000C71CB"/>
    <w:rsid w:val="000C732A"/>
    <w:rsid w:val="000D022D"/>
    <w:rsid w:val="000D02D2"/>
    <w:rsid w:val="000D0307"/>
    <w:rsid w:val="000D031D"/>
    <w:rsid w:val="000D05BE"/>
    <w:rsid w:val="000D0844"/>
    <w:rsid w:val="000D0F05"/>
    <w:rsid w:val="000D184A"/>
    <w:rsid w:val="000D30DC"/>
    <w:rsid w:val="000D3537"/>
    <w:rsid w:val="000D3866"/>
    <w:rsid w:val="000D40C1"/>
    <w:rsid w:val="000D493D"/>
    <w:rsid w:val="000D4DA2"/>
    <w:rsid w:val="000D54D4"/>
    <w:rsid w:val="000D54F4"/>
    <w:rsid w:val="000D5549"/>
    <w:rsid w:val="000D5A5B"/>
    <w:rsid w:val="000D5AF2"/>
    <w:rsid w:val="000D5EC2"/>
    <w:rsid w:val="000D665B"/>
    <w:rsid w:val="000D721D"/>
    <w:rsid w:val="000D72AF"/>
    <w:rsid w:val="000D7DEA"/>
    <w:rsid w:val="000E05C3"/>
    <w:rsid w:val="000E07C1"/>
    <w:rsid w:val="000E07D9"/>
    <w:rsid w:val="000E2159"/>
    <w:rsid w:val="000E2263"/>
    <w:rsid w:val="000E2517"/>
    <w:rsid w:val="000E26AA"/>
    <w:rsid w:val="000E281C"/>
    <w:rsid w:val="000E284F"/>
    <w:rsid w:val="000E2C49"/>
    <w:rsid w:val="000E30EF"/>
    <w:rsid w:val="000E3911"/>
    <w:rsid w:val="000E4353"/>
    <w:rsid w:val="000E44D0"/>
    <w:rsid w:val="000E4F46"/>
    <w:rsid w:val="000E5281"/>
    <w:rsid w:val="000E53F8"/>
    <w:rsid w:val="000E5C4F"/>
    <w:rsid w:val="000E60F3"/>
    <w:rsid w:val="000E64BF"/>
    <w:rsid w:val="000E65D2"/>
    <w:rsid w:val="000E6638"/>
    <w:rsid w:val="000E66E5"/>
    <w:rsid w:val="000E68DC"/>
    <w:rsid w:val="000E7174"/>
    <w:rsid w:val="000F033D"/>
    <w:rsid w:val="000F0B5B"/>
    <w:rsid w:val="000F0D35"/>
    <w:rsid w:val="000F298A"/>
    <w:rsid w:val="000F29E4"/>
    <w:rsid w:val="000F378C"/>
    <w:rsid w:val="000F3C81"/>
    <w:rsid w:val="000F4255"/>
    <w:rsid w:val="000F43D2"/>
    <w:rsid w:val="000F4C27"/>
    <w:rsid w:val="000F4FE4"/>
    <w:rsid w:val="000F5D3C"/>
    <w:rsid w:val="000F6082"/>
    <w:rsid w:val="000F6B1E"/>
    <w:rsid w:val="000F6CCF"/>
    <w:rsid w:val="000F6F6E"/>
    <w:rsid w:val="000F74BE"/>
    <w:rsid w:val="000F77B8"/>
    <w:rsid w:val="000F7C2F"/>
    <w:rsid w:val="00101165"/>
    <w:rsid w:val="0010167D"/>
    <w:rsid w:val="00101FFC"/>
    <w:rsid w:val="0010203A"/>
    <w:rsid w:val="0010272B"/>
    <w:rsid w:val="0010366C"/>
    <w:rsid w:val="00103805"/>
    <w:rsid w:val="00103A50"/>
    <w:rsid w:val="001047B1"/>
    <w:rsid w:val="001054EA"/>
    <w:rsid w:val="0010578D"/>
    <w:rsid w:val="00105893"/>
    <w:rsid w:val="0010671C"/>
    <w:rsid w:val="00106A54"/>
    <w:rsid w:val="00106AB7"/>
    <w:rsid w:val="00106D33"/>
    <w:rsid w:val="00110422"/>
    <w:rsid w:val="00110C51"/>
    <w:rsid w:val="001114E0"/>
    <w:rsid w:val="001117FB"/>
    <w:rsid w:val="00111BC4"/>
    <w:rsid w:val="00111F7B"/>
    <w:rsid w:val="00112BAF"/>
    <w:rsid w:val="00112FA0"/>
    <w:rsid w:val="00113100"/>
    <w:rsid w:val="00113B7E"/>
    <w:rsid w:val="00113CFD"/>
    <w:rsid w:val="00114668"/>
    <w:rsid w:val="00114F2D"/>
    <w:rsid w:val="001162DD"/>
    <w:rsid w:val="0011678E"/>
    <w:rsid w:val="00116DE4"/>
    <w:rsid w:val="00116E77"/>
    <w:rsid w:val="0011725B"/>
    <w:rsid w:val="00117BF8"/>
    <w:rsid w:val="00117CD5"/>
    <w:rsid w:val="00117ECA"/>
    <w:rsid w:val="001207BE"/>
    <w:rsid w:val="001207DC"/>
    <w:rsid w:val="00120C1C"/>
    <w:rsid w:val="0012125D"/>
    <w:rsid w:val="0012177A"/>
    <w:rsid w:val="001217CC"/>
    <w:rsid w:val="0012234E"/>
    <w:rsid w:val="00122975"/>
    <w:rsid w:val="00123BF7"/>
    <w:rsid w:val="00124BB6"/>
    <w:rsid w:val="00124E5A"/>
    <w:rsid w:val="0012593E"/>
    <w:rsid w:val="00125D48"/>
    <w:rsid w:val="00125DA9"/>
    <w:rsid w:val="00126037"/>
    <w:rsid w:val="00126547"/>
    <w:rsid w:val="00126A9F"/>
    <w:rsid w:val="00126AC7"/>
    <w:rsid w:val="00126C54"/>
    <w:rsid w:val="00126CD4"/>
    <w:rsid w:val="00126DFF"/>
    <w:rsid w:val="001272F9"/>
    <w:rsid w:val="00127D69"/>
    <w:rsid w:val="00130274"/>
    <w:rsid w:val="00130DF6"/>
    <w:rsid w:val="0013111B"/>
    <w:rsid w:val="00131704"/>
    <w:rsid w:val="00131FB7"/>
    <w:rsid w:val="001320B9"/>
    <w:rsid w:val="00132613"/>
    <w:rsid w:val="00133217"/>
    <w:rsid w:val="0013413F"/>
    <w:rsid w:val="001341EB"/>
    <w:rsid w:val="00134469"/>
    <w:rsid w:val="00134580"/>
    <w:rsid w:val="00134FD6"/>
    <w:rsid w:val="001353FC"/>
    <w:rsid w:val="00135736"/>
    <w:rsid w:val="001357E1"/>
    <w:rsid w:val="001357FF"/>
    <w:rsid w:val="0013590D"/>
    <w:rsid w:val="00135B64"/>
    <w:rsid w:val="00135B70"/>
    <w:rsid w:val="00136011"/>
    <w:rsid w:val="00136DA7"/>
    <w:rsid w:val="001376BC"/>
    <w:rsid w:val="0013788B"/>
    <w:rsid w:val="0013791D"/>
    <w:rsid w:val="00137A99"/>
    <w:rsid w:val="00140FF0"/>
    <w:rsid w:val="00141358"/>
    <w:rsid w:val="00141548"/>
    <w:rsid w:val="00141F58"/>
    <w:rsid w:val="00142421"/>
    <w:rsid w:val="0014269E"/>
    <w:rsid w:val="00142DDD"/>
    <w:rsid w:val="00143E65"/>
    <w:rsid w:val="0014478B"/>
    <w:rsid w:val="00144D33"/>
    <w:rsid w:val="00144DAC"/>
    <w:rsid w:val="00144E1D"/>
    <w:rsid w:val="00145A1E"/>
    <w:rsid w:val="00145B9C"/>
    <w:rsid w:val="00145F85"/>
    <w:rsid w:val="0014661D"/>
    <w:rsid w:val="0014689C"/>
    <w:rsid w:val="00147327"/>
    <w:rsid w:val="001474E8"/>
    <w:rsid w:val="00150014"/>
    <w:rsid w:val="0015044F"/>
    <w:rsid w:val="00150890"/>
    <w:rsid w:val="001508AF"/>
    <w:rsid w:val="00150DF0"/>
    <w:rsid w:val="001514E9"/>
    <w:rsid w:val="001518CC"/>
    <w:rsid w:val="00152EA4"/>
    <w:rsid w:val="00153177"/>
    <w:rsid w:val="0015381A"/>
    <w:rsid w:val="00153C05"/>
    <w:rsid w:val="00154240"/>
    <w:rsid w:val="00154379"/>
    <w:rsid w:val="001546CC"/>
    <w:rsid w:val="001547B1"/>
    <w:rsid w:val="00154BD5"/>
    <w:rsid w:val="001558B0"/>
    <w:rsid w:val="00156465"/>
    <w:rsid w:val="001564A1"/>
    <w:rsid w:val="00156725"/>
    <w:rsid w:val="001568A5"/>
    <w:rsid w:val="001569DB"/>
    <w:rsid w:val="00157340"/>
    <w:rsid w:val="001579FF"/>
    <w:rsid w:val="00157A17"/>
    <w:rsid w:val="00157B2D"/>
    <w:rsid w:val="00160C0C"/>
    <w:rsid w:val="00161966"/>
    <w:rsid w:val="00161F13"/>
    <w:rsid w:val="00162B68"/>
    <w:rsid w:val="0016322C"/>
    <w:rsid w:val="00163389"/>
    <w:rsid w:val="00165908"/>
    <w:rsid w:val="001669F8"/>
    <w:rsid w:val="00166A0E"/>
    <w:rsid w:val="00166AE1"/>
    <w:rsid w:val="00166B20"/>
    <w:rsid w:val="0016723E"/>
    <w:rsid w:val="00167477"/>
    <w:rsid w:val="00167CBD"/>
    <w:rsid w:val="00167CD8"/>
    <w:rsid w:val="00170901"/>
    <w:rsid w:val="00170A5D"/>
    <w:rsid w:val="00171052"/>
    <w:rsid w:val="0017123D"/>
    <w:rsid w:val="001715A0"/>
    <w:rsid w:val="00171708"/>
    <w:rsid w:val="001719AA"/>
    <w:rsid w:val="00171D98"/>
    <w:rsid w:val="0017244F"/>
    <w:rsid w:val="00174B01"/>
    <w:rsid w:val="00174B7D"/>
    <w:rsid w:val="0017536E"/>
    <w:rsid w:val="00175414"/>
    <w:rsid w:val="00175830"/>
    <w:rsid w:val="00175C1B"/>
    <w:rsid w:val="0017715E"/>
    <w:rsid w:val="00177357"/>
    <w:rsid w:val="001809F2"/>
    <w:rsid w:val="00181305"/>
    <w:rsid w:val="001818A3"/>
    <w:rsid w:val="001830CB"/>
    <w:rsid w:val="0018352B"/>
    <w:rsid w:val="00183C16"/>
    <w:rsid w:val="001840CE"/>
    <w:rsid w:val="00184102"/>
    <w:rsid w:val="00184815"/>
    <w:rsid w:val="00184A7E"/>
    <w:rsid w:val="00184AA4"/>
    <w:rsid w:val="00184AE7"/>
    <w:rsid w:val="00184D29"/>
    <w:rsid w:val="001858BB"/>
    <w:rsid w:val="00185F94"/>
    <w:rsid w:val="00186632"/>
    <w:rsid w:val="00186D08"/>
    <w:rsid w:val="001874D4"/>
    <w:rsid w:val="00190C78"/>
    <w:rsid w:val="001913E6"/>
    <w:rsid w:val="00192528"/>
    <w:rsid w:val="0019273B"/>
    <w:rsid w:val="001927FB"/>
    <w:rsid w:val="00192F88"/>
    <w:rsid w:val="0019351A"/>
    <w:rsid w:val="0019362C"/>
    <w:rsid w:val="00193A32"/>
    <w:rsid w:val="00194739"/>
    <w:rsid w:val="00194962"/>
    <w:rsid w:val="00194A6A"/>
    <w:rsid w:val="00195057"/>
    <w:rsid w:val="00195552"/>
    <w:rsid w:val="00195B2F"/>
    <w:rsid w:val="00195D1F"/>
    <w:rsid w:val="00195DD1"/>
    <w:rsid w:val="00196420"/>
    <w:rsid w:val="001964CB"/>
    <w:rsid w:val="001A04D3"/>
    <w:rsid w:val="001A0CC2"/>
    <w:rsid w:val="001A1116"/>
    <w:rsid w:val="001A133E"/>
    <w:rsid w:val="001A17B2"/>
    <w:rsid w:val="001A1B3F"/>
    <w:rsid w:val="001A254C"/>
    <w:rsid w:val="001A255F"/>
    <w:rsid w:val="001A2932"/>
    <w:rsid w:val="001A311F"/>
    <w:rsid w:val="001A3F14"/>
    <w:rsid w:val="001A3FB8"/>
    <w:rsid w:val="001A4539"/>
    <w:rsid w:val="001A48B1"/>
    <w:rsid w:val="001A4BFD"/>
    <w:rsid w:val="001A4CF3"/>
    <w:rsid w:val="001A4DB7"/>
    <w:rsid w:val="001A4E91"/>
    <w:rsid w:val="001A5136"/>
    <w:rsid w:val="001A63E9"/>
    <w:rsid w:val="001A66A6"/>
    <w:rsid w:val="001A694A"/>
    <w:rsid w:val="001A6A0B"/>
    <w:rsid w:val="001A6C47"/>
    <w:rsid w:val="001A7035"/>
    <w:rsid w:val="001A7516"/>
    <w:rsid w:val="001A7A1A"/>
    <w:rsid w:val="001B05F8"/>
    <w:rsid w:val="001B069B"/>
    <w:rsid w:val="001B087B"/>
    <w:rsid w:val="001B0936"/>
    <w:rsid w:val="001B0C1F"/>
    <w:rsid w:val="001B0DCC"/>
    <w:rsid w:val="001B0EDF"/>
    <w:rsid w:val="001B13AE"/>
    <w:rsid w:val="001B1959"/>
    <w:rsid w:val="001B1AB7"/>
    <w:rsid w:val="001B1D49"/>
    <w:rsid w:val="001B2117"/>
    <w:rsid w:val="001B3989"/>
    <w:rsid w:val="001B39D1"/>
    <w:rsid w:val="001B4428"/>
    <w:rsid w:val="001B457A"/>
    <w:rsid w:val="001B4661"/>
    <w:rsid w:val="001B491C"/>
    <w:rsid w:val="001B4EAC"/>
    <w:rsid w:val="001B5BFC"/>
    <w:rsid w:val="001B5F59"/>
    <w:rsid w:val="001B6133"/>
    <w:rsid w:val="001B63C5"/>
    <w:rsid w:val="001B650A"/>
    <w:rsid w:val="001B7474"/>
    <w:rsid w:val="001B747B"/>
    <w:rsid w:val="001B7A03"/>
    <w:rsid w:val="001C08B7"/>
    <w:rsid w:val="001C1092"/>
    <w:rsid w:val="001C1333"/>
    <w:rsid w:val="001C18F1"/>
    <w:rsid w:val="001C2147"/>
    <w:rsid w:val="001C2804"/>
    <w:rsid w:val="001C303E"/>
    <w:rsid w:val="001C31BE"/>
    <w:rsid w:val="001C3CB5"/>
    <w:rsid w:val="001C3F73"/>
    <w:rsid w:val="001C3F8C"/>
    <w:rsid w:val="001C413F"/>
    <w:rsid w:val="001C414F"/>
    <w:rsid w:val="001C426B"/>
    <w:rsid w:val="001C452E"/>
    <w:rsid w:val="001C6008"/>
    <w:rsid w:val="001C749C"/>
    <w:rsid w:val="001C7C81"/>
    <w:rsid w:val="001D01DC"/>
    <w:rsid w:val="001D0852"/>
    <w:rsid w:val="001D0E8D"/>
    <w:rsid w:val="001D1142"/>
    <w:rsid w:val="001D138E"/>
    <w:rsid w:val="001D1A0F"/>
    <w:rsid w:val="001D1B28"/>
    <w:rsid w:val="001D2DA4"/>
    <w:rsid w:val="001D368D"/>
    <w:rsid w:val="001D465F"/>
    <w:rsid w:val="001D4C32"/>
    <w:rsid w:val="001D508E"/>
    <w:rsid w:val="001D5730"/>
    <w:rsid w:val="001D5F1D"/>
    <w:rsid w:val="001D680F"/>
    <w:rsid w:val="001D6A8F"/>
    <w:rsid w:val="001D6ADC"/>
    <w:rsid w:val="001D77AD"/>
    <w:rsid w:val="001E0415"/>
    <w:rsid w:val="001E078D"/>
    <w:rsid w:val="001E180D"/>
    <w:rsid w:val="001E238B"/>
    <w:rsid w:val="001E24BF"/>
    <w:rsid w:val="001E2EDA"/>
    <w:rsid w:val="001E3712"/>
    <w:rsid w:val="001E3E70"/>
    <w:rsid w:val="001E3FE1"/>
    <w:rsid w:val="001E4BE5"/>
    <w:rsid w:val="001E4F6E"/>
    <w:rsid w:val="001E5678"/>
    <w:rsid w:val="001E5C52"/>
    <w:rsid w:val="001E6191"/>
    <w:rsid w:val="001E6DA4"/>
    <w:rsid w:val="001E7928"/>
    <w:rsid w:val="001E7B10"/>
    <w:rsid w:val="001F00C7"/>
    <w:rsid w:val="001F057F"/>
    <w:rsid w:val="001F11A9"/>
    <w:rsid w:val="001F12C9"/>
    <w:rsid w:val="001F2019"/>
    <w:rsid w:val="001F226C"/>
    <w:rsid w:val="001F2B33"/>
    <w:rsid w:val="001F2C91"/>
    <w:rsid w:val="001F320E"/>
    <w:rsid w:val="001F36E9"/>
    <w:rsid w:val="001F3AAE"/>
    <w:rsid w:val="001F5135"/>
    <w:rsid w:val="001F7441"/>
    <w:rsid w:val="001F74AF"/>
    <w:rsid w:val="001F74FE"/>
    <w:rsid w:val="001F7A3C"/>
    <w:rsid w:val="001F7C84"/>
    <w:rsid w:val="002002AA"/>
    <w:rsid w:val="002002E8"/>
    <w:rsid w:val="00200EBA"/>
    <w:rsid w:val="0020194A"/>
    <w:rsid w:val="00201AC9"/>
    <w:rsid w:val="00201BB7"/>
    <w:rsid w:val="00201DAC"/>
    <w:rsid w:val="002023C0"/>
    <w:rsid w:val="00202A24"/>
    <w:rsid w:val="00202EF1"/>
    <w:rsid w:val="0020316C"/>
    <w:rsid w:val="002033C5"/>
    <w:rsid w:val="002033D4"/>
    <w:rsid w:val="002036F0"/>
    <w:rsid w:val="00203B8B"/>
    <w:rsid w:val="00203C36"/>
    <w:rsid w:val="00203FF9"/>
    <w:rsid w:val="0020411B"/>
    <w:rsid w:val="0020468E"/>
    <w:rsid w:val="002046CB"/>
    <w:rsid w:val="00204926"/>
    <w:rsid w:val="00205406"/>
    <w:rsid w:val="00205515"/>
    <w:rsid w:val="00205CCB"/>
    <w:rsid w:val="00206C44"/>
    <w:rsid w:val="00207789"/>
    <w:rsid w:val="00210CF5"/>
    <w:rsid w:val="00211456"/>
    <w:rsid w:val="002116C0"/>
    <w:rsid w:val="0021251A"/>
    <w:rsid w:val="00213FEC"/>
    <w:rsid w:val="00214324"/>
    <w:rsid w:val="00214957"/>
    <w:rsid w:val="00214C68"/>
    <w:rsid w:val="00214EEE"/>
    <w:rsid w:val="00215186"/>
    <w:rsid w:val="0021533A"/>
    <w:rsid w:val="00215B69"/>
    <w:rsid w:val="00216079"/>
    <w:rsid w:val="0021658D"/>
    <w:rsid w:val="002165DD"/>
    <w:rsid w:val="002165ED"/>
    <w:rsid w:val="0021733B"/>
    <w:rsid w:val="00217FBC"/>
    <w:rsid w:val="00220511"/>
    <w:rsid w:val="002206B4"/>
    <w:rsid w:val="002211BA"/>
    <w:rsid w:val="002214F7"/>
    <w:rsid w:val="00221E23"/>
    <w:rsid w:val="0022207E"/>
    <w:rsid w:val="002225F5"/>
    <w:rsid w:val="00222A71"/>
    <w:rsid w:val="00222E79"/>
    <w:rsid w:val="00222F1F"/>
    <w:rsid w:val="0022398E"/>
    <w:rsid w:val="002239A7"/>
    <w:rsid w:val="00223B37"/>
    <w:rsid w:val="00223D14"/>
    <w:rsid w:val="0022428A"/>
    <w:rsid w:val="002251E0"/>
    <w:rsid w:val="00225497"/>
    <w:rsid w:val="00225ABA"/>
    <w:rsid w:val="00226707"/>
    <w:rsid w:val="0022743F"/>
    <w:rsid w:val="0022745F"/>
    <w:rsid w:val="00227CA6"/>
    <w:rsid w:val="00227E1C"/>
    <w:rsid w:val="00230027"/>
    <w:rsid w:val="00231F5C"/>
    <w:rsid w:val="00232045"/>
    <w:rsid w:val="0023211B"/>
    <w:rsid w:val="00232CEB"/>
    <w:rsid w:val="00233C70"/>
    <w:rsid w:val="00233EAA"/>
    <w:rsid w:val="00234D97"/>
    <w:rsid w:val="002356EB"/>
    <w:rsid w:val="00235A12"/>
    <w:rsid w:val="00236167"/>
    <w:rsid w:val="00236E13"/>
    <w:rsid w:val="00236EE3"/>
    <w:rsid w:val="0023786B"/>
    <w:rsid w:val="00237D1D"/>
    <w:rsid w:val="002408D5"/>
    <w:rsid w:val="00241247"/>
    <w:rsid w:val="00241C63"/>
    <w:rsid w:val="00242206"/>
    <w:rsid w:val="00242209"/>
    <w:rsid w:val="002424DB"/>
    <w:rsid w:val="002424FC"/>
    <w:rsid w:val="00243623"/>
    <w:rsid w:val="00244713"/>
    <w:rsid w:val="00244EE7"/>
    <w:rsid w:val="002458D4"/>
    <w:rsid w:val="00245D40"/>
    <w:rsid w:val="002466F9"/>
    <w:rsid w:val="00246AA3"/>
    <w:rsid w:val="0024736A"/>
    <w:rsid w:val="002473ED"/>
    <w:rsid w:val="00247415"/>
    <w:rsid w:val="00247791"/>
    <w:rsid w:val="00247B35"/>
    <w:rsid w:val="0025028F"/>
    <w:rsid w:val="00250418"/>
    <w:rsid w:val="00251504"/>
    <w:rsid w:val="0025168A"/>
    <w:rsid w:val="00251BD4"/>
    <w:rsid w:val="002526F2"/>
    <w:rsid w:val="00253FAC"/>
    <w:rsid w:val="00254256"/>
    <w:rsid w:val="00254285"/>
    <w:rsid w:val="002544AA"/>
    <w:rsid w:val="002544F0"/>
    <w:rsid w:val="00254F56"/>
    <w:rsid w:val="002550E3"/>
    <w:rsid w:val="00255C3D"/>
    <w:rsid w:val="00255CCA"/>
    <w:rsid w:val="00255DBF"/>
    <w:rsid w:val="002561BB"/>
    <w:rsid w:val="002562A3"/>
    <w:rsid w:val="002568C3"/>
    <w:rsid w:val="00256E8D"/>
    <w:rsid w:val="002570EC"/>
    <w:rsid w:val="00257761"/>
    <w:rsid w:val="00257A45"/>
    <w:rsid w:val="00260723"/>
    <w:rsid w:val="002609F2"/>
    <w:rsid w:val="00260D8E"/>
    <w:rsid w:val="002621AB"/>
    <w:rsid w:val="0026255D"/>
    <w:rsid w:val="00262592"/>
    <w:rsid w:val="002639C3"/>
    <w:rsid w:val="00263A86"/>
    <w:rsid w:val="0026424E"/>
    <w:rsid w:val="00264AD8"/>
    <w:rsid w:val="00264C07"/>
    <w:rsid w:val="00265157"/>
    <w:rsid w:val="002659E2"/>
    <w:rsid w:val="00265D41"/>
    <w:rsid w:val="002665D3"/>
    <w:rsid w:val="00266931"/>
    <w:rsid w:val="00266F20"/>
    <w:rsid w:val="002670BB"/>
    <w:rsid w:val="00271FF1"/>
    <w:rsid w:val="002720AE"/>
    <w:rsid w:val="002721D4"/>
    <w:rsid w:val="00272640"/>
    <w:rsid w:val="00272958"/>
    <w:rsid w:val="002731E8"/>
    <w:rsid w:val="00273F38"/>
    <w:rsid w:val="002745F6"/>
    <w:rsid w:val="002747DE"/>
    <w:rsid w:val="00275519"/>
    <w:rsid w:val="00275956"/>
    <w:rsid w:val="00275C6E"/>
    <w:rsid w:val="002760B7"/>
    <w:rsid w:val="002761A3"/>
    <w:rsid w:val="002762C1"/>
    <w:rsid w:val="00276DD1"/>
    <w:rsid w:val="00276F8E"/>
    <w:rsid w:val="00277934"/>
    <w:rsid w:val="00281AB0"/>
    <w:rsid w:val="00281D6A"/>
    <w:rsid w:val="00281DBD"/>
    <w:rsid w:val="00281DBF"/>
    <w:rsid w:val="00281EE8"/>
    <w:rsid w:val="002821C2"/>
    <w:rsid w:val="002824E2"/>
    <w:rsid w:val="00282BBC"/>
    <w:rsid w:val="00282F0E"/>
    <w:rsid w:val="00283229"/>
    <w:rsid w:val="00283233"/>
    <w:rsid w:val="002836E7"/>
    <w:rsid w:val="00283811"/>
    <w:rsid w:val="002842C1"/>
    <w:rsid w:val="00284466"/>
    <w:rsid w:val="002847AC"/>
    <w:rsid w:val="00284823"/>
    <w:rsid w:val="00284BA8"/>
    <w:rsid w:val="00285A41"/>
    <w:rsid w:val="00285BA0"/>
    <w:rsid w:val="00285EDC"/>
    <w:rsid w:val="00287251"/>
    <w:rsid w:val="00287596"/>
    <w:rsid w:val="0028773E"/>
    <w:rsid w:val="00287B93"/>
    <w:rsid w:val="00290181"/>
    <w:rsid w:val="002903B7"/>
    <w:rsid w:val="00290B05"/>
    <w:rsid w:val="00290BA1"/>
    <w:rsid w:val="0029133F"/>
    <w:rsid w:val="0029180E"/>
    <w:rsid w:val="00291A15"/>
    <w:rsid w:val="00291BDF"/>
    <w:rsid w:val="00292322"/>
    <w:rsid w:val="0029299F"/>
    <w:rsid w:val="00292F17"/>
    <w:rsid w:val="002932B6"/>
    <w:rsid w:val="00293E09"/>
    <w:rsid w:val="00294554"/>
    <w:rsid w:val="002947DD"/>
    <w:rsid w:val="00294F5B"/>
    <w:rsid w:val="00295007"/>
    <w:rsid w:val="0029516E"/>
    <w:rsid w:val="00295A1A"/>
    <w:rsid w:val="0029697E"/>
    <w:rsid w:val="00296E16"/>
    <w:rsid w:val="00297C67"/>
    <w:rsid w:val="002A04AC"/>
    <w:rsid w:val="002A0C42"/>
    <w:rsid w:val="002A0E06"/>
    <w:rsid w:val="002A1826"/>
    <w:rsid w:val="002A1AAB"/>
    <w:rsid w:val="002A29F7"/>
    <w:rsid w:val="002A43A3"/>
    <w:rsid w:val="002A4BA6"/>
    <w:rsid w:val="002A50E5"/>
    <w:rsid w:val="002A5D54"/>
    <w:rsid w:val="002A6456"/>
    <w:rsid w:val="002A67C5"/>
    <w:rsid w:val="002A6D00"/>
    <w:rsid w:val="002A75E4"/>
    <w:rsid w:val="002A7722"/>
    <w:rsid w:val="002A797F"/>
    <w:rsid w:val="002A7B4A"/>
    <w:rsid w:val="002B0109"/>
    <w:rsid w:val="002B06BB"/>
    <w:rsid w:val="002B1106"/>
    <w:rsid w:val="002B1A87"/>
    <w:rsid w:val="002B1FBA"/>
    <w:rsid w:val="002B216E"/>
    <w:rsid w:val="002B25C0"/>
    <w:rsid w:val="002B336C"/>
    <w:rsid w:val="002B358F"/>
    <w:rsid w:val="002B4201"/>
    <w:rsid w:val="002B453E"/>
    <w:rsid w:val="002B47A2"/>
    <w:rsid w:val="002B51C6"/>
    <w:rsid w:val="002B5BC3"/>
    <w:rsid w:val="002B5CBD"/>
    <w:rsid w:val="002B6A2E"/>
    <w:rsid w:val="002B73D3"/>
    <w:rsid w:val="002B7BF8"/>
    <w:rsid w:val="002B7E2C"/>
    <w:rsid w:val="002C1289"/>
    <w:rsid w:val="002C15ED"/>
    <w:rsid w:val="002C1A5B"/>
    <w:rsid w:val="002C1C48"/>
    <w:rsid w:val="002C2154"/>
    <w:rsid w:val="002C2939"/>
    <w:rsid w:val="002C2B61"/>
    <w:rsid w:val="002C366F"/>
    <w:rsid w:val="002C5F97"/>
    <w:rsid w:val="002C638F"/>
    <w:rsid w:val="002C6617"/>
    <w:rsid w:val="002C6710"/>
    <w:rsid w:val="002C7107"/>
    <w:rsid w:val="002C74D1"/>
    <w:rsid w:val="002D0419"/>
    <w:rsid w:val="002D06D7"/>
    <w:rsid w:val="002D124C"/>
    <w:rsid w:val="002D12DC"/>
    <w:rsid w:val="002D186E"/>
    <w:rsid w:val="002D194B"/>
    <w:rsid w:val="002D1CF2"/>
    <w:rsid w:val="002D1F04"/>
    <w:rsid w:val="002D22C9"/>
    <w:rsid w:val="002D3646"/>
    <w:rsid w:val="002D3BD1"/>
    <w:rsid w:val="002D3EBD"/>
    <w:rsid w:val="002D4087"/>
    <w:rsid w:val="002D54CE"/>
    <w:rsid w:val="002D55BC"/>
    <w:rsid w:val="002D5965"/>
    <w:rsid w:val="002D59E7"/>
    <w:rsid w:val="002D6490"/>
    <w:rsid w:val="002E0001"/>
    <w:rsid w:val="002E0885"/>
    <w:rsid w:val="002E24BD"/>
    <w:rsid w:val="002E25C3"/>
    <w:rsid w:val="002E2D39"/>
    <w:rsid w:val="002E3004"/>
    <w:rsid w:val="002E32AF"/>
    <w:rsid w:val="002E35D0"/>
    <w:rsid w:val="002E38F3"/>
    <w:rsid w:val="002E392D"/>
    <w:rsid w:val="002E3E2F"/>
    <w:rsid w:val="002E4DFA"/>
    <w:rsid w:val="002E4EB8"/>
    <w:rsid w:val="002E4EC2"/>
    <w:rsid w:val="002E4F02"/>
    <w:rsid w:val="002E5151"/>
    <w:rsid w:val="002E52FB"/>
    <w:rsid w:val="002E60D0"/>
    <w:rsid w:val="002E6C14"/>
    <w:rsid w:val="002E6D71"/>
    <w:rsid w:val="002E7015"/>
    <w:rsid w:val="002E7351"/>
    <w:rsid w:val="002E74BE"/>
    <w:rsid w:val="002E7A13"/>
    <w:rsid w:val="002E7B18"/>
    <w:rsid w:val="002F0680"/>
    <w:rsid w:val="002F0EC7"/>
    <w:rsid w:val="002F135B"/>
    <w:rsid w:val="002F152D"/>
    <w:rsid w:val="002F18CF"/>
    <w:rsid w:val="002F1D05"/>
    <w:rsid w:val="002F21D3"/>
    <w:rsid w:val="002F25DA"/>
    <w:rsid w:val="002F2C48"/>
    <w:rsid w:val="002F31F0"/>
    <w:rsid w:val="002F38F1"/>
    <w:rsid w:val="002F4265"/>
    <w:rsid w:val="002F4A02"/>
    <w:rsid w:val="002F5256"/>
    <w:rsid w:val="002F60BB"/>
    <w:rsid w:val="002F64C9"/>
    <w:rsid w:val="002F65D5"/>
    <w:rsid w:val="002F6F27"/>
    <w:rsid w:val="002F71EE"/>
    <w:rsid w:val="002F72CB"/>
    <w:rsid w:val="002F7F55"/>
    <w:rsid w:val="00300928"/>
    <w:rsid w:val="0030118B"/>
    <w:rsid w:val="00301725"/>
    <w:rsid w:val="00301E3F"/>
    <w:rsid w:val="003020BB"/>
    <w:rsid w:val="00302A80"/>
    <w:rsid w:val="0030301C"/>
    <w:rsid w:val="003031D3"/>
    <w:rsid w:val="00303247"/>
    <w:rsid w:val="00303670"/>
    <w:rsid w:val="003037FD"/>
    <w:rsid w:val="00304221"/>
    <w:rsid w:val="00304579"/>
    <w:rsid w:val="00304AD0"/>
    <w:rsid w:val="0030583F"/>
    <w:rsid w:val="00305A76"/>
    <w:rsid w:val="0030688C"/>
    <w:rsid w:val="00306A17"/>
    <w:rsid w:val="00306A4A"/>
    <w:rsid w:val="00306A51"/>
    <w:rsid w:val="00307408"/>
    <w:rsid w:val="003079EC"/>
    <w:rsid w:val="00307ADB"/>
    <w:rsid w:val="00307EF7"/>
    <w:rsid w:val="0031013E"/>
    <w:rsid w:val="00310CE5"/>
    <w:rsid w:val="00310F23"/>
    <w:rsid w:val="00311206"/>
    <w:rsid w:val="0031139D"/>
    <w:rsid w:val="003120A3"/>
    <w:rsid w:val="003137D4"/>
    <w:rsid w:val="00314A91"/>
    <w:rsid w:val="00314AA1"/>
    <w:rsid w:val="00316D9B"/>
    <w:rsid w:val="003173F7"/>
    <w:rsid w:val="00317538"/>
    <w:rsid w:val="00317AD3"/>
    <w:rsid w:val="00317DB5"/>
    <w:rsid w:val="0032024D"/>
    <w:rsid w:val="00320FA5"/>
    <w:rsid w:val="0032180C"/>
    <w:rsid w:val="00321C7B"/>
    <w:rsid w:val="00322353"/>
    <w:rsid w:val="0032251E"/>
    <w:rsid w:val="00322B00"/>
    <w:rsid w:val="00323394"/>
    <w:rsid w:val="00323D89"/>
    <w:rsid w:val="003241A3"/>
    <w:rsid w:val="0032423C"/>
    <w:rsid w:val="00324492"/>
    <w:rsid w:val="003244D7"/>
    <w:rsid w:val="003248DC"/>
    <w:rsid w:val="00326A2B"/>
    <w:rsid w:val="00327205"/>
    <w:rsid w:val="00327603"/>
    <w:rsid w:val="00327FE6"/>
    <w:rsid w:val="0033012E"/>
    <w:rsid w:val="003305B7"/>
    <w:rsid w:val="00330DDB"/>
    <w:rsid w:val="003314D6"/>
    <w:rsid w:val="00331589"/>
    <w:rsid w:val="003317B3"/>
    <w:rsid w:val="00331967"/>
    <w:rsid w:val="00331A02"/>
    <w:rsid w:val="00331ACC"/>
    <w:rsid w:val="00331B0E"/>
    <w:rsid w:val="00331B90"/>
    <w:rsid w:val="00331D76"/>
    <w:rsid w:val="003320E3"/>
    <w:rsid w:val="00332DCB"/>
    <w:rsid w:val="0033300C"/>
    <w:rsid w:val="003346BB"/>
    <w:rsid w:val="00334964"/>
    <w:rsid w:val="003349FA"/>
    <w:rsid w:val="00334F5E"/>
    <w:rsid w:val="003356BB"/>
    <w:rsid w:val="0033576A"/>
    <w:rsid w:val="00335D5B"/>
    <w:rsid w:val="00336187"/>
    <w:rsid w:val="0033628C"/>
    <w:rsid w:val="0033698F"/>
    <w:rsid w:val="00336ACE"/>
    <w:rsid w:val="0033742B"/>
    <w:rsid w:val="00337987"/>
    <w:rsid w:val="003426D8"/>
    <w:rsid w:val="00342EFD"/>
    <w:rsid w:val="00343B9F"/>
    <w:rsid w:val="00344F7D"/>
    <w:rsid w:val="00344F87"/>
    <w:rsid w:val="0034540F"/>
    <w:rsid w:val="00345566"/>
    <w:rsid w:val="00345DD3"/>
    <w:rsid w:val="003462CE"/>
    <w:rsid w:val="00346858"/>
    <w:rsid w:val="00346B04"/>
    <w:rsid w:val="00346ED4"/>
    <w:rsid w:val="0035201A"/>
    <w:rsid w:val="00352455"/>
    <w:rsid w:val="003527AF"/>
    <w:rsid w:val="00352EBF"/>
    <w:rsid w:val="00353696"/>
    <w:rsid w:val="00353A5C"/>
    <w:rsid w:val="00353C82"/>
    <w:rsid w:val="0035479D"/>
    <w:rsid w:val="00355601"/>
    <w:rsid w:val="003557E4"/>
    <w:rsid w:val="00355A93"/>
    <w:rsid w:val="00355D1C"/>
    <w:rsid w:val="003564C5"/>
    <w:rsid w:val="00356948"/>
    <w:rsid w:val="00356B7B"/>
    <w:rsid w:val="00356D0F"/>
    <w:rsid w:val="00357799"/>
    <w:rsid w:val="00357885"/>
    <w:rsid w:val="00357D7E"/>
    <w:rsid w:val="00357F06"/>
    <w:rsid w:val="0036085D"/>
    <w:rsid w:val="0036133B"/>
    <w:rsid w:val="00361B55"/>
    <w:rsid w:val="003622FD"/>
    <w:rsid w:val="003623E5"/>
    <w:rsid w:val="00362664"/>
    <w:rsid w:val="00363443"/>
    <w:rsid w:val="00363A85"/>
    <w:rsid w:val="00363AB8"/>
    <w:rsid w:val="00363B12"/>
    <w:rsid w:val="00363D66"/>
    <w:rsid w:val="00364319"/>
    <w:rsid w:val="003660DB"/>
    <w:rsid w:val="003663BD"/>
    <w:rsid w:val="00366EED"/>
    <w:rsid w:val="003670E9"/>
    <w:rsid w:val="0036759F"/>
    <w:rsid w:val="00367DE5"/>
    <w:rsid w:val="00367E90"/>
    <w:rsid w:val="0037134C"/>
    <w:rsid w:val="00372AC1"/>
    <w:rsid w:val="00372B61"/>
    <w:rsid w:val="00372FFC"/>
    <w:rsid w:val="00373A54"/>
    <w:rsid w:val="00373ECE"/>
    <w:rsid w:val="00374019"/>
    <w:rsid w:val="00374F32"/>
    <w:rsid w:val="003751DD"/>
    <w:rsid w:val="00376B06"/>
    <w:rsid w:val="00376E87"/>
    <w:rsid w:val="00377F41"/>
    <w:rsid w:val="003807CD"/>
    <w:rsid w:val="00380EFF"/>
    <w:rsid w:val="003813AF"/>
    <w:rsid w:val="00381AF9"/>
    <w:rsid w:val="003822AB"/>
    <w:rsid w:val="00382401"/>
    <w:rsid w:val="003826A0"/>
    <w:rsid w:val="003836A7"/>
    <w:rsid w:val="003838F1"/>
    <w:rsid w:val="0038394B"/>
    <w:rsid w:val="00383B2F"/>
    <w:rsid w:val="00383F50"/>
    <w:rsid w:val="00384522"/>
    <w:rsid w:val="0038491F"/>
    <w:rsid w:val="0038495A"/>
    <w:rsid w:val="00385277"/>
    <w:rsid w:val="00385B84"/>
    <w:rsid w:val="0038621E"/>
    <w:rsid w:val="00386316"/>
    <w:rsid w:val="00386564"/>
    <w:rsid w:val="00390353"/>
    <w:rsid w:val="003904D6"/>
    <w:rsid w:val="00390613"/>
    <w:rsid w:val="00390F4B"/>
    <w:rsid w:val="00391738"/>
    <w:rsid w:val="00392ABC"/>
    <w:rsid w:val="0039330B"/>
    <w:rsid w:val="0039361D"/>
    <w:rsid w:val="0039394A"/>
    <w:rsid w:val="00393D66"/>
    <w:rsid w:val="0039499A"/>
    <w:rsid w:val="00394A85"/>
    <w:rsid w:val="00394EEC"/>
    <w:rsid w:val="00395856"/>
    <w:rsid w:val="00395C9D"/>
    <w:rsid w:val="0039612C"/>
    <w:rsid w:val="003961D8"/>
    <w:rsid w:val="0039689A"/>
    <w:rsid w:val="00396C9E"/>
    <w:rsid w:val="00396DC8"/>
    <w:rsid w:val="00396F89"/>
    <w:rsid w:val="003979D6"/>
    <w:rsid w:val="00397F26"/>
    <w:rsid w:val="003A0C4A"/>
    <w:rsid w:val="003A1981"/>
    <w:rsid w:val="003A1BA3"/>
    <w:rsid w:val="003A2336"/>
    <w:rsid w:val="003A23B8"/>
    <w:rsid w:val="003A2424"/>
    <w:rsid w:val="003A244C"/>
    <w:rsid w:val="003A2DB8"/>
    <w:rsid w:val="003A37D2"/>
    <w:rsid w:val="003A389F"/>
    <w:rsid w:val="003A39DF"/>
    <w:rsid w:val="003A3A27"/>
    <w:rsid w:val="003A41D1"/>
    <w:rsid w:val="003A42F8"/>
    <w:rsid w:val="003A42FD"/>
    <w:rsid w:val="003A4F5D"/>
    <w:rsid w:val="003A5CCE"/>
    <w:rsid w:val="003A6379"/>
    <w:rsid w:val="003A6916"/>
    <w:rsid w:val="003A70C4"/>
    <w:rsid w:val="003A72A3"/>
    <w:rsid w:val="003A7FCA"/>
    <w:rsid w:val="003B03F7"/>
    <w:rsid w:val="003B04AB"/>
    <w:rsid w:val="003B05A3"/>
    <w:rsid w:val="003B0A33"/>
    <w:rsid w:val="003B0B14"/>
    <w:rsid w:val="003B10B9"/>
    <w:rsid w:val="003B15F3"/>
    <w:rsid w:val="003B1C02"/>
    <w:rsid w:val="003B1F86"/>
    <w:rsid w:val="003B3841"/>
    <w:rsid w:val="003B42A6"/>
    <w:rsid w:val="003B4E96"/>
    <w:rsid w:val="003B59FF"/>
    <w:rsid w:val="003B60E0"/>
    <w:rsid w:val="003B6194"/>
    <w:rsid w:val="003B6481"/>
    <w:rsid w:val="003B6930"/>
    <w:rsid w:val="003B79A7"/>
    <w:rsid w:val="003B7DED"/>
    <w:rsid w:val="003B7E5F"/>
    <w:rsid w:val="003C02BD"/>
    <w:rsid w:val="003C09CD"/>
    <w:rsid w:val="003C170E"/>
    <w:rsid w:val="003C1ECE"/>
    <w:rsid w:val="003C2034"/>
    <w:rsid w:val="003C251F"/>
    <w:rsid w:val="003C26E9"/>
    <w:rsid w:val="003C273A"/>
    <w:rsid w:val="003C2A26"/>
    <w:rsid w:val="003C2B93"/>
    <w:rsid w:val="003C2C65"/>
    <w:rsid w:val="003C307A"/>
    <w:rsid w:val="003C3091"/>
    <w:rsid w:val="003C3405"/>
    <w:rsid w:val="003C45BA"/>
    <w:rsid w:val="003C5CA4"/>
    <w:rsid w:val="003C6251"/>
    <w:rsid w:val="003C63A1"/>
    <w:rsid w:val="003C7690"/>
    <w:rsid w:val="003C782B"/>
    <w:rsid w:val="003C7B04"/>
    <w:rsid w:val="003D05BA"/>
    <w:rsid w:val="003D0C91"/>
    <w:rsid w:val="003D0E6E"/>
    <w:rsid w:val="003D1DC6"/>
    <w:rsid w:val="003D258B"/>
    <w:rsid w:val="003D259F"/>
    <w:rsid w:val="003D27E5"/>
    <w:rsid w:val="003D27E9"/>
    <w:rsid w:val="003D28E4"/>
    <w:rsid w:val="003D2A24"/>
    <w:rsid w:val="003D2D21"/>
    <w:rsid w:val="003D2F77"/>
    <w:rsid w:val="003D3434"/>
    <w:rsid w:val="003D371C"/>
    <w:rsid w:val="003D383C"/>
    <w:rsid w:val="003D39A8"/>
    <w:rsid w:val="003D3B73"/>
    <w:rsid w:val="003D3CEA"/>
    <w:rsid w:val="003D4269"/>
    <w:rsid w:val="003D428D"/>
    <w:rsid w:val="003D492A"/>
    <w:rsid w:val="003D5FC1"/>
    <w:rsid w:val="003D6809"/>
    <w:rsid w:val="003D69C8"/>
    <w:rsid w:val="003D771E"/>
    <w:rsid w:val="003E020B"/>
    <w:rsid w:val="003E0B1C"/>
    <w:rsid w:val="003E1A0F"/>
    <w:rsid w:val="003E1B22"/>
    <w:rsid w:val="003E2346"/>
    <w:rsid w:val="003E2C2E"/>
    <w:rsid w:val="003E2D86"/>
    <w:rsid w:val="003E2D8B"/>
    <w:rsid w:val="003E341D"/>
    <w:rsid w:val="003E3427"/>
    <w:rsid w:val="003E3484"/>
    <w:rsid w:val="003E35A0"/>
    <w:rsid w:val="003E369C"/>
    <w:rsid w:val="003E3743"/>
    <w:rsid w:val="003E45A9"/>
    <w:rsid w:val="003E51CE"/>
    <w:rsid w:val="003E5B74"/>
    <w:rsid w:val="003E6794"/>
    <w:rsid w:val="003E7134"/>
    <w:rsid w:val="003E774F"/>
    <w:rsid w:val="003E7850"/>
    <w:rsid w:val="003E7883"/>
    <w:rsid w:val="003E7BD9"/>
    <w:rsid w:val="003E7D20"/>
    <w:rsid w:val="003F00D3"/>
    <w:rsid w:val="003F1060"/>
    <w:rsid w:val="003F1480"/>
    <w:rsid w:val="003F1CA1"/>
    <w:rsid w:val="003F2C1E"/>
    <w:rsid w:val="003F360D"/>
    <w:rsid w:val="003F36E1"/>
    <w:rsid w:val="003F39AE"/>
    <w:rsid w:val="003F4668"/>
    <w:rsid w:val="003F4FD2"/>
    <w:rsid w:val="003F50EE"/>
    <w:rsid w:val="003F5887"/>
    <w:rsid w:val="003F732B"/>
    <w:rsid w:val="003F73C8"/>
    <w:rsid w:val="003F7488"/>
    <w:rsid w:val="003F7BC9"/>
    <w:rsid w:val="004000F3"/>
    <w:rsid w:val="004007EA"/>
    <w:rsid w:val="004008D1"/>
    <w:rsid w:val="00400C0C"/>
    <w:rsid w:val="004017DE"/>
    <w:rsid w:val="00401CBC"/>
    <w:rsid w:val="004025E2"/>
    <w:rsid w:val="00402CF4"/>
    <w:rsid w:val="0040308A"/>
    <w:rsid w:val="0040330E"/>
    <w:rsid w:val="00403969"/>
    <w:rsid w:val="00403D2A"/>
    <w:rsid w:val="004046BC"/>
    <w:rsid w:val="00404D1A"/>
    <w:rsid w:val="0040536E"/>
    <w:rsid w:val="00405414"/>
    <w:rsid w:val="00405DF7"/>
    <w:rsid w:val="00406AA6"/>
    <w:rsid w:val="00406B2B"/>
    <w:rsid w:val="00407A74"/>
    <w:rsid w:val="00407B05"/>
    <w:rsid w:val="00407DA1"/>
    <w:rsid w:val="00411271"/>
    <w:rsid w:val="00411D83"/>
    <w:rsid w:val="00412E0D"/>
    <w:rsid w:val="00413391"/>
    <w:rsid w:val="004135EB"/>
    <w:rsid w:val="004143E3"/>
    <w:rsid w:val="00415A6D"/>
    <w:rsid w:val="00415E5A"/>
    <w:rsid w:val="00416311"/>
    <w:rsid w:val="0041650B"/>
    <w:rsid w:val="00416A44"/>
    <w:rsid w:val="00417394"/>
    <w:rsid w:val="00421212"/>
    <w:rsid w:val="00421929"/>
    <w:rsid w:val="0042198A"/>
    <w:rsid w:val="00421AF0"/>
    <w:rsid w:val="004224E9"/>
    <w:rsid w:val="004226CA"/>
    <w:rsid w:val="00422B34"/>
    <w:rsid w:val="00422CB1"/>
    <w:rsid w:val="00422CE6"/>
    <w:rsid w:val="00422EB4"/>
    <w:rsid w:val="0042322F"/>
    <w:rsid w:val="0042371E"/>
    <w:rsid w:val="00423CB9"/>
    <w:rsid w:val="0042400F"/>
    <w:rsid w:val="00424834"/>
    <w:rsid w:val="00424F6E"/>
    <w:rsid w:val="0042557E"/>
    <w:rsid w:val="00425726"/>
    <w:rsid w:val="0042579C"/>
    <w:rsid w:val="00425C04"/>
    <w:rsid w:val="0042656B"/>
    <w:rsid w:val="00426744"/>
    <w:rsid w:val="00426807"/>
    <w:rsid w:val="004268F9"/>
    <w:rsid w:val="004272B5"/>
    <w:rsid w:val="00427429"/>
    <w:rsid w:val="004277BF"/>
    <w:rsid w:val="00430098"/>
    <w:rsid w:val="00430273"/>
    <w:rsid w:val="00430757"/>
    <w:rsid w:val="00430812"/>
    <w:rsid w:val="004309C1"/>
    <w:rsid w:val="00431451"/>
    <w:rsid w:val="00431A97"/>
    <w:rsid w:val="00432160"/>
    <w:rsid w:val="00432B8F"/>
    <w:rsid w:val="00433124"/>
    <w:rsid w:val="004332D5"/>
    <w:rsid w:val="00433983"/>
    <w:rsid w:val="00434528"/>
    <w:rsid w:val="004348FD"/>
    <w:rsid w:val="00434B3A"/>
    <w:rsid w:val="004353DB"/>
    <w:rsid w:val="00435A2B"/>
    <w:rsid w:val="00435C81"/>
    <w:rsid w:val="00435D7E"/>
    <w:rsid w:val="00436132"/>
    <w:rsid w:val="00436781"/>
    <w:rsid w:val="00436B9B"/>
    <w:rsid w:val="00436FB5"/>
    <w:rsid w:val="0043700A"/>
    <w:rsid w:val="004379A9"/>
    <w:rsid w:val="00437F84"/>
    <w:rsid w:val="004400FE"/>
    <w:rsid w:val="004401CE"/>
    <w:rsid w:val="00440795"/>
    <w:rsid w:val="0044120A"/>
    <w:rsid w:val="004416B6"/>
    <w:rsid w:val="00441D85"/>
    <w:rsid w:val="00442F7F"/>
    <w:rsid w:val="00443D4D"/>
    <w:rsid w:val="004440D2"/>
    <w:rsid w:val="00444238"/>
    <w:rsid w:val="004443B4"/>
    <w:rsid w:val="00444517"/>
    <w:rsid w:val="0044453A"/>
    <w:rsid w:val="00444A6B"/>
    <w:rsid w:val="004458A4"/>
    <w:rsid w:val="00445F5A"/>
    <w:rsid w:val="00445FC3"/>
    <w:rsid w:val="004463F9"/>
    <w:rsid w:val="00446457"/>
    <w:rsid w:val="004467FF"/>
    <w:rsid w:val="004471C9"/>
    <w:rsid w:val="004472A2"/>
    <w:rsid w:val="00447328"/>
    <w:rsid w:val="004475E1"/>
    <w:rsid w:val="00447B3C"/>
    <w:rsid w:val="00447EA3"/>
    <w:rsid w:val="00447F84"/>
    <w:rsid w:val="0045072F"/>
    <w:rsid w:val="00450815"/>
    <w:rsid w:val="004509CB"/>
    <w:rsid w:val="00451267"/>
    <w:rsid w:val="004514A7"/>
    <w:rsid w:val="004517E4"/>
    <w:rsid w:val="00451B3F"/>
    <w:rsid w:val="0045219F"/>
    <w:rsid w:val="004523CE"/>
    <w:rsid w:val="00453479"/>
    <w:rsid w:val="0045364D"/>
    <w:rsid w:val="00453EBC"/>
    <w:rsid w:val="004541CE"/>
    <w:rsid w:val="0045466C"/>
    <w:rsid w:val="004548F9"/>
    <w:rsid w:val="00454E44"/>
    <w:rsid w:val="00455FD1"/>
    <w:rsid w:val="0045707F"/>
    <w:rsid w:val="004579CA"/>
    <w:rsid w:val="004579E5"/>
    <w:rsid w:val="004579EB"/>
    <w:rsid w:val="00457EED"/>
    <w:rsid w:val="00457FDF"/>
    <w:rsid w:val="00461A01"/>
    <w:rsid w:val="00461EEB"/>
    <w:rsid w:val="004627FF"/>
    <w:rsid w:val="00462A0D"/>
    <w:rsid w:val="00463151"/>
    <w:rsid w:val="004634EA"/>
    <w:rsid w:val="00463565"/>
    <w:rsid w:val="0046364A"/>
    <w:rsid w:val="004636A1"/>
    <w:rsid w:val="004640DD"/>
    <w:rsid w:val="004641BB"/>
    <w:rsid w:val="00464ED3"/>
    <w:rsid w:val="004658A7"/>
    <w:rsid w:val="00465B00"/>
    <w:rsid w:val="00466B14"/>
    <w:rsid w:val="00466C46"/>
    <w:rsid w:val="004671B6"/>
    <w:rsid w:val="004708F5"/>
    <w:rsid w:val="0047136D"/>
    <w:rsid w:val="0047172D"/>
    <w:rsid w:val="0047185A"/>
    <w:rsid w:val="004718E9"/>
    <w:rsid w:val="00472062"/>
    <w:rsid w:val="00472158"/>
    <w:rsid w:val="00472566"/>
    <w:rsid w:val="004727A0"/>
    <w:rsid w:val="00472B57"/>
    <w:rsid w:val="00474F0F"/>
    <w:rsid w:val="00475246"/>
    <w:rsid w:val="00475562"/>
    <w:rsid w:val="00475781"/>
    <w:rsid w:val="00475F2C"/>
    <w:rsid w:val="00476A48"/>
    <w:rsid w:val="00476CB9"/>
    <w:rsid w:val="00476F1C"/>
    <w:rsid w:val="00477AD4"/>
    <w:rsid w:val="00477C57"/>
    <w:rsid w:val="0048013C"/>
    <w:rsid w:val="00480BA6"/>
    <w:rsid w:val="00481919"/>
    <w:rsid w:val="00481C1C"/>
    <w:rsid w:val="004821AD"/>
    <w:rsid w:val="004827A1"/>
    <w:rsid w:val="00482E54"/>
    <w:rsid w:val="00483092"/>
    <w:rsid w:val="00483351"/>
    <w:rsid w:val="00483631"/>
    <w:rsid w:val="0048403A"/>
    <w:rsid w:val="00484259"/>
    <w:rsid w:val="004845FF"/>
    <w:rsid w:val="00484630"/>
    <w:rsid w:val="00484AFA"/>
    <w:rsid w:val="00484CB7"/>
    <w:rsid w:val="00485190"/>
    <w:rsid w:val="0048520D"/>
    <w:rsid w:val="00485BEB"/>
    <w:rsid w:val="00485FC8"/>
    <w:rsid w:val="004860E8"/>
    <w:rsid w:val="004865CA"/>
    <w:rsid w:val="004869CA"/>
    <w:rsid w:val="0049014F"/>
    <w:rsid w:val="00490376"/>
    <w:rsid w:val="004903D2"/>
    <w:rsid w:val="004904AA"/>
    <w:rsid w:val="0049092B"/>
    <w:rsid w:val="00491384"/>
    <w:rsid w:val="00491837"/>
    <w:rsid w:val="00491CBF"/>
    <w:rsid w:val="00491E17"/>
    <w:rsid w:val="004920DD"/>
    <w:rsid w:val="004922B8"/>
    <w:rsid w:val="004927FF"/>
    <w:rsid w:val="00492FFE"/>
    <w:rsid w:val="0049354E"/>
    <w:rsid w:val="00493E3C"/>
    <w:rsid w:val="0049429B"/>
    <w:rsid w:val="004949F1"/>
    <w:rsid w:val="00494DEE"/>
    <w:rsid w:val="00494F46"/>
    <w:rsid w:val="00495AAC"/>
    <w:rsid w:val="00495DC8"/>
    <w:rsid w:val="004965B2"/>
    <w:rsid w:val="0049695C"/>
    <w:rsid w:val="00496F99"/>
    <w:rsid w:val="0049706A"/>
    <w:rsid w:val="004A053D"/>
    <w:rsid w:val="004A064E"/>
    <w:rsid w:val="004A0D4F"/>
    <w:rsid w:val="004A1E90"/>
    <w:rsid w:val="004A2007"/>
    <w:rsid w:val="004A20AF"/>
    <w:rsid w:val="004A277F"/>
    <w:rsid w:val="004A294B"/>
    <w:rsid w:val="004A2E64"/>
    <w:rsid w:val="004A3902"/>
    <w:rsid w:val="004A4493"/>
    <w:rsid w:val="004A44C6"/>
    <w:rsid w:val="004A4930"/>
    <w:rsid w:val="004A5641"/>
    <w:rsid w:val="004A5A08"/>
    <w:rsid w:val="004A5A69"/>
    <w:rsid w:val="004A6EAE"/>
    <w:rsid w:val="004A71E6"/>
    <w:rsid w:val="004A76D5"/>
    <w:rsid w:val="004A790A"/>
    <w:rsid w:val="004A7D05"/>
    <w:rsid w:val="004B01C7"/>
    <w:rsid w:val="004B06F2"/>
    <w:rsid w:val="004B0D5C"/>
    <w:rsid w:val="004B0DF7"/>
    <w:rsid w:val="004B11BF"/>
    <w:rsid w:val="004B1452"/>
    <w:rsid w:val="004B14CA"/>
    <w:rsid w:val="004B1812"/>
    <w:rsid w:val="004B1843"/>
    <w:rsid w:val="004B1F9F"/>
    <w:rsid w:val="004B3068"/>
    <w:rsid w:val="004B32BF"/>
    <w:rsid w:val="004B36EA"/>
    <w:rsid w:val="004B41F8"/>
    <w:rsid w:val="004B4890"/>
    <w:rsid w:val="004B48BD"/>
    <w:rsid w:val="004B509D"/>
    <w:rsid w:val="004B6550"/>
    <w:rsid w:val="004B6AAA"/>
    <w:rsid w:val="004B7779"/>
    <w:rsid w:val="004B777D"/>
    <w:rsid w:val="004B78A1"/>
    <w:rsid w:val="004B7922"/>
    <w:rsid w:val="004C011A"/>
    <w:rsid w:val="004C029C"/>
    <w:rsid w:val="004C0B23"/>
    <w:rsid w:val="004C0F79"/>
    <w:rsid w:val="004C160C"/>
    <w:rsid w:val="004C18E9"/>
    <w:rsid w:val="004C26C2"/>
    <w:rsid w:val="004C2747"/>
    <w:rsid w:val="004C29BD"/>
    <w:rsid w:val="004C3440"/>
    <w:rsid w:val="004C4120"/>
    <w:rsid w:val="004C4313"/>
    <w:rsid w:val="004C489F"/>
    <w:rsid w:val="004C4903"/>
    <w:rsid w:val="004C4CAD"/>
    <w:rsid w:val="004C4CCF"/>
    <w:rsid w:val="004C505D"/>
    <w:rsid w:val="004C52D6"/>
    <w:rsid w:val="004C5682"/>
    <w:rsid w:val="004C5A6A"/>
    <w:rsid w:val="004C664E"/>
    <w:rsid w:val="004C6797"/>
    <w:rsid w:val="004C7B28"/>
    <w:rsid w:val="004C7B4C"/>
    <w:rsid w:val="004D05C1"/>
    <w:rsid w:val="004D0F25"/>
    <w:rsid w:val="004D1235"/>
    <w:rsid w:val="004D1236"/>
    <w:rsid w:val="004D1426"/>
    <w:rsid w:val="004D193D"/>
    <w:rsid w:val="004D200D"/>
    <w:rsid w:val="004D22F4"/>
    <w:rsid w:val="004D2ADE"/>
    <w:rsid w:val="004D2CEC"/>
    <w:rsid w:val="004D30AE"/>
    <w:rsid w:val="004D39AB"/>
    <w:rsid w:val="004D3AC5"/>
    <w:rsid w:val="004D4837"/>
    <w:rsid w:val="004D4A96"/>
    <w:rsid w:val="004D4CEB"/>
    <w:rsid w:val="004D52F2"/>
    <w:rsid w:val="004D540F"/>
    <w:rsid w:val="004D5986"/>
    <w:rsid w:val="004D6A0F"/>
    <w:rsid w:val="004D6CB2"/>
    <w:rsid w:val="004D6FB7"/>
    <w:rsid w:val="004D7C17"/>
    <w:rsid w:val="004E01CC"/>
    <w:rsid w:val="004E2465"/>
    <w:rsid w:val="004E29AC"/>
    <w:rsid w:val="004E3F79"/>
    <w:rsid w:val="004E409C"/>
    <w:rsid w:val="004E47BF"/>
    <w:rsid w:val="004E47F7"/>
    <w:rsid w:val="004E5169"/>
    <w:rsid w:val="004E5822"/>
    <w:rsid w:val="004E5A3A"/>
    <w:rsid w:val="004E5BC0"/>
    <w:rsid w:val="004E684B"/>
    <w:rsid w:val="004E6D99"/>
    <w:rsid w:val="004E6FD6"/>
    <w:rsid w:val="004E7453"/>
    <w:rsid w:val="004E78AE"/>
    <w:rsid w:val="004F0DE7"/>
    <w:rsid w:val="004F10FE"/>
    <w:rsid w:val="004F2104"/>
    <w:rsid w:val="004F328C"/>
    <w:rsid w:val="004F4616"/>
    <w:rsid w:val="004F4BA7"/>
    <w:rsid w:val="004F56FD"/>
    <w:rsid w:val="004F5B1B"/>
    <w:rsid w:val="004F6002"/>
    <w:rsid w:val="004F6634"/>
    <w:rsid w:val="004F714F"/>
    <w:rsid w:val="005005E4"/>
    <w:rsid w:val="00500617"/>
    <w:rsid w:val="00501438"/>
    <w:rsid w:val="00501826"/>
    <w:rsid w:val="0050307F"/>
    <w:rsid w:val="005042F2"/>
    <w:rsid w:val="00504419"/>
    <w:rsid w:val="00504C61"/>
    <w:rsid w:val="0050615D"/>
    <w:rsid w:val="0050623D"/>
    <w:rsid w:val="00506CCB"/>
    <w:rsid w:val="00506F4C"/>
    <w:rsid w:val="0050797A"/>
    <w:rsid w:val="005100ED"/>
    <w:rsid w:val="00510808"/>
    <w:rsid w:val="00511DA9"/>
    <w:rsid w:val="00512BB5"/>
    <w:rsid w:val="00512E56"/>
    <w:rsid w:val="00512FE1"/>
    <w:rsid w:val="005134CB"/>
    <w:rsid w:val="005134FA"/>
    <w:rsid w:val="005148B9"/>
    <w:rsid w:val="00515DB2"/>
    <w:rsid w:val="00516063"/>
    <w:rsid w:val="00516DC5"/>
    <w:rsid w:val="00516F5F"/>
    <w:rsid w:val="005179BA"/>
    <w:rsid w:val="00520493"/>
    <w:rsid w:val="00520C09"/>
    <w:rsid w:val="00520E23"/>
    <w:rsid w:val="0052103F"/>
    <w:rsid w:val="00521618"/>
    <w:rsid w:val="005216C7"/>
    <w:rsid w:val="00521C21"/>
    <w:rsid w:val="00521CBF"/>
    <w:rsid w:val="0052291B"/>
    <w:rsid w:val="00522A10"/>
    <w:rsid w:val="00523074"/>
    <w:rsid w:val="005234B7"/>
    <w:rsid w:val="005237CB"/>
    <w:rsid w:val="005239EF"/>
    <w:rsid w:val="00523B3B"/>
    <w:rsid w:val="005245A9"/>
    <w:rsid w:val="005249A1"/>
    <w:rsid w:val="00524D90"/>
    <w:rsid w:val="005255C4"/>
    <w:rsid w:val="00526104"/>
    <w:rsid w:val="0052678D"/>
    <w:rsid w:val="00526BE3"/>
    <w:rsid w:val="00526C80"/>
    <w:rsid w:val="00526E2C"/>
    <w:rsid w:val="00527306"/>
    <w:rsid w:val="0052747C"/>
    <w:rsid w:val="005307EF"/>
    <w:rsid w:val="00530DFC"/>
    <w:rsid w:val="0053191A"/>
    <w:rsid w:val="00531FD4"/>
    <w:rsid w:val="00532AA2"/>
    <w:rsid w:val="00532DF4"/>
    <w:rsid w:val="0053393E"/>
    <w:rsid w:val="00534152"/>
    <w:rsid w:val="0053468A"/>
    <w:rsid w:val="0053515C"/>
    <w:rsid w:val="00536372"/>
    <w:rsid w:val="005369E8"/>
    <w:rsid w:val="00536B42"/>
    <w:rsid w:val="00536EB6"/>
    <w:rsid w:val="005370D7"/>
    <w:rsid w:val="005372CB"/>
    <w:rsid w:val="005375BA"/>
    <w:rsid w:val="00537BF5"/>
    <w:rsid w:val="0054064C"/>
    <w:rsid w:val="0054157B"/>
    <w:rsid w:val="00542E5D"/>
    <w:rsid w:val="00543258"/>
    <w:rsid w:val="005433B9"/>
    <w:rsid w:val="00543436"/>
    <w:rsid w:val="005436BA"/>
    <w:rsid w:val="00543794"/>
    <w:rsid w:val="005439B5"/>
    <w:rsid w:val="00544131"/>
    <w:rsid w:val="00544CC6"/>
    <w:rsid w:val="00544FFA"/>
    <w:rsid w:val="005456D4"/>
    <w:rsid w:val="005459C8"/>
    <w:rsid w:val="00546983"/>
    <w:rsid w:val="00547284"/>
    <w:rsid w:val="005474EA"/>
    <w:rsid w:val="005477C6"/>
    <w:rsid w:val="005477D0"/>
    <w:rsid w:val="005478F8"/>
    <w:rsid w:val="005503D3"/>
    <w:rsid w:val="00550895"/>
    <w:rsid w:val="00551205"/>
    <w:rsid w:val="005512A9"/>
    <w:rsid w:val="005517A2"/>
    <w:rsid w:val="00551E2F"/>
    <w:rsid w:val="00551FE9"/>
    <w:rsid w:val="00552632"/>
    <w:rsid w:val="00552641"/>
    <w:rsid w:val="00552A9D"/>
    <w:rsid w:val="00553441"/>
    <w:rsid w:val="00553821"/>
    <w:rsid w:val="00553BD2"/>
    <w:rsid w:val="00554DE0"/>
    <w:rsid w:val="00555D11"/>
    <w:rsid w:val="005564AD"/>
    <w:rsid w:val="00556E28"/>
    <w:rsid w:val="00556EE7"/>
    <w:rsid w:val="00557093"/>
    <w:rsid w:val="00557432"/>
    <w:rsid w:val="00557435"/>
    <w:rsid w:val="00557E38"/>
    <w:rsid w:val="00557F15"/>
    <w:rsid w:val="00560339"/>
    <w:rsid w:val="005606FB"/>
    <w:rsid w:val="00560946"/>
    <w:rsid w:val="005616B3"/>
    <w:rsid w:val="005617CE"/>
    <w:rsid w:val="00561C80"/>
    <w:rsid w:val="00561FD4"/>
    <w:rsid w:val="00561FF9"/>
    <w:rsid w:val="00562401"/>
    <w:rsid w:val="005624B8"/>
    <w:rsid w:val="005629D0"/>
    <w:rsid w:val="00563064"/>
    <w:rsid w:val="005647BC"/>
    <w:rsid w:val="0056524D"/>
    <w:rsid w:val="00565B09"/>
    <w:rsid w:val="00565CB1"/>
    <w:rsid w:val="00566832"/>
    <w:rsid w:val="00566E56"/>
    <w:rsid w:val="00567406"/>
    <w:rsid w:val="00567F30"/>
    <w:rsid w:val="00570153"/>
    <w:rsid w:val="0057148A"/>
    <w:rsid w:val="005715FE"/>
    <w:rsid w:val="00571C0C"/>
    <w:rsid w:val="00571F9D"/>
    <w:rsid w:val="005724DF"/>
    <w:rsid w:val="00572DC4"/>
    <w:rsid w:val="00573166"/>
    <w:rsid w:val="005731FC"/>
    <w:rsid w:val="00573AA4"/>
    <w:rsid w:val="00574324"/>
    <w:rsid w:val="005746DE"/>
    <w:rsid w:val="0057488E"/>
    <w:rsid w:val="0057499E"/>
    <w:rsid w:val="0057556B"/>
    <w:rsid w:val="0057627A"/>
    <w:rsid w:val="00576561"/>
    <w:rsid w:val="00576C5E"/>
    <w:rsid w:val="00576F62"/>
    <w:rsid w:val="00577643"/>
    <w:rsid w:val="00577C2F"/>
    <w:rsid w:val="00580CA3"/>
    <w:rsid w:val="005810D3"/>
    <w:rsid w:val="00581CA0"/>
    <w:rsid w:val="00581D1D"/>
    <w:rsid w:val="00581D5E"/>
    <w:rsid w:val="0058201D"/>
    <w:rsid w:val="00582578"/>
    <w:rsid w:val="0058329E"/>
    <w:rsid w:val="00583D9C"/>
    <w:rsid w:val="00584662"/>
    <w:rsid w:val="00584AF1"/>
    <w:rsid w:val="00584C90"/>
    <w:rsid w:val="00585061"/>
    <w:rsid w:val="005854FF"/>
    <w:rsid w:val="0058556C"/>
    <w:rsid w:val="005858CA"/>
    <w:rsid w:val="00585A93"/>
    <w:rsid w:val="00585C12"/>
    <w:rsid w:val="00585D63"/>
    <w:rsid w:val="00586422"/>
    <w:rsid w:val="00586710"/>
    <w:rsid w:val="005875CE"/>
    <w:rsid w:val="00587A8B"/>
    <w:rsid w:val="00587D21"/>
    <w:rsid w:val="00591060"/>
    <w:rsid w:val="005913FF"/>
    <w:rsid w:val="005917D6"/>
    <w:rsid w:val="00591BB7"/>
    <w:rsid w:val="00592564"/>
    <w:rsid w:val="00592A29"/>
    <w:rsid w:val="00593638"/>
    <w:rsid w:val="00594A9F"/>
    <w:rsid w:val="00595638"/>
    <w:rsid w:val="0059583C"/>
    <w:rsid w:val="00595887"/>
    <w:rsid w:val="00595B64"/>
    <w:rsid w:val="00595D69"/>
    <w:rsid w:val="00596C21"/>
    <w:rsid w:val="00597351"/>
    <w:rsid w:val="0059785C"/>
    <w:rsid w:val="005A0049"/>
    <w:rsid w:val="005A0455"/>
    <w:rsid w:val="005A0FFC"/>
    <w:rsid w:val="005A11F4"/>
    <w:rsid w:val="005A1C03"/>
    <w:rsid w:val="005A1C51"/>
    <w:rsid w:val="005A2239"/>
    <w:rsid w:val="005A25D8"/>
    <w:rsid w:val="005A2745"/>
    <w:rsid w:val="005A346B"/>
    <w:rsid w:val="005A3473"/>
    <w:rsid w:val="005A40D8"/>
    <w:rsid w:val="005A49C3"/>
    <w:rsid w:val="005A4A7E"/>
    <w:rsid w:val="005A52D8"/>
    <w:rsid w:val="005A54DD"/>
    <w:rsid w:val="005A5981"/>
    <w:rsid w:val="005A65BF"/>
    <w:rsid w:val="005A6649"/>
    <w:rsid w:val="005A6763"/>
    <w:rsid w:val="005A6C7C"/>
    <w:rsid w:val="005A6CCE"/>
    <w:rsid w:val="005A70D0"/>
    <w:rsid w:val="005A74C2"/>
    <w:rsid w:val="005A7A9E"/>
    <w:rsid w:val="005B0E83"/>
    <w:rsid w:val="005B1025"/>
    <w:rsid w:val="005B10DF"/>
    <w:rsid w:val="005B128E"/>
    <w:rsid w:val="005B2243"/>
    <w:rsid w:val="005B44EB"/>
    <w:rsid w:val="005B474E"/>
    <w:rsid w:val="005B4E49"/>
    <w:rsid w:val="005B4F19"/>
    <w:rsid w:val="005B4F45"/>
    <w:rsid w:val="005B61DA"/>
    <w:rsid w:val="005B62D1"/>
    <w:rsid w:val="005B648E"/>
    <w:rsid w:val="005B718E"/>
    <w:rsid w:val="005B7F96"/>
    <w:rsid w:val="005C0FA0"/>
    <w:rsid w:val="005C11EC"/>
    <w:rsid w:val="005C132F"/>
    <w:rsid w:val="005C1889"/>
    <w:rsid w:val="005C1B8A"/>
    <w:rsid w:val="005C33EE"/>
    <w:rsid w:val="005C3B17"/>
    <w:rsid w:val="005C3F89"/>
    <w:rsid w:val="005C478B"/>
    <w:rsid w:val="005C51C2"/>
    <w:rsid w:val="005C5E71"/>
    <w:rsid w:val="005C605E"/>
    <w:rsid w:val="005C64E2"/>
    <w:rsid w:val="005C678A"/>
    <w:rsid w:val="005C7B44"/>
    <w:rsid w:val="005D02FB"/>
    <w:rsid w:val="005D0373"/>
    <w:rsid w:val="005D0A8D"/>
    <w:rsid w:val="005D0F1C"/>
    <w:rsid w:val="005D0FAC"/>
    <w:rsid w:val="005D11AF"/>
    <w:rsid w:val="005D1522"/>
    <w:rsid w:val="005D1B91"/>
    <w:rsid w:val="005D1BA1"/>
    <w:rsid w:val="005D206E"/>
    <w:rsid w:val="005D2E5B"/>
    <w:rsid w:val="005D38A6"/>
    <w:rsid w:val="005D4470"/>
    <w:rsid w:val="005D6130"/>
    <w:rsid w:val="005D6292"/>
    <w:rsid w:val="005D6500"/>
    <w:rsid w:val="005D6E8A"/>
    <w:rsid w:val="005D746C"/>
    <w:rsid w:val="005D7758"/>
    <w:rsid w:val="005D7AFE"/>
    <w:rsid w:val="005E0914"/>
    <w:rsid w:val="005E15BB"/>
    <w:rsid w:val="005E1B68"/>
    <w:rsid w:val="005E20D3"/>
    <w:rsid w:val="005E2290"/>
    <w:rsid w:val="005E24BB"/>
    <w:rsid w:val="005E2C67"/>
    <w:rsid w:val="005E3D03"/>
    <w:rsid w:val="005E3D4F"/>
    <w:rsid w:val="005E44BE"/>
    <w:rsid w:val="005E48B7"/>
    <w:rsid w:val="005E56C0"/>
    <w:rsid w:val="005E56D8"/>
    <w:rsid w:val="005E5C45"/>
    <w:rsid w:val="005E5E10"/>
    <w:rsid w:val="005E6358"/>
    <w:rsid w:val="005E63C4"/>
    <w:rsid w:val="005E64A2"/>
    <w:rsid w:val="005E69A0"/>
    <w:rsid w:val="005E6D98"/>
    <w:rsid w:val="005E7154"/>
    <w:rsid w:val="005E7410"/>
    <w:rsid w:val="005E7D42"/>
    <w:rsid w:val="005F0115"/>
    <w:rsid w:val="005F0A39"/>
    <w:rsid w:val="005F1EDD"/>
    <w:rsid w:val="005F2208"/>
    <w:rsid w:val="005F297D"/>
    <w:rsid w:val="005F29F7"/>
    <w:rsid w:val="005F38EF"/>
    <w:rsid w:val="005F3A6D"/>
    <w:rsid w:val="005F4584"/>
    <w:rsid w:val="005F6618"/>
    <w:rsid w:val="005F7263"/>
    <w:rsid w:val="005F7831"/>
    <w:rsid w:val="006007D4"/>
    <w:rsid w:val="0060089C"/>
    <w:rsid w:val="006012DA"/>
    <w:rsid w:val="00601696"/>
    <w:rsid w:val="00601A8C"/>
    <w:rsid w:val="00602318"/>
    <w:rsid w:val="006024AF"/>
    <w:rsid w:val="00602EA6"/>
    <w:rsid w:val="00602EF0"/>
    <w:rsid w:val="0060466A"/>
    <w:rsid w:val="00604D7D"/>
    <w:rsid w:val="0060517B"/>
    <w:rsid w:val="006056EF"/>
    <w:rsid w:val="00605EE5"/>
    <w:rsid w:val="00606548"/>
    <w:rsid w:val="00606765"/>
    <w:rsid w:val="0060678D"/>
    <w:rsid w:val="0060723A"/>
    <w:rsid w:val="00607845"/>
    <w:rsid w:val="00607C2D"/>
    <w:rsid w:val="006108CB"/>
    <w:rsid w:val="00610A2C"/>
    <w:rsid w:val="00610DAD"/>
    <w:rsid w:val="00610E65"/>
    <w:rsid w:val="00611A59"/>
    <w:rsid w:val="006120EB"/>
    <w:rsid w:val="006125D2"/>
    <w:rsid w:val="00612816"/>
    <w:rsid w:val="00612C05"/>
    <w:rsid w:val="00612FCC"/>
    <w:rsid w:val="00613DA1"/>
    <w:rsid w:val="006148AF"/>
    <w:rsid w:val="006153B0"/>
    <w:rsid w:val="00615BB3"/>
    <w:rsid w:val="00615DAD"/>
    <w:rsid w:val="006161F9"/>
    <w:rsid w:val="00616A00"/>
    <w:rsid w:val="0061741C"/>
    <w:rsid w:val="006205C6"/>
    <w:rsid w:val="00620732"/>
    <w:rsid w:val="00620A2F"/>
    <w:rsid w:val="00620C59"/>
    <w:rsid w:val="00620CB1"/>
    <w:rsid w:val="006223B2"/>
    <w:rsid w:val="00622E64"/>
    <w:rsid w:val="00623A5F"/>
    <w:rsid w:val="00624024"/>
    <w:rsid w:val="00624279"/>
    <w:rsid w:val="0062457C"/>
    <w:rsid w:val="00624885"/>
    <w:rsid w:val="00624A46"/>
    <w:rsid w:val="00624A7C"/>
    <w:rsid w:val="00624B1D"/>
    <w:rsid w:val="00624BF1"/>
    <w:rsid w:val="00624CE2"/>
    <w:rsid w:val="0062572B"/>
    <w:rsid w:val="00625866"/>
    <w:rsid w:val="00627DB9"/>
    <w:rsid w:val="0063009E"/>
    <w:rsid w:val="006311B1"/>
    <w:rsid w:val="00631764"/>
    <w:rsid w:val="00631872"/>
    <w:rsid w:val="0063226D"/>
    <w:rsid w:val="006326B5"/>
    <w:rsid w:val="0063296B"/>
    <w:rsid w:val="00632971"/>
    <w:rsid w:val="00632B7C"/>
    <w:rsid w:val="00632E1F"/>
    <w:rsid w:val="00632E2F"/>
    <w:rsid w:val="006349EA"/>
    <w:rsid w:val="00634D43"/>
    <w:rsid w:val="00634D57"/>
    <w:rsid w:val="006359CF"/>
    <w:rsid w:val="00636158"/>
    <w:rsid w:val="0063645A"/>
    <w:rsid w:val="006365A3"/>
    <w:rsid w:val="006366BA"/>
    <w:rsid w:val="00636B9A"/>
    <w:rsid w:val="00636F03"/>
    <w:rsid w:val="006374D0"/>
    <w:rsid w:val="006403AD"/>
    <w:rsid w:val="00640A9F"/>
    <w:rsid w:val="00641163"/>
    <w:rsid w:val="00641454"/>
    <w:rsid w:val="006415C2"/>
    <w:rsid w:val="00641765"/>
    <w:rsid w:val="0064227D"/>
    <w:rsid w:val="006425E2"/>
    <w:rsid w:val="006437EF"/>
    <w:rsid w:val="00643887"/>
    <w:rsid w:val="006438A9"/>
    <w:rsid w:val="00643961"/>
    <w:rsid w:val="00643FF3"/>
    <w:rsid w:val="00644707"/>
    <w:rsid w:val="00644839"/>
    <w:rsid w:val="00644904"/>
    <w:rsid w:val="00644A3F"/>
    <w:rsid w:val="00644BAE"/>
    <w:rsid w:val="00644F4B"/>
    <w:rsid w:val="006452E8"/>
    <w:rsid w:val="00645442"/>
    <w:rsid w:val="0064570B"/>
    <w:rsid w:val="0064593E"/>
    <w:rsid w:val="00646862"/>
    <w:rsid w:val="006475B5"/>
    <w:rsid w:val="006476A8"/>
    <w:rsid w:val="006477C1"/>
    <w:rsid w:val="006478F6"/>
    <w:rsid w:val="00650255"/>
    <w:rsid w:val="00650374"/>
    <w:rsid w:val="006505DE"/>
    <w:rsid w:val="0065091C"/>
    <w:rsid w:val="0065140E"/>
    <w:rsid w:val="00651440"/>
    <w:rsid w:val="0065199C"/>
    <w:rsid w:val="0065231D"/>
    <w:rsid w:val="00652372"/>
    <w:rsid w:val="00652395"/>
    <w:rsid w:val="006525B2"/>
    <w:rsid w:val="0065272C"/>
    <w:rsid w:val="006527AF"/>
    <w:rsid w:val="00652B48"/>
    <w:rsid w:val="00652C24"/>
    <w:rsid w:val="0065548C"/>
    <w:rsid w:val="00655CDF"/>
    <w:rsid w:val="00656001"/>
    <w:rsid w:val="0065607E"/>
    <w:rsid w:val="0065629B"/>
    <w:rsid w:val="0065647C"/>
    <w:rsid w:val="0065673F"/>
    <w:rsid w:val="00656A75"/>
    <w:rsid w:val="00656DA3"/>
    <w:rsid w:val="00656EEA"/>
    <w:rsid w:val="006574DB"/>
    <w:rsid w:val="00657794"/>
    <w:rsid w:val="00657AA5"/>
    <w:rsid w:val="00657AB1"/>
    <w:rsid w:val="00657D7A"/>
    <w:rsid w:val="00657D99"/>
    <w:rsid w:val="006602E5"/>
    <w:rsid w:val="00660530"/>
    <w:rsid w:val="006608D5"/>
    <w:rsid w:val="00660F86"/>
    <w:rsid w:val="00661BE8"/>
    <w:rsid w:val="00661D65"/>
    <w:rsid w:val="006625D8"/>
    <w:rsid w:val="00662B89"/>
    <w:rsid w:val="00662D2E"/>
    <w:rsid w:val="00662EFA"/>
    <w:rsid w:val="00663E7F"/>
    <w:rsid w:val="0066460E"/>
    <w:rsid w:val="006647BB"/>
    <w:rsid w:val="0066487E"/>
    <w:rsid w:val="0066562E"/>
    <w:rsid w:val="00666F7A"/>
    <w:rsid w:val="006679BD"/>
    <w:rsid w:val="00667B27"/>
    <w:rsid w:val="00667D19"/>
    <w:rsid w:val="00670F65"/>
    <w:rsid w:val="006710A3"/>
    <w:rsid w:val="006711C5"/>
    <w:rsid w:val="00672C8A"/>
    <w:rsid w:val="00672F10"/>
    <w:rsid w:val="0067300F"/>
    <w:rsid w:val="0067317B"/>
    <w:rsid w:val="00673786"/>
    <w:rsid w:val="00673AEF"/>
    <w:rsid w:val="006743F8"/>
    <w:rsid w:val="0067533F"/>
    <w:rsid w:val="00675583"/>
    <w:rsid w:val="00675693"/>
    <w:rsid w:val="00676029"/>
    <w:rsid w:val="0067623B"/>
    <w:rsid w:val="00676320"/>
    <w:rsid w:val="00676705"/>
    <w:rsid w:val="00677C70"/>
    <w:rsid w:val="00680B41"/>
    <w:rsid w:val="00680D60"/>
    <w:rsid w:val="00681224"/>
    <w:rsid w:val="006819A5"/>
    <w:rsid w:val="00681AC1"/>
    <w:rsid w:val="00681AF1"/>
    <w:rsid w:val="00681B29"/>
    <w:rsid w:val="006826A6"/>
    <w:rsid w:val="006827FD"/>
    <w:rsid w:val="00682839"/>
    <w:rsid w:val="00682CE6"/>
    <w:rsid w:val="0068301B"/>
    <w:rsid w:val="006831AE"/>
    <w:rsid w:val="0068393C"/>
    <w:rsid w:val="00683ED7"/>
    <w:rsid w:val="006845D8"/>
    <w:rsid w:val="00684DE5"/>
    <w:rsid w:val="006852C4"/>
    <w:rsid w:val="0068533B"/>
    <w:rsid w:val="006856BF"/>
    <w:rsid w:val="00685E08"/>
    <w:rsid w:val="00686B31"/>
    <w:rsid w:val="00686C6D"/>
    <w:rsid w:val="00686E75"/>
    <w:rsid w:val="0068712D"/>
    <w:rsid w:val="00687EA5"/>
    <w:rsid w:val="0069026A"/>
    <w:rsid w:val="00690B41"/>
    <w:rsid w:val="00690BDC"/>
    <w:rsid w:val="00691450"/>
    <w:rsid w:val="006915F6"/>
    <w:rsid w:val="006916ED"/>
    <w:rsid w:val="00691918"/>
    <w:rsid w:val="00691B55"/>
    <w:rsid w:val="00691F22"/>
    <w:rsid w:val="0069279B"/>
    <w:rsid w:val="006928D6"/>
    <w:rsid w:val="00692BB8"/>
    <w:rsid w:val="00693C26"/>
    <w:rsid w:val="0069477A"/>
    <w:rsid w:val="00694E84"/>
    <w:rsid w:val="006950E7"/>
    <w:rsid w:val="00695F0D"/>
    <w:rsid w:val="00696205"/>
    <w:rsid w:val="006967C7"/>
    <w:rsid w:val="0069688E"/>
    <w:rsid w:val="0069689E"/>
    <w:rsid w:val="00696F8F"/>
    <w:rsid w:val="0069712F"/>
    <w:rsid w:val="00697158"/>
    <w:rsid w:val="00697E49"/>
    <w:rsid w:val="006A0EE7"/>
    <w:rsid w:val="006A1A39"/>
    <w:rsid w:val="006A1C00"/>
    <w:rsid w:val="006A21BF"/>
    <w:rsid w:val="006A2224"/>
    <w:rsid w:val="006A2678"/>
    <w:rsid w:val="006A2AD7"/>
    <w:rsid w:val="006A2C76"/>
    <w:rsid w:val="006A2EBE"/>
    <w:rsid w:val="006A3734"/>
    <w:rsid w:val="006A3992"/>
    <w:rsid w:val="006A3AAE"/>
    <w:rsid w:val="006A3F1A"/>
    <w:rsid w:val="006A403D"/>
    <w:rsid w:val="006A5D8D"/>
    <w:rsid w:val="006A60C5"/>
    <w:rsid w:val="006A6241"/>
    <w:rsid w:val="006A687C"/>
    <w:rsid w:val="006A6C4C"/>
    <w:rsid w:val="006A71BF"/>
    <w:rsid w:val="006A7924"/>
    <w:rsid w:val="006A7C9A"/>
    <w:rsid w:val="006A7FF9"/>
    <w:rsid w:val="006B01CB"/>
    <w:rsid w:val="006B0460"/>
    <w:rsid w:val="006B0657"/>
    <w:rsid w:val="006B0A9F"/>
    <w:rsid w:val="006B0E62"/>
    <w:rsid w:val="006B1772"/>
    <w:rsid w:val="006B1DC9"/>
    <w:rsid w:val="006B2D17"/>
    <w:rsid w:val="006B300B"/>
    <w:rsid w:val="006B37AB"/>
    <w:rsid w:val="006B4153"/>
    <w:rsid w:val="006B41FA"/>
    <w:rsid w:val="006B4777"/>
    <w:rsid w:val="006B4FE9"/>
    <w:rsid w:val="006B5F1A"/>
    <w:rsid w:val="006B63B1"/>
    <w:rsid w:val="006B6517"/>
    <w:rsid w:val="006B68D7"/>
    <w:rsid w:val="006B69DD"/>
    <w:rsid w:val="006B6A0F"/>
    <w:rsid w:val="006C08B9"/>
    <w:rsid w:val="006C1121"/>
    <w:rsid w:val="006C1A23"/>
    <w:rsid w:val="006C1D21"/>
    <w:rsid w:val="006C20D3"/>
    <w:rsid w:val="006C3544"/>
    <w:rsid w:val="006C3A12"/>
    <w:rsid w:val="006C3D03"/>
    <w:rsid w:val="006C53DA"/>
    <w:rsid w:val="006C55C0"/>
    <w:rsid w:val="006C56ED"/>
    <w:rsid w:val="006C66CF"/>
    <w:rsid w:val="006C78E5"/>
    <w:rsid w:val="006C7A44"/>
    <w:rsid w:val="006C7B84"/>
    <w:rsid w:val="006C7E6A"/>
    <w:rsid w:val="006C7EEC"/>
    <w:rsid w:val="006D0BF5"/>
    <w:rsid w:val="006D142C"/>
    <w:rsid w:val="006D1668"/>
    <w:rsid w:val="006D2246"/>
    <w:rsid w:val="006D2414"/>
    <w:rsid w:val="006D2782"/>
    <w:rsid w:val="006D2D86"/>
    <w:rsid w:val="006D308A"/>
    <w:rsid w:val="006D3570"/>
    <w:rsid w:val="006D35DB"/>
    <w:rsid w:val="006D382A"/>
    <w:rsid w:val="006D3A74"/>
    <w:rsid w:val="006D3CAE"/>
    <w:rsid w:val="006D576B"/>
    <w:rsid w:val="006D57FF"/>
    <w:rsid w:val="006D608F"/>
    <w:rsid w:val="006D618A"/>
    <w:rsid w:val="006D6500"/>
    <w:rsid w:val="006D7040"/>
    <w:rsid w:val="006D7B08"/>
    <w:rsid w:val="006E0B17"/>
    <w:rsid w:val="006E0BB9"/>
    <w:rsid w:val="006E0CB0"/>
    <w:rsid w:val="006E1F31"/>
    <w:rsid w:val="006E2D95"/>
    <w:rsid w:val="006E3463"/>
    <w:rsid w:val="006E4432"/>
    <w:rsid w:val="006E4946"/>
    <w:rsid w:val="006E4F40"/>
    <w:rsid w:val="006E5315"/>
    <w:rsid w:val="006E5400"/>
    <w:rsid w:val="006E6080"/>
    <w:rsid w:val="006E62C3"/>
    <w:rsid w:val="006E63EA"/>
    <w:rsid w:val="006E6FFB"/>
    <w:rsid w:val="006E7706"/>
    <w:rsid w:val="006E7872"/>
    <w:rsid w:val="006F04E2"/>
    <w:rsid w:val="006F0ABA"/>
    <w:rsid w:val="006F0CFC"/>
    <w:rsid w:val="006F1055"/>
    <w:rsid w:val="006F12E9"/>
    <w:rsid w:val="006F13E9"/>
    <w:rsid w:val="006F1840"/>
    <w:rsid w:val="006F19CA"/>
    <w:rsid w:val="006F1B09"/>
    <w:rsid w:val="006F1F5A"/>
    <w:rsid w:val="006F2884"/>
    <w:rsid w:val="006F2E73"/>
    <w:rsid w:val="006F332D"/>
    <w:rsid w:val="006F3D4D"/>
    <w:rsid w:val="006F42FA"/>
    <w:rsid w:val="006F4577"/>
    <w:rsid w:val="006F474C"/>
    <w:rsid w:val="006F53EF"/>
    <w:rsid w:val="006F5583"/>
    <w:rsid w:val="006F62F9"/>
    <w:rsid w:val="006F7380"/>
    <w:rsid w:val="006F794F"/>
    <w:rsid w:val="006F7971"/>
    <w:rsid w:val="006F7ED3"/>
    <w:rsid w:val="006F7FE1"/>
    <w:rsid w:val="00700B85"/>
    <w:rsid w:val="00700CCF"/>
    <w:rsid w:val="00700EC2"/>
    <w:rsid w:val="0070125A"/>
    <w:rsid w:val="00701CBA"/>
    <w:rsid w:val="00702112"/>
    <w:rsid w:val="00702491"/>
    <w:rsid w:val="0070277A"/>
    <w:rsid w:val="00702F49"/>
    <w:rsid w:val="0070340F"/>
    <w:rsid w:val="0070362E"/>
    <w:rsid w:val="00703A17"/>
    <w:rsid w:val="00703CB8"/>
    <w:rsid w:val="00705026"/>
    <w:rsid w:val="00705C2F"/>
    <w:rsid w:val="00705E41"/>
    <w:rsid w:val="007070A2"/>
    <w:rsid w:val="00707512"/>
    <w:rsid w:val="00707745"/>
    <w:rsid w:val="00707857"/>
    <w:rsid w:val="00707900"/>
    <w:rsid w:val="007107D4"/>
    <w:rsid w:val="0071208E"/>
    <w:rsid w:val="007121F2"/>
    <w:rsid w:val="0071390B"/>
    <w:rsid w:val="00713C42"/>
    <w:rsid w:val="007142D7"/>
    <w:rsid w:val="00714493"/>
    <w:rsid w:val="00714606"/>
    <w:rsid w:val="00714B37"/>
    <w:rsid w:val="00714E2E"/>
    <w:rsid w:val="007160F5"/>
    <w:rsid w:val="0071614B"/>
    <w:rsid w:val="00716CDC"/>
    <w:rsid w:val="0071721E"/>
    <w:rsid w:val="00717FA5"/>
    <w:rsid w:val="0072094B"/>
    <w:rsid w:val="007209C1"/>
    <w:rsid w:val="007212E1"/>
    <w:rsid w:val="0072149F"/>
    <w:rsid w:val="00721633"/>
    <w:rsid w:val="007221F3"/>
    <w:rsid w:val="00722722"/>
    <w:rsid w:val="00722AF0"/>
    <w:rsid w:val="00723379"/>
    <w:rsid w:val="0072339E"/>
    <w:rsid w:val="00723791"/>
    <w:rsid w:val="00723B16"/>
    <w:rsid w:val="00724085"/>
    <w:rsid w:val="00724344"/>
    <w:rsid w:val="007247D7"/>
    <w:rsid w:val="007249D3"/>
    <w:rsid w:val="0072582C"/>
    <w:rsid w:val="00725936"/>
    <w:rsid w:val="00726671"/>
    <w:rsid w:val="0072740B"/>
    <w:rsid w:val="0072741F"/>
    <w:rsid w:val="00727BCA"/>
    <w:rsid w:val="00727E1C"/>
    <w:rsid w:val="00727F41"/>
    <w:rsid w:val="007304D0"/>
    <w:rsid w:val="00730C57"/>
    <w:rsid w:val="00730D3F"/>
    <w:rsid w:val="00730FFD"/>
    <w:rsid w:val="00731096"/>
    <w:rsid w:val="00732404"/>
    <w:rsid w:val="0073267F"/>
    <w:rsid w:val="00732976"/>
    <w:rsid w:val="00733160"/>
    <w:rsid w:val="007331F3"/>
    <w:rsid w:val="0073333B"/>
    <w:rsid w:val="00733614"/>
    <w:rsid w:val="0073366F"/>
    <w:rsid w:val="00733D8E"/>
    <w:rsid w:val="00734395"/>
    <w:rsid w:val="00734A34"/>
    <w:rsid w:val="00734AC8"/>
    <w:rsid w:val="007352B4"/>
    <w:rsid w:val="00735585"/>
    <w:rsid w:val="007359C9"/>
    <w:rsid w:val="007367D8"/>
    <w:rsid w:val="00736FC2"/>
    <w:rsid w:val="00737481"/>
    <w:rsid w:val="00737A56"/>
    <w:rsid w:val="00737CC9"/>
    <w:rsid w:val="00737D0A"/>
    <w:rsid w:val="00740289"/>
    <w:rsid w:val="007408A4"/>
    <w:rsid w:val="00740EE9"/>
    <w:rsid w:val="00740F58"/>
    <w:rsid w:val="00741483"/>
    <w:rsid w:val="00741EEA"/>
    <w:rsid w:val="00742058"/>
    <w:rsid w:val="0074280D"/>
    <w:rsid w:val="0074337F"/>
    <w:rsid w:val="007436D4"/>
    <w:rsid w:val="0074421F"/>
    <w:rsid w:val="0074499F"/>
    <w:rsid w:val="00744DC8"/>
    <w:rsid w:val="00745063"/>
    <w:rsid w:val="00745600"/>
    <w:rsid w:val="0074565B"/>
    <w:rsid w:val="007456F5"/>
    <w:rsid w:val="007465FB"/>
    <w:rsid w:val="00746ADE"/>
    <w:rsid w:val="00746E6A"/>
    <w:rsid w:val="007475A4"/>
    <w:rsid w:val="007477FE"/>
    <w:rsid w:val="00747F03"/>
    <w:rsid w:val="007502CA"/>
    <w:rsid w:val="00750E63"/>
    <w:rsid w:val="007511B9"/>
    <w:rsid w:val="00751562"/>
    <w:rsid w:val="00751600"/>
    <w:rsid w:val="00751B5A"/>
    <w:rsid w:val="0075344B"/>
    <w:rsid w:val="007537FD"/>
    <w:rsid w:val="007541A7"/>
    <w:rsid w:val="00754591"/>
    <w:rsid w:val="00755022"/>
    <w:rsid w:val="007552E8"/>
    <w:rsid w:val="00755B29"/>
    <w:rsid w:val="00755D53"/>
    <w:rsid w:val="00755FCC"/>
    <w:rsid w:val="007562E3"/>
    <w:rsid w:val="007566D6"/>
    <w:rsid w:val="007569EC"/>
    <w:rsid w:val="00756BC6"/>
    <w:rsid w:val="00756F8C"/>
    <w:rsid w:val="007571F7"/>
    <w:rsid w:val="00757C1B"/>
    <w:rsid w:val="00757CE0"/>
    <w:rsid w:val="0076004E"/>
    <w:rsid w:val="00760981"/>
    <w:rsid w:val="00760ADA"/>
    <w:rsid w:val="00761113"/>
    <w:rsid w:val="007616E1"/>
    <w:rsid w:val="00762766"/>
    <w:rsid w:val="007629C5"/>
    <w:rsid w:val="007637BA"/>
    <w:rsid w:val="00763A80"/>
    <w:rsid w:val="00763C35"/>
    <w:rsid w:val="007642FE"/>
    <w:rsid w:val="00764905"/>
    <w:rsid w:val="00764BE0"/>
    <w:rsid w:val="00764EE2"/>
    <w:rsid w:val="00765298"/>
    <w:rsid w:val="00765DD8"/>
    <w:rsid w:val="007661C5"/>
    <w:rsid w:val="00766542"/>
    <w:rsid w:val="007672D8"/>
    <w:rsid w:val="00767A82"/>
    <w:rsid w:val="00767F4A"/>
    <w:rsid w:val="00770167"/>
    <w:rsid w:val="00770A3D"/>
    <w:rsid w:val="00770B85"/>
    <w:rsid w:val="00770FA0"/>
    <w:rsid w:val="007713D2"/>
    <w:rsid w:val="00771A37"/>
    <w:rsid w:val="00771BCC"/>
    <w:rsid w:val="00772165"/>
    <w:rsid w:val="00772627"/>
    <w:rsid w:val="00772651"/>
    <w:rsid w:val="007727B3"/>
    <w:rsid w:val="00772CB8"/>
    <w:rsid w:val="007736B0"/>
    <w:rsid w:val="0077386B"/>
    <w:rsid w:val="00774631"/>
    <w:rsid w:val="007747CF"/>
    <w:rsid w:val="0077567F"/>
    <w:rsid w:val="00775AAF"/>
    <w:rsid w:val="00776C38"/>
    <w:rsid w:val="00776C53"/>
    <w:rsid w:val="00776F3F"/>
    <w:rsid w:val="007801BA"/>
    <w:rsid w:val="00780E12"/>
    <w:rsid w:val="00780E5A"/>
    <w:rsid w:val="007810C3"/>
    <w:rsid w:val="00781215"/>
    <w:rsid w:val="00781AE0"/>
    <w:rsid w:val="0078213E"/>
    <w:rsid w:val="00782B36"/>
    <w:rsid w:val="00782D2B"/>
    <w:rsid w:val="00782EBF"/>
    <w:rsid w:val="00783C29"/>
    <w:rsid w:val="007841EE"/>
    <w:rsid w:val="00784F35"/>
    <w:rsid w:val="007859DC"/>
    <w:rsid w:val="00786B2A"/>
    <w:rsid w:val="0078793B"/>
    <w:rsid w:val="00787C4B"/>
    <w:rsid w:val="0079018A"/>
    <w:rsid w:val="00791722"/>
    <w:rsid w:val="00791CA5"/>
    <w:rsid w:val="00791D2B"/>
    <w:rsid w:val="00791FE7"/>
    <w:rsid w:val="0079295E"/>
    <w:rsid w:val="0079385E"/>
    <w:rsid w:val="0079411A"/>
    <w:rsid w:val="0079414A"/>
    <w:rsid w:val="007944E6"/>
    <w:rsid w:val="00794641"/>
    <w:rsid w:val="0079497E"/>
    <w:rsid w:val="00794FB0"/>
    <w:rsid w:val="0079523B"/>
    <w:rsid w:val="0079526F"/>
    <w:rsid w:val="007952CD"/>
    <w:rsid w:val="00796623"/>
    <w:rsid w:val="00797D34"/>
    <w:rsid w:val="007A08A9"/>
    <w:rsid w:val="007A1737"/>
    <w:rsid w:val="007A1DFB"/>
    <w:rsid w:val="007A1E7C"/>
    <w:rsid w:val="007A2314"/>
    <w:rsid w:val="007A2ED1"/>
    <w:rsid w:val="007A4295"/>
    <w:rsid w:val="007A5A2E"/>
    <w:rsid w:val="007A5D34"/>
    <w:rsid w:val="007A61E3"/>
    <w:rsid w:val="007A7920"/>
    <w:rsid w:val="007B0174"/>
    <w:rsid w:val="007B093B"/>
    <w:rsid w:val="007B0940"/>
    <w:rsid w:val="007B0DC9"/>
    <w:rsid w:val="007B136F"/>
    <w:rsid w:val="007B1E38"/>
    <w:rsid w:val="007B209B"/>
    <w:rsid w:val="007B218F"/>
    <w:rsid w:val="007B25ED"/>
    <w:rsid w:val="007B3515"/>
    <w:rsid w:val="007B3EA3"/>
    <w:rsid w:val="007B3F9F"/>
    <w:rsid w:val="007B41F6"/>
    <w:rsid w:val="007B4627"/>
    <w:rsid w:val="007B56FD"/>
    <w:rsid w:val="007B5BB5"/>
    <w:rsid w:val="007B61BF"/>
    <w:rsid w:val="007B7074"/>
    <w:rsid w:val="007B735B"/>
    <w:rsid w:val="007B74F8"/>
    <w:rsid w:val="007C0175"/>
    <w:rsid w:val="007C0CE4"/>
    <w:rsid w:val="007C148A"/>
    <w:rsid w:val="007C297E"/>
    <w:rsid w:val="007C2D80"/>
    <w:rsid w:val="007C30FD"/>
    <w:rsid w:val="007C3B84"/>
    <w:rsid w:val="007C443E"/>
    <w:rsid w:val="007C4DE0"/>
    <w:rsid w:val="007C50C9"/>
    <w:rsid w:val="007C52DA"/>
    <w:rsid w:val="007C628D"/>
    <w:rsid w:val="007C7D21"/>
    <w:rsid w:val="007D0077"/>
    <w:rsid w:val="007D0873"/>
    <w:rsid w:val="007D12AC"/>
    <w:rsid w:val="007D1D0C"/>
    <w:rsid w:val="007D243C"/>
    <w:rsid w:val="007D2D25"/>
    <w:rsid w:val="007D3428"/>
    <w:rsid w:val="007D3ABA"/>
    <w:rsid w:val="007D3CA1"/>
    <w:rsid w:val="007D3F37"/>
    <w:rsid w:val="007D4663"/>
    <w:rsid w:val="007D48B0"/>
    <w:rsid w:val="007D5006"/>
    <w:rsid w:val="007D5132"/>
    <w:rsid w:val="007D5382"/>
    <w:rsid w:val="007D6476"/>
    <w:rsid w:val="007E00CC"/>
    <w:rsid w:val="007E02DC"/>
    <w:rsid w:val="007E0401"/>
    <w:rsid w:val="007E10A6"/>
    <w:rsid w:val="007E1474"/>
    <w:rsid w:val="007E168C"/>
    <w:rsid w:val="007E1B43"/>
    <w:rsid w:val="007E29FC"/>
    <w:rsid w:val="007E2FB9"/>
    <w:rsid w:val="007E30E7"/>
    <w:rsid w:val="007E3757"/>
    <w:rsid w:val="007E39A2"/>
    <w:rsid w:val="007E4440"/>
    <w:rsid w:val="007E4F51"/>
    <w:rsid w:val="007E5C23"/>
    <w:rsid w:val="007E5CDB"/>
    <w:rsid w:val="007E5CF6"/>
    <w:rsid w:val="007E77E9"/>
    <w:rsid w:val="007E7E03"/>
    <w:rsid w:val="007E7E52"/>
    <w:rsid w:val="007F0446"/>
    <w:rsid w:val="007F0496"/>
    <w:rsid w:val="007F07A9"/>
    <w:rsid w:val="007F1535"/>
    <w:rsid w:val="007F2320"/>
    <w:rsid w:val="007F266D"/>
    <w:rsid w:val="007F2782"/>
    <w:rsid w:val="007F3829"/>
    <w:rsid w:val="007F401B"/>
    <w:rsid w:val="007F4978"/>
    <w:rsid w:val="007F4C2A"/>
    <w:rsid w:val="007F5109"/>
    <w:rsid w:val="007F54D4"/>
    <w:rsid w:val="007F5597"/>
    <w:rsid w:val="007F5E52"/>
    <w:rsid w:val="007F68B9"/>
    <w:rsid w:val="007F6BCB"/>
    <w:rsid w:val="007F7191"/>
    <w:rsid w:val="007F7749"/>
    <w:rsid w:val="007F7DFF"/>
    <w:rsid w:val="00800040"/>
    <w:rsid w:val="008000F1"/>
    <w:rsid w:val="0080010F"/>
    <w:rsid w:val="008008C5"/>
    <w:rsid w:val="00801DA7"/>
    <w:rsid w:val="00802FFD"/>
    <w:rsid w:val="0080338C"/>
    <w:rsid w:val="00804274"/>
    <w:rsid w:val="008043CB"/>
    <w:rsid w:val="008046A7"/>
    <w:rsid w:val="00804C19"/>
    <w:rsid w:val="0080567D"/>
    <w:rsid w:val="00806090"/>
    <w:rsid w:val="00806D52"/>
    <w:rsid w:val="00806F9B"/>
    <w:rsid w:val="00807738"/>
    <w:rsid w:val="00807A58"/>
    <w:rsid w:val="0081007B"/>
    <w:rsid w:val="008100D3"/>
    <w:rsid w:val="008106F7"/>
    <w:rsid w:val="00810D22"/>
    <w:rsid w:val="00811E20"/>
    <w:rsid w:val="0081221B"/>
    <w:rsid w:val="00812417"/>
    <w:rsid w:val="00812434"/>
    <w:rsid w:val="00812F5A"/>
    <w:rsid w:val="008131C7"/>
    <w:rsid w:val="008132EB"/>
    <w:rsid w:val="0081541C"/>
    <w:rsid w:val="00815D52"/>
    <w:rsid w:val="00816200"/>
    <w:rsid w:val="0081670A"/>
    <w:rsid w:val="00816C03"/>
    <w:rsid w:val="00817066"/>
    <w:rsid w:val="00817C86"/>
    <w:rsid w:val="00817D08"/>
    <w:rsid w:val="00817E85"/>
    <w:rsid w:val="00817FE2"/>
    <w:rsid w:val="008200B5"/>
    <w:rsid w:val="008202ED"/>
    <w:rsid w:val="0082224D"/>
    <w:rsid w:val="00822EA0"/>
    <w:rsid w:val="00823426"/>
    <w:rsid w:val="00823ABB"/>
    <w:rsid w:val="00823F8C"/>
    <w:rsid w:val="00824DA4"/>
    <w:rsid w:val="00825BBF"/>
    <w:rsid w:val="00825C65"/>
    <w:rsid w:val="00825FB5"/>
    <w:rsid w:val="00826400"/>
    <w:rsid w:val="00826798"/>
    <w:rsid w:val="00826BCB"/>
    <w:rsid w:val="00826CA7"/>
    <w:rsid w:val="00830775"/>
    <w:rsid w:val="00831299"/>
    <w:rsid w:val="00831D39"/>
    <w:rsid w:val="00832E50"/>
    <w:rsid w:val="008332B9"/>
    <w:rsid w:val="008333AD"/>
    <w:rsid w:val="0083363A"/>
    <w:rsid w:val="00833719"/>
    <w:rsid w:val="008337DF"/>
    <w:rsid w:val="00833C18"/>
    <w:rsid w:val="00833E79"/>
    <w:rsid w:val="0083419A"/>
    <w:rsid w:val="0083478B"/>
    <w:rsid w:val="00834A44"/>
    <w:rsid w:val="008359D8"/>
    <w:rsid w:val="00836279"/>
    <w:rsid w:val="008367F0"/>
    <w:rsid w:val="00836ED5"/>
    <w:rsid w:val="008374C9"/>
    <w:rsid w:val="0083760E"/>
    <w:rsid w:val="00837623"/>
    <w:rsid w:val="008401FF"/>
    <w:rsid w:val="008411FE"/>
    <w:rsid w:val="00841EF8"/>
    <w:rsid w:val="00841FCA"/>
    <w:rsid w:val="00842F8A"/>
    <w:rsid w:val="008430A7"/>
    <w:rsid w:val="0084338E"/>
    <w:rsid w:val="00843A17"/>
    <w:rsid w:val="00845214"/>
    <w:rsid w:val="00845659"/>
    <w:rsid w:val="008458CD"/>
    <w:rsid w:val="008464A2"/>
    <w:rsid w:val="008464E7"/>
    <w:rsid w:val="008469BC"/>
    <w:rsid w:val="00847137"/>
    <w:rsid w:val="00847311"/>
    <w:rsid w:val="0084744D"/>
    <w:rsid w:val="00850053"/>
    <w:rsid w:val="00850514"/>
    <w:rsid w:val="00850E0E"/>
    <w:rsid w:val="00850FC1"/>
    <w:rsid w:val="00851D8A"/>
    <w:rsid w:val="00852024"/>
    <w:rsid w:val="0085288D"/>
    <w:rsid w:val="00852CC8"/>
    <w:rsid w:val="008545BA"/>
    <w:rsid w:val="00854A13"/>
    <w:rsid w:val="00855165"/>
    <w:rsid w:val="008551F2"/>
    <w:rsid w:val="0085541F"/>
    <w:rsid w:val="008557FE"/>
    <w:rsid w:val="00856172"/>
    <w:rsid w:val="008569A9"/>
    <w:rsid w:val="00856CA4"/>
    <w:rsid w:val="00857290"/>
    <w:rsid w:val="008572E1"/>
    <w:rsid w:val="0085743B"/>
    <w:rsid w:val="00857C8F"/>
    <w:rsid w:val="0086098E"/>
    <w:rsid w:val="00860F49"/>
    <w:rsid w:val="0086134D"/>
    <w:rsid w:val="0086165A"/>
    <w:rsid w:val="008624B9"/>
    <w:rsid w:val="00862640"/>
    <w:rsid w:val="008628A1"/>
    <w:rsid w:val="00862A3D"/>
    <w:rsid w:val="00863166"/>
    <w:rsid w:val="00863362"/>
    <w:rsid w:val="00863507"/>
    <w:rsid w:val="008653ED"/>
    <w:rsid w:val="00865DA0"/>
    <w:rsid w:val="008660D6"/>
    <w:rsid w:val="00866D83"/>
    <w:rsid w:val="00867177"/>
    <w:rsid w:val="00867876"/>
    <w:rsid w:val="00867B85"/>
    <w:rsid w:val="00867CB3"/>
    <w:rsid w:val="00867E24"/>
    <w:rsid w:val="00867E51"/>
    <w:rsid w:val="00867F41"/>
    <w:rsid w:val="00870E6B"/>
    <w:rsid w:val="0087161A"/>
    <w:rsid w:val="0087208F"/>
    <w:rsid w:val="008735F8"/>
    <w:rsid w:val="008738CC"/>
    <w:rsid w:val="00873DAA"/>
    <w:rsid w:val="00874190"/>
    <w:rsid w:val="008749F9"/>
    <w:rsid w:val="00875113"/>
    <w:rsid w:val="00875187"/>
    <w:rsid w:val="00875CAB"/>
    <w:rsid w:val="00876695"/>
    <w:rsid w:val="00876EAD"/>
    <w:rsid w:val="008778E6"/>
    <w:rsid w:val="00880A07"/>
    <w:rsid w:val="008812B3"/>
    <w:rsid w:val="008823A2"/>
    <w:rsid w:val="008824F2"/>
    <w:rsid w:val="008826BB"/>
    <w:rsid w:val="008828C2"/>
    <w:rsid w:val="0088406B"/>
    <w:rsid w:val="0088457F"/>
    <w:rsid w:val="00884B05"/>
    <w:rsid w:val="00884B4D"/>
    <w:rsid w:val="00884C56"/>
    <w:rsid w:val="008852C2"/>
    <w:rsid w:val="00885843"/>
    <w:rsid w:val="00886280"/>
    <w:rsid w:val="00886341"/>
    <w:rsid w:val="008863C9"/>
    <w:rsid w:val="00886D14"/>
    <w:rsid w:val="008871D5"/>
    <w:rsid w:val="008878AB"/>
    <w:rsid w:val="00887B4E"/>
    <w:rsid w:val="00887B9C"/>
    <w:rsid w:val="00887C05"/>
    <w:rsid w:val="00887C99"/>
    <w:rsid w:val="00887D27"/>
    <w:rsid w:val="008900DC"/>
    <w:rsid w:val="008905AD"/>
    <w:rsid w:val="00890671"/>
    <w:rsid w:val="008918BE"/>
    <w:rsid w:val="00892622"/>
    <w:rsid w:val="008932AA"/>
    <w:rsid w:val="008941C7"/>
    <w:rsid w:val="00894928"/>
    <w:rsid w:val="008954F4"/>
    <w:rsid w:val="00895541"/>
    <w:rsid w:val="00895AFA"/>
    <w:rsid w:val="00895E20"/>
    <w:rsid w:val="00896CC2"/>
    <w:rsid w:val="00896CD3"/>
    <w:rsid w:val="00896D86"/>
    <w:rsid w:val="008972BC"/>
    <w:rsid w:val="008973B3"/>
    <w:rsid w:val="00897D29"/>
    <w:rsid w:val="00897F80"/>
    <w:rsid w:val="008A0209"/>
    <w:rsid w:val="008A0F15"/>
    <w:rsid w:val="008A1A8F"/>
    <w:rsid w:val="008A321D"/>
    <w:rsid w:val="008A360D"/>
    <w:rsid w:val="008A3B5C"/>
    <w:rsid w:val="008A53D0"/>
    <w:rsid w:val="008A659A"/>
    <w:rsid w:val="008A6FCB"/>
    <w:rsid w:val="008A78EE"/>
    <w:rsid w:val="008B0C7A"/>
    <w:rsid w:val="008B0D58"/>
    <w:rsid w:val="008B0DF4"/>
    <w:rsid w:val="008B0F96"/>
    <w:rsid w:val="008B17E4"/>
    <w:rsid w:val="008B23EE"/>
    <w:rsid w:val="008B29A7"/>
    <w:rsid w:val="008B46E2"/>
    <w:rsid w:val="008B4EDB"/>
    <w:rsid w:val="008B4F00"/>
    <w:rsid w:val="008B5C68"/>
    <w:rsid w:val="008B5D58"/>
    <w:rsid w:val="008B63C1"/>
    <w:rsid w:val="008B6A80"/>
    <w:rsid w:val="008B6B4C"/>
    <w:rsid w:val="008B6BE3"/>
    <w:rsid w:val="008B7227"/>
    <w:rsid w:val="008B7237"/>
    <w:rsid w:val="008B7A24"/>
    <w:rsid w:val="008B7EEB"/>
    <w:rsid w:val="008B7EF8"/>
    <w:rsid w:val="008B7FBF"/>
    <w:rsid w:val="008C0590"/>
    <w:rsid w:val="008C1121"/>
    <w:rsid w:val="008C153E"/>
    <w:rsid w:val="008C1807"/>
    <w:rsid w:val="008C22B0"/>
    <w:rsid w:val="008C39C9"/>
    <w:rsid w:val="008C39CE"/>
    <w:rsid w:val="008C3A58"/>
    <w:rsid w:val="008C4014"/>
    <w:rsid w:val="008C430F"/>
    <w:rsid w:val="008C44E8"/>
    <w:rsid w:val="008C55F2"/>
    <w:rsid w:val="008C5ACD"/>
    <w:rsid w:val="008C6714"/>
    <w:rsid w:val="008C6808"/>
    <w:rsid w:val="008C7A05"/>
    <w:rsid w:val="008D0430"/>
    <w:rsid w:val="008D0BB1"/>
    <w:rsid w:val="008D16DA"/>
    <w:rsid w:val="008D2961"/>
    <w:rsid w:val="008D38E0"/>
    <w:rsid w:val="008D40EE"/>
    <w:rsid w:val="008D49BB"/>
    <w:rsid w:val="008D4B33"/>
    <w:rsid w:val="008D4B8D"/>
    <w:rsid w:val="008D4F20"/>
    <w:rsid w:val="008D5166"/>
    <w:rsid w:val="008D5235"/>
    <w:rsid w:val="008D74C0"/>
    <w:rsid w:val="008D773F"/>
    <w:rsid w:val="008E1290"/>
    <w:rsid w:val="008E375E"/>
    <w:rsid w:val="008E39B8"/>
    <w:rsid w:val="008E4BAE"/>
    <w:rsid w:val="008E4F82"/>
    <w:rsid w:val="008E5EAF"/>
    <w:rsid w:val="008E6896"/>
    <w:rsid w:val="008E6BBD"/>
    <w:rsid w:val="008E6C1C"/>
    <w:rsid w:val="008E6CB9"/>
    <w:rsid w:val="008E6E47"/>
    <w:rsid w:val="008E7DFB"/>
    <w:rsid w:val="008F0B67"/>
    <w:rsid w:val="008F0CEC"/>
    <w:rsid w:val="008F1986"/>
    <w:rsid w:val="008F2D80"/>
    <w:rsid w:val="008F2E45"/>
    <w:rsid w:val="008F3350"/>
    <w:rsid w:val="008F3E9C"/>
    <w:rsid w:val="008F42EE"/>
    <w:rsid w:val="008F501F"/>
    <w:rsid w:val="008F50CC"/>
    <w:rsid w:val="008F510F"/>
    <w:rsid w:val="008F59AF"/>
    <w:rsid w:val="008F5D6B"/>
    <w:rsid w:val="008F5F27"/>
    <w:rsid w:val="008F62B6"/>
    <w:rsid w:val="008F674C"/>
    <w:rsid w:val="008F76DB"/>
    <w:rsid w:val="008F7AF4"/>
    <w:rsid w:val="0090047C"/>
    <w:rsid w:val="0090050C"/>
    <w:rsid w:val="009008B3"/>
    <w:rsid w:val="00900CBF"/>
    <w:rsid w:val="00900F1F"/>
    <w:rsid w:val="00901289"/>
    <w:rsid w:val="009021D2"/>
    <w:rsid w:val="00902755"/>
    <w:rsid w:val="00902BE8"/>
    <w:rsid w:val="00902DE4"/>
    <w:rsid w:val="00902E69"/>
    <w:rsid w:val="0090304A"/>
    <w:rsid w:val="00903E44"/>
    <w:rsid w:val="00903E6B"/>
    <w:rsid w:val="00904478"/>
    <w:rsid w:val="00904DC6"/>
    <w:rsid w:val="00905581"/>
    <w:rsid w:val="0090602D"/>
    <w:rsid w:val="00906AF6"/>
    <w:rsid w:val="009074FE"/>
    <w:rsid w:val="00907C42"/>
    <w:rsid w:val="00910061"/>
    <w:rsid w:val="00910271"/>
    <w:rsid w:val="00910D14"/>
    <w:rsid w:val="00911135"/>
    <w:rsid w:val="009113D4"/>
    <w:rsid w:val="009118AC"/>
    <w:rsid w:val="00911D2D"/>
    <w:rsid w:val="0091200D"/>
    <w:rsid w:val="0091224F"/>
    <w:rsid w:val="009126C6"/>
    <w:rsid w:val="00912F19"/>
    <w:rsid w:val="009133DC"/>
    <w:rsid w:val="0091347B"/>
    <w:rsid w:val="00913CC8"/>
    <w:rsid w:val="00913FDD"/>
    <w:rsid w:val="0091458C"/>
    <w:rsid w:val="00914635"/>
    <w:rsid w:val="00915556"/>
    <w:rsid w:val="00915DDB"/>
    <w:rsid w:val="00915DE5"/>
    <w:rsid w:val="009164F0"/>
    <w:rsid w:val="0091664F"/>
    <w:rsid w:val="00916D84"/>
    <w:rsid w:val="00916D90"/>
    <w:rsid w:val="0092066D"/>
    <w:rsid w:val="00920850"/>
    <w:rsid w:val="00920973"/>
    <w:rsid w:val="00920BB0"/>
    <w:rsid w:val="00921282"/>
    <w:rsid w:val="00921B04"/>
    <w:rsid w:val="00922D0B"/>
    <w:rsid w:val="00922F2D"/>
    <w:rsid w:val="00923520"/>
    <w:rsid w:val="00923964"/>
    <w:rsid w:val="00923E2B"/>
    <w:rsid w:val="00924B31"/>
    <w:rsid w:val="00924B4C"/>
    <w:rsid w:val="009251DB"/>
    <w:rsid w:val="0092572B"/>
    <w:rsid w:val="00925B7F"/>
    <w:rsid w:val="00925FFE"/>
    <w:rsid w:val="009262D5"/>
    <w:rsid w:val="00926F96"/>
    <w:rsid w:val="0092723E"/>
    <w:rsid w:val="00927F61"/>
    <w:rsid w:val="0093084F"/>
    <w:rsid w:val="00930C99"/>
    <w:rsid w:val="0093167F"/>
    <w:rsid w:val="00931C17"/>
    <w:rsid w:val="009323CF"/>
    <w:rsid w:val="009338E2"/>
    <w:rsid w:val="00934072"/>
    <w:rsid w:val="0093434C"/>
    <w:rsid w:val="0093489B"/>
    <w:rsid w:val="009348A6"/>
    <w:rsid w:val="009350D0"/>
    <w:rsid w:val="00935389"/>
    <w:rsid w:val="00935FAA"/>
    <w:rsid w:val="00936090"/>
    <w:rsid w:val="0093635F"/>
    <w:rsid w:val="009363B6"/>
    <w:rsid w:val="0093690F"/>
    <w:rsid w:val="00936CF1"/>
    <w:rsid w:val="00937126"/>
    <w:rsid w:val="009374B9"/>
    <w:rsid w:val="009378D0"/>
    <w:rsid w:val="00937D35"/>
    <w:rsid w:val="0094042B"/>
    <w:rsid w:val="009404D1"/>
    <w:rsid w:val="00940BA2"/>
    <w:rsid w:val="00941770"/>
    <w:rsid w:val="009417CA"/>
    <w:rsid w:val="00941872"/>
    <w:rsid w:val="00942474"/>
    <w:rsid w:val="009433F2"/>
    <w:rsid w:val="009439BB"/>
    <w:rsid w:val="00943A7C"/>
    <w:rsid w:val="00943B3D"/>
    <w:rsid w:val="009441C2"/>
    <w:rsid w:val="009443EF"/>
    <w:rsid w:val="00944BB9"/>
    <w:rsid w:val="00944DD5"/>
    <w:rsid w:val="00945010"/>
    <w:rsid w:val="00945343"/>
    <w:rsid w:val="009456A5"/>
    <w:rsid w:val="0094572F"/>
    <w:rsid w:val="00945DB8"/>
    <w:rsid w:val="009461E8"/>
    <w:rsid w:val="009464D5"/>
    <w:rsid w:val="009466B6"/>
    <w:rsid w:val="009468F6"/>
    <w:rsid w:val="0094785D"/>
    <w:rsid w:val="0094787A"/>
    <w:rsid w:val="00947C0D"/>
    <w:rsid w:val="00947C4F"/>
    <w:rsid w:val="009508A6"/>
    <w:rsid w:val="00950E3B"/>
    <w:rsid w:val="009510AF"/>
    <w:rsid w:val="0095154C"/>
    <w:rsid w:val="00951739"/>
    <w:rsid w:val="00951827"/>
    <w:rsid w:val="00951868"/>
    <w:rsid w:val="009531B9"/>
    <w:rsid w:val="00953B42"/>
    <w:rsid w:val="0095516B"/>
    <w:rsid w:val="009551A9"/>
    <w:rsid w:val="00955903"/>
    <w:rsid w:val="00955A79"/>
    <w:rsid w:val="00955AAA"/>
    <w:rsid w:val="0095625F"/>
    <w:rsid w:val="009563A8"/>
    <w:rsid w:val="0095670B"/>
    <w:rsid w:val="00956902"/>
    <w:rsid w:val="009574DD"/>
    <w:rsid w:val="00957B97"/>
    <w:rsid w:val="0096083F"/>
    <w:rsid w:val="00960B93"/>
    <w:rsid w:val="00960CA8"/>
    <w:rsid w:val="00960CEB"/>
    <w:rsid w:val="00961287"/>
    <w:rsid w:val="00961F93"/>
    <w:rsid w:val="0096233F"/>
    <w:rsid w:val="00962BF4"/>
    <w:rsid w:val="00963C97"/>
    <w:rsid w:val="00965653"/>
    <w:rsid w:val="00965A69"/>
    <w:rsid w:val="00966C60"/>
    <w:rsid w:val="0096794E"/>
    <w:rsid w:val="009706B1"/>
    <w:rsid w:val="00970D98"/>
    <w:rsid w:val="00971255"/>
    <w:rsid w:val="0097158A"/>
    <w:rsid w:val="0097167E"/>
    <w:rsid w:val="009719CA"/>
    <w:rsid w:val="00971D85"/>
    <w:rsid w:val="009720A9"/>
    <w:rsid w:val="009728E5"/>
    <w:rsid w:val="00973C41"/>
    <w:rsid w:val="00975089"/>
    <w:rsid w:val="00975360"/>
    <w:rsid w:val="00975CCC"/>
    <w:rsid w:val="00975E04"/>
    <w:rsid w:val="009761CA"/>
    <w:rsid w:val="00976F71"/>
    <w:rsid w:val="0098072A"/>
    <w:rsid w:val="00980826"/>
    <w:rsid w:val="00980908"/>
    <w:rsid w:val="009813F2"/>
    <w:rsid w:val="00982034"/>
    <w:rsid w:val="0098226F"/>
    <w:rsid w:val="0098334C"/>
    <w:rsid w:val="00983B1B"/>
    <w:rsid w:val="0098490B"/>
    <w:rsid w:val="00984A87"/>
    <w:rsid w:val="00984E51"/>
    <w:rsid w:val="0098627B"/>
    <w:rsid w:val="0098668F"/>
    <w:rsid w:val="00986AA3"/>
    <w:rsid w:val="00987061"/>
    <w:rsid w:val="009876A5"/>
    <w:rsid w:val="00987755"/>
    <w:rsid w:val="00987925"/>
    <w:rsid w:val="00987937"/>
    <w:rsid w:val="009907A9"/>
    <w:rsid w:val="00990A91"/>
    <w:rsid w:val="00991A3E"/>
    <w:rsid w:val="00991D3B"/>
    <w:rsid w:val="00992D0A"/>
    <w:rsid w:val="00993AAF"/>
    <w:rsid w:val="009940E8"/>
    <w:rsid w:val="00994679"/>
    <w:rsid w:val="00994804"/>
    <w:rsid w:val="00995849"/>
    <w:rsid w:val="009959D9"/>
    <w:rsid w:val="00995CDD"/>
    <w:rsid w:val="0099638F"/>
    <w:rsid w:val="009969DD"/>
    <w:rsid w:val="00996A95"/>
    <w:rsid w:val="0099708D"/>
    <w:rsid w:val="00997A0D"/>
    <w:rsid w:val="009A0C91"/>
    <w:rsid w:val="009A1359"/>
    <w:rsid w:val="009A244D"/>
    <w:rsid w:val="009A2D49"/>
    <w:rsid w:val="009A33E3"/>
    <w:rsid w:val="009A3B31"/>
    <w:rsid w:val="009A3E3D"/>
    <w:rsid w:val="009A4CA0"/>
    <w:rsid w:val="009A51FF"/>
    <w:rsid w:val="009A55BF"/>
    <w:rsid w:val="009A5D03"/>
    <w:rsid w:val="009A5E69"/>
    <w:rsid w:val="009A67ED"/>
    <w:rsid w:val="009A6CF5"/>
    <w:rsid w:val="009A7F0C"/>
    <w:rsid w:val="009B0091"/>
    <w:rsid w:val="009B012B"/>
    <w:rsid w:val="009B0268"/>
    <w:rsid w:val="009B0335"/>
    <w:rsid w:val="009B0804"/>
    <w:rsid w:val="009B1F7D"/>
    <w:rsid w:val="009B32BB"/>
    <w:rsid w:val="009B344E"/>
    <w:rsid w:val="009B3B9E"/>
    <w:rsid w:val="009B3CE1"/>
    <w:rsid w:val="009B4E71"/>
    <w:rsid w:val="009B4EC7"/>
    <w:rsid w:val="009B5A4C"/>
    <w:rsid w:val="009B64EA"/>
    <w:rsid w:val="009B6949"/>
    <w:rsid w:val="009B69D1"/>
    <w:rsid w:val="009B6D32"/>
    <w:rsid w:val="009B7482"/>
    <w:rsid w:val="009B7AB3"/>
    <w:rsid w:val="009C0506"/>
    <w:rsid w:val="009C0BC6"/>
    <w:rsid w:val="009C0E40"/>
    <w:rsid w:val="009C11AC"/>
    <w:rsid w:val="009C1835"/>
    <w:rsid w:val="009C2102"/>
    <w:rsid w:val="009C2A5D"/>
    <w:rsid w:val="009C354A"/>
    <w:rsid w:val="009C3C3E"/>
    <w:rsid w:val="009C3F3F"/>
    <w:rsid w:val="009C3F49"/>
    <w:rsid w:val="009C4174"/>
    <w:rsid w:val="009C4192"/>
    <w:rsid w:val="009C50A2"/>
    <w:rsid w:val="009C5514"/>
    <w:rsid w:val="009C6068"/>
    <w:rsid w:val="009C6494"/>
    <w:rsid w:val="009C65BA"/>
    <w:rsid w:val="009C6846"/>
    <w:rsid w:val="009C7F53"/>
    <w:rsid w:val="009C7F94"/>
    <w:rsid w:val="009D0516"/>
    <w:rsid w:val="009D187A"/>
    <w:rsid w:val="009D1C29"/>
    <w:rsid w:val="009D1CA1"/>
    <w:rsid w:val="009D2912"/>
    <w:rsid w:val="009D3190"/>
    <w:rsid w:val="009D3DC0"/>
    <w:rsid w:val="009D4261"/>
    <w:rsid w:val="009D44C6"/>
    <w:rsid w:val="009D4D07"/>
    <w:rsid w:val="009D5063"/>
    <w:rsid w:val="009D59E3"/>
    <w:rsid w:val="009D5CBC"/>
    <w:rsid w:val="009D5FDA"/>
    <w:rsid w:val="009D61D3"/>
    <w:rsid w:val="009D6320"/>
    <w:rsid w:val="009D6BB4"/>
    <w:rsid w:val="009D6BFF"/>
    <w:rsid w:val="009D7034"/>
    <w:rsid w:val="009D7106"/>
    <w:rsid w:val="009D7472"/>
    <w:rsid w:val="009D7F42"/>
    <w:rsid w:val="009E09CE"/>
    <w:rsid w:val="009E1483"/>
    <w:rsid w:val="009E1AB8"/>
    <w:rsid w:val="009E1BD0"/>
    <w:rsid w:val="009E2288"/>
    <w:rsid w:val="009E26B1"/>
    <w:rsid w:val="009E2FC1"/>
    <w:rsid w:val="009E315A"/>
    <w:rsid w:val="009E35AD"/>
    <w:rsid w:val="009E4030"/>
    <w:rsid w:val="009E4727"/>
    <w:rsid w:val="009E4825"/>
    <w:rsid w:val="009E49FF"/>
    <w:rsid w:val="009E54F2"/>
    <w:rsid w:val="009E62E0"/>
    <w:rsid w:val="009E68EB"/>
    <w:rsid w:val="009E6D84"/>
    <w:rsid w:val="009E700E"/>
    <w:rsid w:val="009E7D0F"/>
    <w:rsid w:val="009F0A03"/>
    <w:rsid w:val="009F1169"/>
    <w:rsid w:val="009F1178"/>
    <w:rsid w:val="009F146D"/>
    <w:rsid w:val="009F1F04"/>
    <w:rsid w:val="009F1FB5"/>
    <w:rsid w:val="009F20FD"/>
    <w:rsid w:val="009F2DF5"/>
    <w:rsid w:val="009F35DE"/>
    <w:rsid w:val="009F520F"/>
    <w:rsid w:val="009F530D"/>
    <w:rsid w:val="009F552F"/>
    <w:rsid w:val="009F5646"/>
    <w:rsid w:val="009F5A9E"/>
    <w:rsid w:val="009F602D"/>
    <w:rsid w:val="009F6377"/>
    <w:rsid w:val="009F6808"/>
    <w:rsid w:val="009F6B98"/>
    <w:rsid w:val="009F701B"/>
    <w:rsid w:val="009F7255"/>
    <w:rsid w:val="009F7F2C"/>
    <w:rsid w:val="00A002F4"/>
    <w:rsid w:val="00A003A8"/>
    <w:rsid w:val="00A012B8"/>
    <w:rsid w:val="00A01450"/>
    <w:rsid w:val="00A01528"/>
    <w:rsid w:val="00A01804"/>
    <w:rsid w:val="00A019F9"/>
    <w:rsid w:val="00A02479"/>
    <w:rsid w:val="00A02D7E"/>
    <w:rsid w:val="00A03280"/>
    <w:rsid w:val="00A032E6"/>
    <w:rsid w:val="00A03655"/>
    <w:rsid w:val="00A03954"/>
    <w:rsid w:val="00A03AC8"/>
    <w:rsid w:val="00A03B3E"/>
    <w:rsid w:val="00A03B83"/>
    <w:rsid w:val="00A04022"/>
    <w:rsid w:val="00A04BBA"/>
    <w:rsid w:val="00A04DD0"/>
    <w:rsid w:val="00A051D7"/>
    <w:rsid w:val="00A05343"/>
    <w:rsid w:val="00A0574E"/>
    <w:rsid w:val="00A0598A"/>
    <w:rsid w:val="00A06BDB"/>
    <w:rsid w:val="00A07668"/>
    <w:rsid w:val="00A105C7"/>
    <w:rsid w:val="00A1083A"/>
    <w:rsid w:val="00A10B41"/>
    <w:rsid w:val="00A10D80"/>
    <w:rsid w:val="00A111AA"/>
    <w:rsid w:val="00A11B8A"/>
    <w:rsid w:val="00A124BB"/>
    <w:rsid w:val="00A12637"/>
    <w:rsid w:val="00A12C48"/>
    <w:rsid w:val="00A132E2"/>
    <w:rsid w:val="00A13694"/>
    <w:rsid w:val="00A13D87"/>
    <w:rsid w:val="00A14237"/>
    <w:rsid w:val="00A14800"/>
    <w:rsid w:val="00A14B42"/>
    <w:rsid w:val="00A1699B"/>
    <w:rsid w:val="00A16B11"/>
    <w:rsid w:val="00A16FFE"/>
    <w:rsid w:val="00A1710A"/>
    <w:rsid w:val="00A1727B"/>
    <w:rsid w:val="00A1732C"/>
    <w:rsid w:val="00A17362"/>
    <w:rsid w:val="00A17479"/>
    <w:rsid w:val="00A1748C"/>
    <w:rsid w:val="00A17925"/>
    <w:rsid w:val="00A2026E"/>
    <w:rsid w:val="00A210BC"/>
    <w:rsid w:val="00A210C2"/>
    <w:rsid w:val="00A21605"/>
    <w:rsid w:val="00A219C5"/>
    <w:rsid w:val="00A22C40"/>
    <w:rsid w:val="00A2306E"/>
    <w:rsid w:val="00A23D89"/>
    <w:rsid w:val="00A23FF6"/>
    <w:rsid w:val="00A248BA"/>
    <w:rsid w:val="00A24E94"/>
    <w:rsid w:val="00A250CB"/>
    <w:rsid w:val="00A252AA"/>
    <w:rsid w:val="00A259CE"/>
    <w:rsid w:val="00A25EC6"/>
    <w:rsid w:val="00A25FF5"/>
    <w:rsid w:val="00A26EEC"/>
    <w:rsid w:val="00A274B9"/>
    <w:rsid w:val="00A31748"/>
    <w:rsid w:val="00A3182E"/>
    <w:rsid w:val="00A32CDF"/>
    <w:rsid w:val="00A32ED7"/>
    <w:rsid w:val="00A333AA"/>
    <w:rsid w:val="00A344C9"/>
    <w:rsid w:val="00A35577"/>
    <w:rsid w:val="00A35835"/>
    <w:rsid w:val="00A35E17"/>
    <w:rsid w:val="00A35F48"/>
    <w:rsid w:val="00A36786"/>
    <w:rsid w:val="00A36D56"/>
    <w:rsid w:val="00A36F81"/>
    <w:rsid w:val="00A37342"/>
    <w:rsid w:val="00A37E11"/>
    <w:rsid w:val="00A405AB"/>
    <w:rsid w:val="00A40902"/>
    <w:rsid w:val="00A40926"/>
    <w:rsid w:val="00A40B22"/>
    <w:rsid w:val="00A40B87"/>
    <w:rsid w:val="00A41EEA"/>
    <w:rsid w:val="00A42708"/>
    <w:rsid w:val="00A42DE3"/>
    <w:rsid w:val="00A43A9A"/>
    <w:rsid w:val="00A448AD"/>
    <w:rsid w:val="00A44935"/>
    <w:rsid w:val="00A44C4D"/>
    <w:rsid w:val="00A44E96"/>
    <w:rsid w:val="00A46444"/>
    <w:rsid w:val="00A46607"/>
    <w:rsid w:val="00A468D9"/>
    <w:rsid w:val="00A503D4"/>
    <w:rsid w:val="00A50C40"/>
    <w:rsid w:val="00A50D34"/>
    <w:rsid w:val="00A5124B"/>
    <w:rsid w:val="00A516B8"/>
    <w:rsid w:val="00A52758"/>
    <w:rsid w:val="00A532ED"/>
    <w:rsid w:val="00A53415"/>
    <w:rsid w:val="00A53959"/>
    <w:rsid w:val="00A53BA3"/>
    <w:rsid w:val="00A53DCB"/>
    <w:rsid w:val="00A5444D"/>
    <w:rsid w:val="00A54C14"/>
    <w:rsid w:val="00A54C75"/>
    <w:rsid w:val="00A54DDC"/>
    <w:rsid w:val="00A54F2A"/>
    <w:rsid w:val="00A55198"/>
    <w:rsid w:val="00A552BE"/>
    <w:rsid w:val="00A556CC"/>
    <w:rsid w:val="00A56167"/>
    <w:rsid w:val="00A56BAA"/>
    <w:rsid w:val="00A56D59"/>
    <w:rsid w:val="00A570A3"/>
    <w:rsid w:val="00A57A3D"/>
    <w:rsid w:val="00A6013F"/>
    <w:rsid w:val="00A60890"/>
    <w:rsid w:val="00A61518"/>
    <w:rsid w:val="00A6151D"/>
    <w:rsid w:val="00A616F0"/>
    <w:rsid w:val="00A61B23"/>
    <w:rsid w:val="00A624A0"/>
    <w:rsid w:val="00A62CA5"/>
    <w:rsid w:val="00A63639"/>
    <w:rsid w:val="00A63966"/>
    <w:rsid w:val="00A6400A"/>
    <w:rsid w:val="00A640A9"/>
    <w:rsid w:val="00A644A5"/>
    <w:rsid w:val="00A644F7"/>
    <w:rsid w:val="00A647D7"/>
    <w:rsid w:val="00A6487B"/>
    <w:rsid w:val="00A64A4F"/>
    <w:rsid w:val="00A65001"/>
    <w:rsid w:val="00A6529B"/>
    <w:rsid w:val="00A659BF"/>
    <w:rsid w:val="00A65B71"/>
    <w:rsid w:val="00A65F2B"/>
    <w:rsid w:val="00A66721"/>
    <w:rsid w:val="00A669D1"/>
    <w:rsid w:val="00A66A77"/>
    <w:rsid w:val="00A66A9C"/>
    <w:rsid w:val="00A67638"/>
    <w:rsid w:val="00A67700"/>
    <w:rsid w:val="00A67A52"/>
    <w:rsid w:val="00A67EEB"/>
    <w:rsid w:val="00A700D7"/>
    <w:rsid w:val="00A7098B"/>
    <w:rsid w:val="00A71EF8"/>
    <w:rsid w:val="00A726FF"/>
    <w:rsid w:val="00A72A3A"/>
    <w:rsid w:val="00A72CBF"/>
    <w:rsid w:val="00A72FFD"/>
    <w:rsid w:val="00A73213"/>
    <w:rsid w:val="00A73AB9"/>
    <w:rsid w:val="00A73C73"/>
    <w:rsid w:val="00A73ED2"/>
    <w:rsid w:val="00A74203"/>
    <w:rsid w:val="00A74292"/>
    <w:rsid w:val="00A74456"/>
    <w:rsid w:val="00A74D69"/>
    <w:rsid w:val="00A74EB3"/>
    <w:rsid w:val="00A75234"/>
    <w:rsid w:val="00A75DCA"/>
    <w:rsid w:val="00A7619F"/>
    <w:rsid w:val="00A762D1"/>
    <w:rsid w:val="00A76728"/>
    <w:rsid w:val="00A76761"/>
    <w:rsid w:val="00A76E1D"/>
    <w:rsid w:val="00A7712B"/>
    <w:rsid w:val="00A77173"/>
    <w:rsid w:val="00A804E5"/>
    <w:rsid w:val="00A80784"/>
    <w:rsid w:val="00A80974"/>
    <w:rsid w:val="00A81881"/>
    <w:rsid w:val="00A820B6"/>
    <w:rsid w:val="00A82A58"/>
    <w:rsid w:val="00A82ED8"/>
    <w:rsid w:val="00A83172"/>
    <w:rsid w:val="00A83359"/>
    <w:rsid w:val="00A84484"/>
    <w:rsid w:val="00A8487D"/>
    <w:rsid w:val="00A84C85"/>
    <w:rsid w:val="00A84FA4"/>
    <w:rsid w:val="00A868A0"/>
    <w:rsid w:val="00A86F14"/>
    <w:rsid w:val="00A873F3"/>
    <w:rsid w:val="00A8757F"/>
    <w:rsid w:val="00A877C1"/>
    <w:rsid w:val="00A87FDC"/>
    <w:rsid w:val="00A902F8"/>
    <w:rsid w:val="00A90377"/>
    <w:rsid w:val="00A903F0"/>
    <w:rsid w:val="00A9063F"/>
    <w:rsid w:val="00A908F2"/>
    <w:rsid w:val="00A91058"/>
    <w:rsid w:val="00A9131A"/>
    <w:rsid w:val="00A91591"/>
    <w:rsid w:val="00A91613"/>
    <w:rsid w:val="00A9176B"/>
    <w:rsid w:val="00A91A96"/>
    <w:rsid w:val="00A9259A"/>
    <w:rsid w:val="00A93C60"/>
    <w:rsid w:val="00A94D9A"/>
    <w:rsid w:val="00A95041"/>
    <w:rsid w:val="00A96578"/>
    <w:rsid w:val="00A96871"/>
    <w:rsid w:val="00A96900"/>
    <w:rsid w:val="00A96B38"/>
    <w:rsid w:val="00A9714F"/>
    <w:rsid w:val="00A97397"/>
    <w:rsid w:val="00AA0900"/>
    <w:rsid w:val="00AA0F91"/>
    <w:rsid w:val="00AA1784"/>
    <w:rsid w:val="00AA2187"/>
    <w:rsid w:val="00AA22BB"/>
    <w:rsid w:val="00AA2477"/>
    <w:rsid w:val="00AA24D9"/>
    <w:rsid w:val="00AA2D4D"/>
    <w:rsid w:val="00AA322F"/>
    <w:rsid w:val="00AA39E3"/>
    <w:rsid w:val="00AA3FB2"/>
    <w:rsid w:val="00AA44EA"/>
    <w:rsid w:val="00AA5076"/>
    <w:rsid w:val="00AA65E9"/>
    <w:rsid w:val="00AA6CC3"/>
    <w:rsid w:val="00AA6F20"/>
    <w:rsid w:val="00AA710E"/>
    <w:rsid w:val="00AA72DF"/>
    <w:rsid w:val="00AA7419"/>
    <w:rsid w:val="00AB01E2"/>
    <w:rsid w:val="00AB0779"/>
    <w:rsid w:val="00AB1566"/>
    <w:rsid w:val="00AB19F0"/>
    <w:rsid w:val="00AB20DF"/>
    <w:rsid w:val="00AB21F4"/>
    <w:rsid w:val="00AB23F2"/>
    <w:rsid w:val="00AB24FF"/>
    <w:rsid w:val="00AB4C17"/>
    <w:rsid w:val="00AB4C3C"/>
    <w:rsid w:val="00AB5735"/>
    <w:rsid w:val="00AB58D7"/>
    <w:rsid w:val="00AB70C5"/>
    <w:rsid w:val="00AB753D"/>
    <w:rsid w:val="00AB75BD"/>
    <w:rsid w:val="00AB7904"/>
    <w:rsid w:val="00AB7A4E"/>
    <w:rsid w:val="00AB7EC0"/>
    <w:rsid w:val="00AC0309"/>
    <w:rsid w:val="00AC0C4A"/>
    <w:rsid w:val="00AC1170"/>
    <w:rsid w:val="00AC1669"/>
    <w:rsid w:val="00AC2F55"/>
    <w:rsid w:val="00AC305F"/>
    <w:rsid w:val="00AC42D4"/>
    <w:rsid w:val="00AC4FE7"/>
    <w:rsid w:val="00AC533D"/>
    <w:rsid w:val="00AC609D"/>
    <w:rsid w:val="00AC60DE"/>
    <w:rsid w:val="00AC6D22"/>
    <w:rsid w:val="00AC7537"/>
    <w:rsid w:val="00AC756B"/>
    <w:rsid w:val="00AC7A9F"/>
    <w:rsid w:val="00AC7B8A"/>
    <w:rsid w:val="00AC7EDB"/>
    <w:rsid w:val="00AD04CF"/>
    <w:rsid w:val="00AD058D"/>
    <w:rsid w:val="00AD074A"/>
    <w:rsid w:val="00AD07CF"/>
    <w:rsid w:val="00AD0C11"/>
    <w:rsid w:val="00AD0E57"/>
    <w:rsid w:val="00AD0ED8"/>
    <w:rsid w:val="00AD1BB9"/>
    <w:rsid w:val="00AD28A6"/>
    <w:rsid w:val="00AD301D"/>
    <w:rsid w:val="00AD3FC6"/>
    <w:rsid w:val="00AD50B8"/>
    <w:rsid w:val="00AD5BFA"/>
    <w:rsid w:val="00AD5C28"/>
    <w:rsid w:val="00AD5D5B"/>
    <w:rsid w:val="00AD62F6"/>
    <w:rsid w:val="00AD6BBA"/>
    <w:rsid w:val="00AD7C97"/>
    <w:rsid w:val="00AD7E59"/>
    <w:rsid w:val="00AE08A8"/>
    <w:rsid w:val="00AE11EF"/>
    <w:rsid w:val="00AE141E"/>
    <w:rsid w:val="00AE17AC"/>
    <w:rsid w:val="00AE214C"/>
    <w:rsid w:val="00AE234E"/>
    <w:rsid w:val="00AE3660"/>
    <w:rsid w:val="00AE396A"/>
    <w:rsid w:val="00AE42C4"/>
    <w:rsid w:val="00AE4621"/>
    <w:rsid w:val="00AE4C90"/>
    <w:rsid w:val="00AE6488"/>
    <w:rsid w:val="00AE6917"/>
    <w:rsid w:val="00AE6ED4"/>
    <w:rsid w:val="00AE6FE4"/>
    <w:rsid w:val="00AE78DC"/>
    <w:rsid w:val="00AE7DD1"/>
    <w:rsid w:val="00AE7E1A"/>
    <w:rsid w:val="00AF019B"/>
    <w:rsid w:val="00AF0B24"/>
    <w:rsid w:val="00AF1568"/>
    <w:rsid w:val="00AF1AFD"/>
    <w:rsid w:val="00AF1F6B"/>
    <w:rsid w:val="00AF2F4F"/>
    <w:rsid w:val="00AF347E"/>
    <w:rsid w:val="00AF3979"/>
    <w:rsid w:val="00AF39EF"/>
    <w:rsid w:val="00AF3CE3"/>
    <w:rsid w:val="00AF3CF3"/>
    <w:rsid w:val="00AF443C"/>
    <w:rsid w:val="00AF4630"/>
    <w:rsid w:val="00AF50AD"/>
    <w:rsid w:val="00AF5822"/>
    <w:rsid w:val="00AF582F"/>
    <w:rsid w:val="00AF602C"/>
    <w:rsid w:val="00AF66C9"/>
    <w:rsid w:val="00AF6CB0"/>
    <w:rsid w:val="00AF71E1"/>
    <w:rsid w:val="00AF71EE"/>
    <w:rsid w:val="00AF7FC7"/>
    <w:rsid w:val="00B0023F"/>
    <w:rsid w:val="00B00690"/>
    <w:rsid w:val="00B006C1"/>
    <w:rsid w:val="00B00902"/>
    <w:rsid w:val="00B00AE1"/>
    <w:rsid w:val="00B011FB"/>
    <w:rsid w:val="00B01786"/>
    <w:rsid w:val="00B01E5E"/>
    <w:rsid w:val="00B02672"/>
    <w:rsid w:val="00B026EE"/>
    <w:rsid w:val="00B042F3"/>
    <w:rsid w:val="00B04F05"/>
    <w:rsid w:val="00B05130"/>
    <w:rsid w:val="00B06644"/>
    <w:rsid w:val="00B07303"/>
    <w:rsid w:val="00B07826"/>
    <w:rsid w:val="00B078BB"/>
    <w:rsid w:val="00B07A60"/>
    <w:rsid w:val="00B07BB4"/>
    <w:rsid w:val="00B1014A"/>
    <w:rsid w:val="00B10444"/>
    <w:rsid w:val="00B10E43"/>
    <w:rsid w:val="00B10FD1"/>
    <w:rsid w:val="00B1110B"/>
    <w:rsid w:val="00B112EB"/>
    <w:rsid w:val="00B1158A"/>
    <w:rsid w:val="00B11D9B"/>
    <w:rsid w:val="00B11E63"/>
    <w:rsid w:val="00B12301"/>
    <w:rsid w:val="00B125F0"/>
    <w:rsid w:val="00B126F8"/>
    <w:rsid w:val="00B13949"/>
    <w:rsid w:val="00B13EDE"/>
    <w:rsid w:val="00B14395"/>
    <w:rsid w:val="00B14743"/>
    <w:rsid w:val="00B14F9F"/>
    <w:rsid w:val="00B15747"/>
    <w:rsid w:val="00B162BE"/>
    <w:rsid w:val="00B165F7"/>
    <w:rsid w:val="00B1699C"/>
    <w:rsid w:val="00B16F11"/>
    <w:rsid w:val="00B17124"/>
    <w:rsid w:val="00B174C1"/>
    <w:rsid w:val="00B20A81"/>
    <w:rsid w:val="00B2107C"/>
    <w:rsid w:val="00B212B6"/>
    <w:rsid w:val="00B22A9D"/>
    <w:rsid w:val="00B231E3"/>
    <w:rsid w:val="00B232F3"/>
    <w:rsid w:val="00B23646"/>
    <w:rsid w:val="00B23B07"/>
    <w:rsid w:val="00B23B4F"/>
    <w:rsid w:val="00B25142"/>
    <w:rsid w:val="00B2585B"/>
    <w:rsid w:val="00B25CE2"/>
    <w:rsid w:val="00B25F19"/>
    <w:rsid w:val="00B268AF"/>
    <w:rsid w:val="00B26DA3"/>
    <w:rsid w:val="00B271FD"/>
    <w:rsid w:val="00B274B2"/>
    <w:rsid w:val="00B27E3F"/>
    <w:rsid w:val="00B30CAE"/>
    <w:rsid w:val="00B30D48"/>
    <w:rsid w:val="00B30DD4"/>
    <w:rsid w:val="00B30F15"/>
    <w:rsid w:val="00B312AE"/>
    <w:rsid w:val="00B31A78"/>
    <w:rsid w:val="00B32654"/>
    <w:rsid w:val="00B336AB"/>
    <w:rsid w:val="00B34419"/>
    <w:rsid w:val="00B34904"/>
    <w:rsid w:val="00B34A1C"/>
    <w:rsid w:val="00B35568"/>
    <w:rsid w:val="00B35869"/>
    <w:rsid w:val="00B35DFB"/>
    <w:rsid w:val="00B35E86"/>
    <w:rsid w:val="00B35EB5"/>
    <w:rsid w:val="00B3600E"/>
    <w:rsid w:val="00B361FB"/>
    <w:rsid w:val="00B362B3"/>
    <w:rsid w:val="00B372A3"/>
    <w:rsid w:val="00B37535"/>
    <w:rsid w:val="00B37707"/>
    <w:rsid w:val="00B40174"/>
    <w:rsid w:val="00B401D5"/>
    <w:rsid w:val="00B40701"/>
    <w:rsid w:val="00B4088D"/>
    <w:rsid w:val="00B40CA6"/>
    <w:rsid w:val="00B41365"/>
    <w:rsid w:val="00B41933"/>
    <w:rsid w:val="00B41AAA"/>
    <w:rsid w:val="00B42A51"/>
    <w:rsid w:val="00B431F4"/>
    <w:rsid w:val="00B4342D"/>
    <w:rsid w:val="00B4388E"/>
    <w:rsid w:val="00B43952"/>
    <w:rsid w:val="00B43CDC"/>
    <w:rsid w:val="00B44164"/>
    <w:rsid w:val="00B444A1"/>
    <w:rsid w:val="00B44502"/>
    <w:rsid w:val="00B4472D"/>
    <w:rsid w:val="00B44F57"/>
    <w:rsid w:val="00B454D2"/>
    <w:rsid w:val="00B45C3A"/>
    <w:rsid w:val="00B45D4D"/>
    <w:rsid w:val="00B467D0"/>
    <w:rsid w:val="00B46BBC"/>
    <w:rsid w:val="00B4701A"/>
    <w:rsid w:val="00B47726"/>
    <w:rsid w:val="00B47781"/>
    <w:rsid w:val="00B479A2"/>
    <w:rsid w:val="00B51340"/>
    <w:rsid w:val="00B51D47"/>
    <w:rsid w:val="00B52F73"/>
    <w:rsid w:val="00B5358F"/>
    <w:rsid w:val="00B54118"/>
    <w:rsid w:val="00B54840"/>
    <w:rsid w:val="00B54A28"/>
    <w:rsid w:val="00B56DD2"/>
    <w:rsid w:val="00B57563"/>
    <w:rsid w:val="00B57D7A"/>
    <w:rsid w:val="00B57DC3"/>
    <w:rsid w:val="00B60205"/>
    <w:rsid w:val="00B6103A"/>
    <w:rsid w:val="00B6109D"/>
    <w:rsid w:val="00B6173D"/>
    <w:rsid w:val="00B61840"/>
    <w:rsid w:val="00B62B39"/>
    <w:rsid w:val="00B63015"/>
    <w:rsid w:val="00B63440"/>
    <w:rsid w:val="00B634CF"/>
    <w:rsid w:val="00B63F88"/>
    <w:rsid w:val="00B63FDD"/>
    <w:rsid w:val="00B640FD"/>
    <w:rsid w:val="00B647D2"/>
    <w:rsid w:val="00B64936"/>
    <w:rsid w:val="00B653E4"/>
    <w:rsid w:val="00B65DF5"/>
    <w:rsid w:val="00B66AC1"/>
    <w:rsid w:val="00B66C76"/>
    <w:rsid w:val="00B6769A"/>
    <w:rsid w:val="00B678C1"/>
    <w:rsid w:val="00B67962"/>
    <w:rsid w:val="00B7092C"/>
    <w:rsid w:val="00B70DA3"/>
    <w:rsid w:val="00B7118B"/>
    <w:rsid w:val="00B71378"/>
    <w:rsid w:val="00B72067"/>
    <w:rsid w:val="00B72D93"/>
    <w:rsid w:val="00B72DAB"/>
    <w:rsid w:val="00B7395B"/>
    <w:rsid w:val="00B744B0"/>
    <w:rsid w:val="00B748A0"/>
    <w:rsid w:val="00B74914"/>
    <w:rsid w:val="00B74BC4"/>
    <w:rsid w:val="00B74F66"/>
    <w:rsid w:val="00B75645"/>
    <w:rsid w:val="00B75B20"/>
    <w:rsid w:val="00B75E13"/>
    <w:rsid w:val="00B75F4E"/>
    <w:rsid w:val="00B7656C"/>
    <w:rsid w:val="00B76B17"/>
    <w:rsid w:val="00B76CBA"/>
    <w:rsid w:val="00B76F77"/>
    <w:rsid w:val="00B76FAC"/>
    <w:rsid w:val="00B77461"/>
    <w:rsid w:val="00B77B96"/>
    <w:rsid w:val="00B804A9"/>
    <w:rsid w:val="00B80524"/>
    <w:rsid w:val="00B80894"/>
    <w:rsid w:val="00B80F9D"/>
    <w:rsid w:val="00B817BC"/>
    <w:rsid w:val="00B83720"/>
    <w:rsid w:val="00B8484E"/>
    <w:rsid w:val="00B85084"/>
    <w:rsid w:val="00B85C2E"/>
    <w:rsid w:val="00B90A62"/>
    <w:rsid w:val="00B90E58"/>
    <w:rsid w:val="00B91072"/>
    <w:rsid w:val="00B916E2"/>
    <w:rsid w:val="00B92032"/>
    <w:rsid w:val="00B921EF"/>
    <w:rsid w:val="00B92C15"/>
    <w:rsid w:val="00B936E6"/>
    <w:rsid w:val="00B94388"/>
    <w:rsid w:val="00B94DD0"/>
    <w:rsid w:val="00B95870"/>
    <w:rsid w:val="00B95E80"/>
    <w:rsid w:val="00B96012"/>
    <w:rsid w:val="00B96067"/>
    <w:rsid w:val="00B960FE"/>
    <w:rsid w:val="00BA0418"/>
    <w:rsid w:val="00BA0B63"/>
    <w:rsid w:val="00BA125D"/>
    <w:rsid w:val="00BA12C2"/>
    <w:rsid w:val="00BA13CC"/>
    <w:rsid w:val="00BA1E06"/>
    <w:rsid w:val="00BA1F0E"/>
    <w:rsid w:val="00BA2057"/>
    <w:rsid w:val="00BA2D96"/>
    <w:rsid w:val="00BA396C"/>
    <w:rsid w:val="00BA40C8"/>
    <w:rsid w:val="00BA44CE"/>
    <w:rsid w:val="00BA4563"/>
    <w:rsid w:val="00BA4793"/>
    <w:rsid w:val="00BA483F"/>
    <w:rsid w:val="00BA4C1A"/>
    <w:rsid w:val="00BA4F97"/>
    <w:rsid w:val="00BA542F"/>
    <w:rsid w:val="00BA54DE"/>
    <w:rsid w:val="00BA5D70"/>
    <w:rsid w:val="00BA6243"/>
    <w:rsid w:val="00BA6AAD"/>
    <w:rsid w:val="00BA6CA6"/>
    <w:rsid w:val="00BA6F50"/>
    <w:rsid w:val="00BA7296"/>
    <w:rsid w:val="00BA765A"/>
    <w:rsid w:val="00BA7669"/>
    <w:rsid w:val="00BA7B38"/>
    <w:rsid w:val="00BA7D3D"/>
    <w:rsid w:val="00BA7E93"/>
    <w:rsid w:val="00BB0662"/>
    <w:rsid w:val="00BB0A48"/>
    <w:rsid w:val="00BB0D52"/>
    <w:rsid w:val="00BB0F90"/>
    <w:rsid w:val="00BB0F92"/>
    <w:rsid w:val="00BB0FAF"/>
    <w:rsid w:val="00BB127B"/>
    <w:rsid w:val="00BB240E"/>
    <w:rsid w:val="00BB2E80"/>
    <w:rsid w:val="00BB33B3"/>
    <w:rsid w:val="00BB3A14"/>
    <w:rsid w:val="00BB3B2A"/>
    <w:rsid w:val="00BB5104"/>
    <w:rsid w:val="00BB539B"/>
    <w:rsid w:val="00BB634D"/>
    <w:rsid w:val="00BB68B3"/>
    <w:rsid w:val="00BB7194"/>
    <w:rsid w:val="00BB7858"/>
    <w:rsid w:val="00BB7EFD"/>
    <w:rsid w:val="00BC0151"/>
    <w:rsid w:val="00BC07B0"/>
    <w:rsid w:val="00BC09BB"/>
    <w:rsid w:val="00BC1305"/>
    <w:rsid w:val="00BC1647"/>
    <w:rsid w:val="00BC1BF9"/>
    <w:rsid w:val="00BC1CB6"/>
    <w:rsid w:val="00BC35BF"/>
    <w:rsid w:val="00BC3642"/>
    <w:rsid w:val="00BC373B"/>
    <w:rsid w:val="00BC393A"/>
    <w:rsid w:val="00BC39DD"/>
    <w:rsid w:val="00BC3D2F"/>
    <w:rsid w:val="00BC4AE9"/>
    <w:rsid w:val="00BC51AA"/>
    <w:rsid w:val="00BC589C"/>
    <w:rsid w:val="00BC59D1"/>
    <w:rsid w:val="00BC5A6C"/>
    <w:rsid w:val="00BC5FDB"/>
    <w:rsid w:val="00BC6448"/>
    <w:rsid w:val="00BC6C0C"/>
    <w:rsid w:val="00BC792B"/>
    <w:rsid w:val="00BC7930"/>
    <w:rsid w:val="00BC7E97"/>
    <w:rsid w:val="00BD07AE"/>
    <w:rsid w:val="00BD0DB1"/>
    <w:rsid w:val="00BD21B7"/>
    <w:rsid w:val="00BD2E3F"/>
    <w:rsid w:val="00BD2ECE"/>
    <w:rsid w:val="00BD2FD9"/>
    <w:rsid w:val="00BD353A"/>
    <w:rsid w:val="00BD3DBA"/>
    <w:rsid w:val="00BD4279"/>
    <w:rsid w:val="00BD493B"/>
    <w:rsid w:val="00BD4C8F"/>
    <w:rsid w:val="00BD64BE"/>
    <w:rsid w:val="00BD64DE"/>
    <w:rsid w:val="00BD719A"/>
    <w:rsid w:val="00BD72B4"/>
    <w:rsid w:val="00BD733F"/>
    <w:rsid w:val="00BD7388"/>
    <w:rsid w:val="00BE07A4"/>
    <w:rsid w:val="00BE0D80"/>
    <w:rsid w:val="00BE0F06"/>
    <w:rsid w:val="00BE1912"/>
    <w:rsid w:val="00BE1FF3"/>
    <w:rsid w:val="00BE20F3"/>
    <w:rsid w:val="00BE27CF"/>
    <w:rsid w:val="00BE2CB8"/>
    <w:rsid w:val="00BE34EC"/>
    <w:rsid w:val="00BE3881"/>
    <w:rsid w:val="00BE3C32"/>
    <w:rsid w:val="00BE477C"/>
    <w:rsid w:val="00BE4B51"/>
    <w:rsid w:val="00BE4DE1"/>
    <w:rsid w:val="00BE4F25"/>
    <w:rsid w:val="00BE4F31"/>
    <w:rsid w:val="00BE537D"/>
    <w:rsid w:val="00BE5794"/>
    <w:rsid w:val="00BE5905"/>
    <w:rsid w:val="00BE764A"/>
    <w:rsid w:val="00BE7DE1"/>
    <w:rsid w:val="00BF01A9"/>
    <w:rsid w:val="00BF0531"/>
    <w:rsid w:val="00BF1649"/>
    <w:rsid w:val="00BF1880"/>
    <w:rsid w:val="00BF23C3"/>
    <w:rsid w:val="00BF2565"/>
    <w:rsid w:val="00BF29B1"/>
    <w:rsid w:val="00BF2C98"/>
    <w:rsid w:val="00BF3450"/>
    <w:rsid w:val="00BF3966"/>
    <w:rsid w:val="00BF407C"/>
    <w:rsid w:val="00BF61D8"/>
    <w:rsid w:val="00BF6A49"/>
    <w:rsid w:val="00BF7E7E"/>
    <w:rsid w:val="00BF7F4A"/>
    <w:rsid w:val="00C0012D"/>
    <w:rsid w:val="00C00E9D"/>
    <w:rsid w:val="00C01A2B"/>
    <w:rsid w:val="00C01DEE"/>
    <w:rsid w:val="00C024ED"/>
    <w:rsid w:val="00C026DA"/>
    <w:rsid w:val="00C02AFB"/>
    <w:rsid w:val="00C02F93"/>
    <w:rsid w:val="00C0440F"/>
    <w:rsid w:val="00C0463C"/>
    <w:rsid w:val="00C04A7A"/>
    <w:rsid w:val="00C0510B"/>
    <w:rsid w:val="00C055E4"/>
    <w:rsid w:val="00C0584F"/>
    <w:rsid w:val="00C05C73"/>
    <w:rsid w:val="00C05FB9"/>
    <w:rsid w:val="00C06500"/>
    <w:rsid w:val="00C06847"/>
    <w:rsid w:val="00C06DD3"/>
    <w:rsid w:val="00C0737B"/>
    <w:rsid w:val="00C0798B"/>
    <w:rsid w:val="00C07B18"/>
    <w:rsid w:val="00C07D18"/>
    <w:rsid w:val="00C101FC"/>
    <w:rsid w:val="00C10388"/>
    <w:rsid w:val="00C10641"/>
    <w:rsid w:val="00C10712"/>
    <w:rsid w:val="00C10E04"/>
    <w:rsid w:val="00C11860"/>
    <w:rsid w:val="00C11A74"/>
    <w:rsid w:val="00C12C91"/>
    <w:rsid w:val="00C12DE5"/>
    <w:rsid w:val="00C139C9"/>
    <w:rsid w:val="00C1461C"/>
    <w:rsid w:val="00C14AB2"/>
    <w:rsid w:val="00C14C46"/>
    <w:rsid w:val="00C14D0B"/>
    <w:rsid w:val="00C14FBA"/>
    <w:rsid w:val="00C1503A"/>
    <w:rsid w:val="00C153B8"/>
    <w:rsid w:val="00C164DC"/>
    <w:rsid w:val="00C16708"/>
    <w:rsid w:val="00C16B1D"/>
    <w:rsid w:val="00C16B7A"/>
    <w:rsid w:val="00C16F21"/>
    <w:rsid w:val="00C17AE6"/>
    <w:rsid w:val="00C201E6"/>
    <w:rsid w:val="00C21413"/>
    <w:rsid w:val="00C2158C"/>
    <w:rsid w:val="00C2163C"/>
    <w:rsid w:val="00C21DE8"/>
    <w:rsid w:val="00C22627"/>
    <w:rsid w:val="00C22BA5"/>
    <w:rsid w:val="00C23B01"/>
    <w:rsid w:val="00C24817"/>
    <w:rsid w:val="00C249C9"/>
    <w:rsid w:val="00C25618"/>
    <w:rsid w:val="00C25BA6"/>
    <w:rsid w:val="00C25ECB"/>
    <w:rsid w:val="00C26801"/>
    <w:rsid w:val="00C26D66"/>
    <w:rsid w:val="00C27A43"/>
    <w:rsid w:val="00C302BA"/>
    <w:rsid w:val="00C305C0"/>
    <w:rsid w:val="00C309D1"/>
    <w:rsid w:val="00C30BE4"/>
    <w:rsid w:val="00C310D6"/>
    <w:rsid w:val="00C31947"/>
    <w:rsid w:val="00C3200E"/>
    <w:rsid w:val="00C328A8"/>
    <w:rsid w:val="00C33010"/>
    <w:rsid w:val="00C334A3"/>
    <w:rsid w:val="00C33B0A"/>
    <w:rsid w:val="00C33E53"/>
    <w:rsid w:val="00C3427D"/>
    <w:rsid w:val="00C343E3"/>
    <w:rsid w:val="00C351F1"/>
    <w:rsid w:val="00C351F6"/>
    <w:rsid w:val="00C3573B"/>
    <w:rsid w:val="00C35DD8"/>
    <w:rsid w:val="00C36CCC"/>
    <w:rsid w:val="00C36F21"/>
    <w:rsid w:val="00C376A8"/>
    <w:rsid w:val="00C40040"/>
    <w:rsid w:val="00C401FE"/>
    <w:rsid w:val="00C40A7B"/>
    <w:rsid w:val="00C411E4"/>
    <w:rsid w:val="00C41655"/>
    <w:rsid w:val="00C41E20"/>
    <w:rsid w:val="00C42547"/>
    <w:rsid w:val="00C4292D"/>
    <w:rsid w:val="00C42AAB"/>
    <w:rsid w:val="00C432C4"/>
    <w:rsid w:val="00C437E7"/>
    <w:rsid w:val="00C442E0"/>
    <w:rsid w:val="00C44690"/>
    <w:rsid w:val="00C44771"/>
    <w:rsid w:val="00C44951"/>
    <w:rsid w:val="00C4512A"/>
    <w:rsid w:val="00C45CB2"/>
    <w:rsid w:val="00C4651C"/>
    <w:rsid w:val="00C46F17"/>
    <w:rsid w:val="00C500F3"/>
    <w:rsid w:val="00C501FC"/>
    <w:rsid w:val="00C5060B"/>
    <w:rsid w:val="00C50DDD"/>
    <w:rsid w:val="00C512F4"/>
    <w:rsid w:val="00C51717"/>
    <w:rsid w:val="00C51BD8"/>
    <w:rsid w:val="00C5247A"/>
    <w:rsid w:val="00C526C4"/>
    <w:rsid w:val="00C52754"/>
    <w:rsid w:val="00C52D57"/>
    <w:rsid w:val="00C5351E"/>
    <w:rsid w:val="00C54343"/>
    <w:rsid w:val="00C54428"/>
    <w:rsid w:val="00C547DD"/>
    <w:rsid w:val="00C54A24"/>
    <w:rsid w:val="00C54FD9"/>
    <w:rsid w:val="00C556CE"/>
    <w:rsid w:val="00C568E1"/>
    <w:rsid w:val="00C57890"/>
    <w:rsid w:val="00C60396"/>
    <w:rsid w:val="00C61148"/>
    <w:rsid w:val="00C612AB"/>
    <w:rsid w:val="00C6142C"/>
    <w:rsid w:val="00C61851"/>
    <w:rsid w:val="00C618F0"/>
    <w:rsid w:val="00C62A22"/>
    <w:rsid w:val="00C62C2B"/>
    <w:rsid w:val="00C630FC"/>
    <w:rsid w:val="00C634BE"/>
    <w:rsid w:val="00C63949"/>
    <w:rsid w:val="00C63AB4"/>
    <w:rsid w:val="00C63CDF"/>
    <w:rsid w:val="00C64249"/>
    <w:rsid w:val="00C64C8E"/>
    <w:rsid w:val="00C65650"/>
    <w:rsid w:val="00C65A2B"/>
    <w:rsid w:val="00C65A43"/>
    <w:rsid w:val="00C660CD"/>
    <w:rsid w:val="00C66CB7"/>
    <w:rsid w:val="00C674B9"/>
    <w:rsid w:val="00C67784"/>
    <w:rsid w:val="00C679E0"/>
    <w:rsid w:val="00C67A82"/>
    <w:rsid w:val="00C67CF5"/>
    <w:rsid w:val="00C7056F"/>
    <w:rsid w:val="00C706D1"/>
    <w:rsid w:val="00C724B4"/>
    <w:rsid w:val="00C7266F"/>
    <w:rsid w:val="00C73E06"/>
    <w:rsid w:val="00C7418B"/>
    <w:rsid w:val="00C74953"/>
    <w:rsid w:val="00C74AD1"/>
    <w:rsid w:val="00C7506B"/>
    <w:rsid w:val="00C75355"/>
    <w:rsid w:val="00C75951"/>
    <w:rsid w:val="00C75B60"/>
    <w:rsid w:val="00C75BC5"/>
    <w:rsid w:val="00C75F91"/>
    <w:rsid w:val="00C7613D"/>
    <w:rsid w:val="00C76632"/>
    <w:rsid w:val="00C766E7"/>
    <w:rsid w:val="00C76CE1"/>
    <w:rsid w:val="00C77055"/>
    <w:rsid w:val="00C77373"/>
    <w:rsid w:val="00C77A0F"/>
    <w:rsid w:val="00C8014B"/>
    <w:rsid w:val="00C80240"/>
    <w:rsid w:val="00C80505"/>
    <w:rsid w:val="00C81054"/>
    <w:rsid w:val="00C8139D"/>
    <w:rsid w:val="00C814A3"/>
    <w:rsid w:val="00C81648"/>
    <w:rsid w:val="00C81AA5"/>
    <w:rsid w:val="00C81D97"/>
    <w:rsid w:val="00C82860"/>
    <w:rsid w:val="00C829E3"/>
    <w:rsid w:val="00C8315E"/>
    <w:rsid w:val="00C83565"/>
    <w:rsid w:val="00C842FC"/>
    <w:rsid w:val="00C84D15"/>
    <w:rsid w:val="00C84E0A"/>
    <w:rsid w:val="00C8536A"/>
    <w:rsid w:val="00C8586A"/>
    <w:rsid w:val="00C85EE8"/>
    <w:rsid w:val="00C8641A"/>
    <w:rsid w:val="00C86ECA"/>
    <w:rsid w:val="00C86F0C"/>
    <w:rsid w:val="00C87344"/>
    <w:rsid w:val="00C873AC"/>
    <w:rsid w:val="00C8786A"/>
    <w:rsid w:val="00C878FE"/>
    <w:rsid w:val="00C87A01"/>
    <w:rsid w:val="00C90AD7"/>
    <w:rsid w:val="00C9130C"/>
    <w:rsid w:val="00C913D9"/>
    <w:rsid w:val="00C914D0"/>
    <w:rsid w:val="00C91A3C"/>
    <w:rsid w:val="00C92401"/>
    <w:rsid w:val="00C93525"/>
    <w:rsid w:val="00C9358C"/>
    <w:rsid w:val="00C93721"/>
    <w:rsid w:val="00C946FE"/>
    <w:rsid w:val="00C94FEC"/>
    <w:rsid w:val="00C95081"/>
    <w:rsid w:val="00C95450"/>
    <w:rsid w:val="00C96D04"/>
    <w:rsid w:val="00C96E71"/>
    <w:rsid w:val="00C97348"/>
    <w:rsid w:val="00C9749C"/>
    <w:rsid w:val="00C977F9"/>
    <w:rsid w:val="00C97CB0"/>
    <w:rsid w:val="00C97EF5"/>
    <w:rsid w:val="00CA0ACA"/>
    <w:rsid w:val="00CA1011"/>
    <w:rsid w:val="00CA1B22"/>
    <w:rsid w:val="00CA23F9"/>
    <w:rsid w:val="00CA2776"/>
    <w:rsid w:val="00CA3463"/>
    <w:rsid w:val="00CA36B9"/>
    <w:rsid w:val="00CA4E7A"/>
    <w:rsid w:val="00CA54F4"/>
    <w:rsid w:val="00CA59FF"/>
    <w:rsid w:val="00CA5F4F"/>
    <w:rsid w:val="00CA6941"/>
    <w:rsid w:val="00CA723A"/>
    <w:rsid w:val="00CA73CF"/>
    <w:rsid w:val="00CA7404"/>
    <w:rsid w:val="00CA7E84"/>
    <w:rsid w:val="00CB0070"/>
    <w:rsid w:val="00CB01A9"/>
    <w:rsid w:val="00CB0B7B"/>
    <w:rsid w:val="00CB0C2D"/>
    <w:rsid w:val="00CB1951"/>
    <w:rsid w:val="00CB2661"/>
    <w:rsid w:val="00CB2E11"/>
    <w:rsid w:val="00CB380A"/>
    <w:rsid w:val="00CB3850"/>
    <w:rsid w:val="00CB4015"/>
    <w:rsid w:val="00CB417C"/>
    <w:rsid w:val="00CB47F7"/>
    <w:rsid w:val="00CB4CC1"/>
    <w:rsid w:val="00CB6360"/>
    <w:rsid w:val="00CB6404"/>
    <w:rsid w:val="00CB6543"/>
    <w:rsid w:val="00CB66C9"/>
    <w:rsid w:val="00CB743A"/>
    <w:rsid w:val="00CB77F1"/>
    <w:rsid w:val="00CB7F26"/>
    <w:rsid w:val="00CC03AB"/>
    <w:rsid w:val="00CC149F"/>
    <w:rsid w:val="00CC1751"/>
    <w:rsid w:val="00CC17E8"/>
    <w:rsid w:val="00CC1922"/>
    <w:rsid w:val="00CC25C7"/>
    <w:rsid w:val="00CC2984"/>
    <w:rsid w:val="00CC29A8"/>
    <w:rsid w:val="00CC2B30"/>
    <w:rsid w:val="00CC2BE2"/>
    <w:rsid w:val="00CC2D09"/>
    <w:rsid w:val="00CC2E5D"/>
    <w:rsid w:val="00CC3B27"/>
    <w:rsid w:val="00CC405E"/>
    <w:rsid w:val="00CC4849"/>
    <w:rsid w:val="00CC543E"/>
    <w:rsid w:val="00CC560C"/>
    <w:rsid w:val="00CC651B"/>
    <w:rsid w:val="00CC6671"/>
    <w:rsid w:val="00CC674C"/>
    <w:rsid w:val="00CC77F8"/>
    <w:rsid w:val="00CD009B"/>
    <w:rsid w:val="00CD03E3"/>
    <w:rsid w:val="00CD060E"/>
    <w:rsid w:val="00CD10DA"/>
    <w:rsid w:val="00CD170E"/>
    <w:rsid w:val="00CD1730"/>
    <w:rsid w:val="00CD1964"/>
    <w:rsid w:val="00CD19CA"/>
    <w:rsid w:val="00CD2599"/>
    <w:rsid w:val="00CD26B3"/>
    <w:rsid w:val="00CD3332"/>
    <w:rsid w:val="00CD402A"/>
    <w:rsid w:val="00CD490C"/>
    <w:rsid w:val="00CD583A"/>
    <w:rsid w:val="00CD643C"/>
    <w:rsid w:val="00CD6DF5"/>
    <w:rsid w:val="00CE0D86"/>
    <w:rsid w:val="00CE10F1"/>
    <w:rsid w:val="00CE180F"/>
    <w:rsid w:val="00CE262E"/>
    <w:rsid w:val="00CE2FCC"/>
    <w:rsid w:val="00CE31F4"/>
    <w:rsid w:val="00CE38C7"/>
    <w:rsid w:val="00CE39AF"/>
    <w:rsid w:val="00CE446F"/>
    <w:rsid w:val="00CE4A3E"/>
    <w:rsid w:val="00CE57A3"/>
    <w:rsid w:val="00CE584C"/>
    <w:rsid w:val="00CE5BEC"/>
    <w:rsid w:val="00CE5E8A"/>
    <w:rsid w:val="00CE77D4"/>
    <w:rsid w:val="00CE78C3"/>
    <w:rsid w:val="00CF182D"/>
    <w:rsid w:val="00CF1DDF"/>
    <w:rsid w:val="00CF2256"/>
    <w:rsid w:val="00CF236B"/>
    <w:rsid w:val="00CF3542"/>
    <w:rsid w:val="00CF3C6C"/>
    <w:rsid w:val="00CF3CFC"/>
    <w:rsid w:val="00CF4ACA"/>
    <w:rsid w:val="00CF54CC"/>
    <w:rsid w:val="00CF54E8"/>
    <w:rsid w:val="00CF67FE"/>
    <w:rsid w:val="00CF6A7F"/>
    <w:rsid w:val="00CF6EBF"/>
    <w:rsid w:val="00CF712A"/>
    <w:rsid w:val="00CF7F1F"/>
    <w:rsid w:val="00D001B7"/>
    <w:rsid w:val="00D00BD3"/>
    <w:rsid w:val="00D00C6E"/>
    <w:rsid w:val="00D011EC"/>
    <w:rsid w:val="00D0120A"/>
    <w:rsid w:val="00D021DC"/>
    <w:rsid w:val="00D02274"/>
    <w:rsid w:val="00D02598"/>
    <w:rsid w:val="00D02D6B"/>
    <w:rsid w:val="00D0349B"/>
    <w:rsid w:val="00D03847"/>
    <w:rsid w:val="00D03B11"/>
    <w:rsid w:val="00D03EC3"/>
    <w:rsid w:val="00D04010"/>
    <w:rsid w:val="00D0418F"/>
    <w:rsid w:val="00D041D2"/>
    <w:rsid w:val="00D049AD"/>
    <w:rsid w:val="00D04CA4"/>
    <w:rsid w:val="00D04FCA"/>
    <w:rsid w:val="00D05C97"/>
    <w:rsid w:val="00D06A60"/>
    <w:rsid w:val="00D07073"/>
    <w:rsid w:val="00D077E1"/>
    <w:rsid w:val="00D07A87"/>
    <w:rsid w:val="00D10294"/>
    <w:rsid w:val="00D104E5"/>
    <w:rsid w:val="00D10A30"/>
    <w:rsid w:val="00D10EC6"/>
    <w:rsid w:val="00D115A5"/>
    <w:rsid w:val="00D11B37"/>
    <w:rsid w:val="00D11E47"/>
    <w:rsid w:val="00D1202C"/>
    <w:rsid w:val="00D14DDE"/>
    <w:rsid w:val="00D15102"/>
    <w:rsid w:val="00D152BC"/>
    <w:rsid w:val="00D16186"/>
    <w:rsid w:val="00D165BF"/>
    <w:rsid w:val="00D174E7"/>
    <w:rsid w:val="00D17F25"/>
    <w:rsid w:val="00D200AE"/>
    <w:rsid w:val="00D201D0"/>
    <w:rsid w:val="00D20844"/>
    <w:rsid w:val="00D21406"/>
    <w:rsid w:val="00D21850"/>
    <w:rsid w:val="00D21DDE"/>
    <w:rsid w:val="00D22BE3"/>
    <w:rsid w:val="00D231CF"/>
    <w:rsid w:val="00D241EE"/>
    <w:rsid w:val="00D2472B"/>
    <w:rsid w:val="00D2480E"/>
    <w:rsid w:val="00D24C55"/>
    <w:rsid w:val="00D256B3"/>
    <w:rsid w:val="00D25CA4"/>
    <w:rsid w:val="00D260AE"/>
    <w:rsid w:val="00D264A5"/>
    <w:rsid w:val="00D2655C"/>
    <w:rsid w:val="00D26A3A"/>
    <w:rsid w:val="00D273A8"/>
    <w:rsid w:val="00D27678"/>
    <w:rsid w:val="00D2796B"/>
    <w:rsid w:val="00D30341"/>
    <w:rsid w:val="00D30D3F"/>
    <w:rsid w:val="00D314BC"/>
    <w:rsid w:val="00D322B0"/>
    <w:rsid w:val="00D32883"/>
    <w:rsid w:val="00D32DC2"/>
    <w:rsid w:val="00D32FF7"/>
    <w:rsid w:val="00D3338C"/>
    <w:rsid w:val="00D343C9"/>
    <w:rsid w:val="00D34478"/>
    <w:rsid w:val="00D34551"/>
    <w:rsid w:val="00D35B00"/>
    <w:rsid w:val="00D35D87"/>
    <w:rsid w:val="00D36F2F"/>
    <w:rsid w:val="00D373CD"/>
    <w:rsid w:val="00D3768E"/>
    <w:rsid w:val="00D376D7"/>
    <w:rsid w:val="00D37B19"/>
    <w:rsid w:val="00D40BD9"/>
    <w:rsid w:val="00D41167"/>
    <w:rsid w:val="00D41B8E"/>
    <w:rsid w:val="00D41BC2"/>
    <w:rsid w:val="00D4263F"/>
    <w:rsid w:val="00D4286A"/>
    <w:rsid w:val="00D42E66"/>
    <w:rsid w:val="00D43DA7"/>
    <w:rsid w:val="00D4415B"/>
    <w:rsid w:val="00D45868"/>
    <w:rsid w:val="00D45BBB"/>
    <w:rsid w:val="00D45CA4"/>
    <w:rsid w:val="00D45F45"/>
    <w:rsid w:val="00D50852"/>
    <w:rsid w:val="00D50938"/>
    <w:rsid w:val="00D50B6D"/>
    <w:rsid w:val="00D51876"/>
    <w:rsid w:val="00D51953"/>
    <w:rsid w:val="00D51A55"/>
    <w:rsid w:val="00D51F28"/>
    <w:rsid w:val="00D52120"/>
    <w:rsid w:val="00D53429"/>
    <w:rsid w:val="00D54A57"/>
    <w:rsid w:val="00D54FAF"/>
    <w:rsid w:val="00D559A0"/>
    <w:rsid w:val="00D560EB"/>
    <w:rsid w:val="00D563F7"/>
    <w:rsid w:val="00D56C45"/>
    <w:rsid w:val="00D56E48"/>
    <w:rsid w:val="00D56EDF"/>
    <w:rsid w:val="00D60096"/>
    <w:rsid w:val="00D62142"/>
    <w:rsid w:val="00D63333"/>
    <w:rsid w:val="00D63442"/>
    <w:rsid w:val="00D63B78"/>
    <w:rsid w:val="00D64805"/>
    <w:rsid w:val="00D64B2E"/>
    <w:rsid w:val="00D6554D"/>
    <w:rsid w:val="00D665EA"/>
    <w:rsid w:val="00D66E22"/>
    <w:rsid w:val="00D66EF1"/>
    <w:rsid w:val="00D6711C"/>
    <w:rsid w:val="00D678A0"/>
    <w:rsid w:val="00D702E8"/>
    <w:rsid w:val="00D7091E"/>
    <w:rsid w:val="00D70C85"/>
    <w:rsid w:val="00D70D82"/>
    <w:rsid w:val="00D70DB3"/>
    <w:rsid w:val="00D70E63"/>
    <w:rsid w:val="00D731D8"/>
    <w:rsid w:val="00D73EF4"/>
    <w:rsid w:val="00D74F7D"/>
    <w:rsid w:val="00D75512"/>
    <w:rsid w:val="00D7666E"/>
    <w:rsid w:val="00D76932"/>
    <w:rsid w:val="00D800C2"/>
    <w:rsid w:val="00D8050B"/>
    <w:rsid w:val="00D80BD5"/>
    <w:rsid w:val="00D80F15"/>
    <w:rsid w:val="00D80F77"/>
    <w:rsid w:val="00D81BE5"/>
    <w:rsid w:val="00D82FD6"/>
    <w:rsid w:val="00D833F8"/>
    <w:rsid w:val="00D8457A"/>
    <w:rsid w:val="00D84661"/>
    <w:rsid w:val="00D84713"/>
    <w:rsid w:val="00D84D5A"/>
    <w:rsid w:val="00D84DC4"/>
    <w:rsid w:val="00D8576B"/>
    <w:rsid w:val="00D85FD0"/>
    <w:rsid w:val="00D86359"/>
    <w:rsid w:val="00D86507"/>
    <w:rsid w:val="00D86CE7"/>
    <w:rsid w:val="00D9115A"/>
    <w:rsid w:val="00D9173C"/>
    <w:rsid w:val="00D91750"/>
    <w:rsid w:val="00D91961"/>
    <w:rsid w:val="00D91C60"/>
    <w:rsid w:val="00D9254E"/>
    <w:rsid w:val="00D927FE"/>
    <w:rsid w:val="00D92F14"/>
    <w:rsid w:val="00D92F2A"/>
    <w:rsid w:val="00D93756"/>
    <w:rsid w:val="00D93A3D"/>
    <w:rsid w:val="00D93BE9"/>
    <w:rsid w:val="00D9584E"/>
    <w:rsid w:val="00D95C53"/>
    <w:rsid w:val="00D968EB"/>
    <w:rsid w:val="00D96A35"/>
    <w:rsid w:val="00D971F9"/>
    <w:rsid w:val="00DA01B0"/>
    <w:rsid w:val="00DA02D4"/>
    <w:rsid w:val="00DA08AF"/>
    <w:rsid w:val="00DA10CF"/>
    <w:rsid w:val="00DA2296"/>
    <w:rsid w:val="00DA2947"/>
    <w:rsid w:val="00DA2CD8"/>
    <w:rsid w:val="00DA3729"/>
    <w:rsid w:val="00DA39C3"/>
    <w:rsid w:val="00DA4061"/>
    <w:rsid w:val="00DA452D"/>
    <w:rsid w:val="00DA4865"/>
    <w:rsid w:val="00DA4AED"/>
    <w:rsid w:val="00DA4B03"/>
    <w:rsid w:val="00DA4E43"/>
    <w:rsid w:val="00DA53CA"/>
    <w:rsid w:val="00DA5660"/>
    <w:rsid w:val="00DA5E6D"/>
    <w:rsid w:val="00DA5FF8"/>
    <w:rsid w:val="00DA6042"/>
    <w:rsid w:val="00DA6AA3"/>
    <w:rsid w:val="00DA71ED"/>
    <w:rsid w:val="00DA7C43"/>
    <w:rsid w:val="00DB0172"/>
    <w:rsid w:val="00DB044B"/>
    <w:rsid w:val="00DB0548"/>
    <w:rsid w:val="00DB25F1"/>
    <w:rsid w:val="00DB29F0"/>
    <w:rsid w:val="00DB3554"/>
    <w:rsid w:val="00DB3800"/>
    <w:rsid w:val="00DB3DE8"/>
    <w:rsid w:val="00DB3E42"/>
    <w:rsid w:val="00DB3E60"/>
    <w:rsid w:val="00DB436D"/>
    <w:rsid w:val="00DB587F"/>
    <w:rsid w:val="00DB5B78"/>
    <w:rsid w:val="00DB5DF6"/>
    <w:rsid w:val="00DB6076"/>
    <w:rsid w:val="00DB6987"/>
    <w:rsid w:val="00DB6C3B"/>
    <w:rsid w:val="00DB6EF1"/>
    <w:rsid w:val="00DB7BBA"/>
    <w:rsid w:val="00DB7D06"/>
    <w:rsid w:val="00DB7E91"/>
    <w:rsid w:val="00DC05FC"/>
    <w:rsid w:val="00DC0C91"/>
    <w:rsid w:val="00DC1C80"/>
    <w:rsid w:val="00DC4AFF"/>
    <w:rsid w:val="00DC57AA"/>
    <w:rsid w:val="00DC5C68"/>
    <w:rsid w:val="00DC5E11"/>
    <w:rsid w:val="00DC61D1"/>
    <w:rsid w:val="00DC6B79"/>
    <w:rsid w:val="00DD18D0"/>
    <w:rsid w:val="00DD1AE6"/>
    <w:rsid w:val="00DD1EB7"/>
    <w:rsid w:val="00DD32C7"/>
    <w:rsid w:val="00DD3600"/>
    <w:rsid w:val="00DD3C5E"/>
    <w:rsid w:val="00DD566E"/>
    <w:rsid w:val="00DD58E7"/>
    <w:rsid w:val="00DD5ED2"/>
    <w:rsid w:val="00DD678C"/>
    <w:rsid w:val="00DD6E57"/>
    <w:rsid w:val="00DD6F71"/>
    <w:rsid w:val="00DD7260"/>
    <w:rsid w:val="00DD77C0"/>
    <w:rsid w:val="00DD78AF"/>
    <w:rsid w:val="00DD7A41"/>
    <w:rsid w:val="00DE0133"/>
    <w:rsid w:val="00DE02C0"/>
    <w:rsid w:val="00DE05F6"/>
    <w:rsid w:val="00DE0812"/>
    <w:rsid w:val="00DE087D"/>
    <w:rsid w:val="00DE0CB7"/>
    <w:rsid w:val="00DE0D9E"/>
    <w:rsid w:val="00DE1ED9"/>
    <w:rsid w:val="00DE2D64"/>
    <w:rsid w:val="00DE4544"/>
    <w:rsid w:val="00DE4DE1"/>
    <w:rsid w:val="00DE4EEF"/>
    <w:rsid w:val="00DE5067"/>
    <w:rsid w:val="00DE53D8"/>
    <w:rsid w:val="00DE57E8"/>
    <w:rsid w:val="00DE5959"/>
    <w:rsid w:val="00DE5A2A"/>
    <w:rsid w:val="00DE6BE8"/>
    <w:rsid w:val="00DE76FC"/>
    <w:rsid w:val="00DE7A4C"/>
    <w:rsid w:val="00DF0806"/>
    <w:rsid w:val="00DF08DC"/>
    <w:rsid w:val="00DF0A45"/>
    <w:rsid w:val="00DF0D53"/>
    <w:rsid w:val="00DF0F18"/>
    <w:rsid w:val="00DF1D27"/>
    <w:rsid w:val="00DF1DE7"/>
    <w:rsid w:val="00DF2018"/>
    <w:rsid w:val="00DF269D"/>
    <w:rsid w:val="00DF26B6"/>
    <w:rsid w:val="00DF3337"/>
    <w:rsid w:val="00DF3CDD"/>
    <w:rsid w:val="00DF4F0A"/>
    <w:rsid w:val="00DF5647"/>
    <w:rsid w:val="00DF5B23"/>
    <w:rsid w:val="00DF66A8"/>
    <w:rsid w:val="00DF6932"/>
    <w:rsid w:val="00DF6BAF"/>
    <w:rsid w:val="00DF6D1C"/>
    <w:rsid w:val="00DF7406"/>
    <w:rsid w:val="00DF7451"/>
    <w:rsid w:val="00DF79F4"/>
    <w:rsid w:val="00E00636"/>
    <w:rsid w:val="00E00B80"/>
    <w:rsid w:val="00E00EDC"/>
    <w:rsid w:val="00E0160B"/>
    <w:rsid w:val="00E01AE9"/>
    <w:rsid w:val="00E01C50"/>
    <w:rsid w:val="00E02330"/>
    <w:rsid w:val="00E024AC"/>
    <w:rsid w:val="00E02553"/>
    <w:rsid w:val="00E02E57"/>
    <w:rsid w:val="00E03121"/>
    <w:rsid w:val="00E03130"/>
    <w:rsid w:val="00E0339C"/>
    <w:rsid w:val="00E03C6D"/>
    <w:rsid w:val="00E04D07"/>
    <w:rsid w:val="00E04FBA"/>
    <w:rsid w:val="00E05A80"/>
    <w:rsid w:val="00E06345"/>
    <w:rsid w:val="00E06B4A"/>
    <w:rsid w:val="00E06DE4"/>
    <w:rsid w:val="00E07616"/>
    <w:rsid w:val="00E103E4"/>
    <w:rsid w:val="00E10AF0"/>
    <w:rsid w:val="00E11517"/>
    <w:rsid w:val="00E1183F"/>
    <w:rsid w:val="00E11A66"/>
    <w:rsid w:val="00E12041"/>
    <w:rsid w:val="00E12CB4"/>
    <w:rsid w:val="00E12D25"/>
    <w:rsid w:val="00E13D11"/>
    <w:rsid w:val="00E13ECB"/>
    <w:rsid w:val="00E1407B"/>
    <w:rsid w:val="00E14097"/>
    <w:rsid w:val="00E14BCE"/>
    <w:rsid w:val="00E1515C"/>
    <w:rsid w:val="00E15762"/>
    <w:rsid w:val="00E15855"/>
    <w:rsid w:val="00E16C0D"/>
    <w:rsid w:val="00E176F4"/>
    <w:rsid w:val="00E2007F"/>
    <w:rsid w:val="00E20388"/>
    <w:rsid w:val="00E2055A"/>
    <w:rsid w:val="00E20641"/>
    <w:rsid w:val="00E21E9B"/>
    <w:rsid w:val="00E22231"/>
    <w:rsid w:val="00E222C8"/>
    <w:rsid w:val="00E22D84"/>
    <w:rsid w:val="00E22EED"/>
    <w:rsid w:val="00E232E2"/>
    <w:rsid w:val="00E23A4D"/>
    <w:rsid w:val="00E23F78"/>
    <w:rsid w:val="00E244EA"/>
    <w:rsid w:val="00E24A1B"/>
    <w:rsid w:val="00E25E3F"/>
    <w:rsid w:val="00E260BB"/>
    <w:rsid w:val="00E27591"/>
    <w:rsid w:val="00E275FB"/>
    <w:rsid w:val="00E27F4D"/>
    <w:rsid w:val="00E303F3"/>
    <w:rsid w:val="00E30437"/>
    <w:rsid w:val="00E306CD"/>
    <w:rsid w:val="00E30A15"/>
    <w:rsid w:val="00E32B6E"/>
    <w:rsid w:val="00E335CC"/>
    <w:rsid w:val="00E33A1A"/>
    <w:rsid w:val="00E344C2"/>
    <w:rsid w:val="00E34B2F"/>
    <w:rsid w:val="00E34D8C"/>
    <w:rsid w:val="00E34EAC"/>
    <w:rsid w:val="00E34F04"/>
    <w:rsid w:val="00E35882"/>
    <w:rsid w:val="00E358BF"/>
    <w:rsid w:val="00E35D53"/>
    <w:rsid w:val="00E36028"/>
    <w:rsid w:val="00E363E3"/>
    <w:rsid w:val="00E3686A"/>
    <w:rsid w:val="00E368D3"/>
    <w:rsid w:val="00E3692B"/>
    <w:rsid w:val="00E37DAC"/>
    <w:rsid w:val="00E4083E"/>
    <w:rsid w:val="00E40F23"/>
    <w:rsid w:val="00E41097"/>
    <w:rsid w:val="00E41514"/>
    <w:rsid w:val="00E42395"/>
    <w:rsid w:val="00E4254A"/>
    <w:rsid w:val="00E43008"/>
    <w:rsid w:val="00E435F2"/>
    <w:rsid w:val="00E4382A"/>
    <w:rsid w:val="00E43B9B"/>
    <w:rsid w:val="00E43F4C"/>
    <w:rsid w:val="00E44445"/>
    <w:rsid w:val="00E4467D"/>
    <w:rsid w:val="00E44764"/>
    <w:rsid w:val="00E44F27"/>
    <w:rsid w:val="00E4647C"/>
    <w:rsid w:val="00E47397"/>
    <w:rsid w:val="00E47891"/>
    <w:rsid w:val="00E47CB9"/>
    <w:rsid w:val="00E504B3"/>
    <w:rsid w:val="00E50E99"/>
    <w:rsid w:val="00E513F1"/>
    <w:rsid w:val="00E5153A"/>
    <w:rsid w:val="00E52B32"/>
    <w:rsid w:val="00E52CDB"/>
    <w:rsid w:val="00E53909"/>
    <w:rsid w:val="00E53A69"/>
    <w:rsid w:val="00E53B41"/>
    <w:rsid w:val="00E53B6F"/>
    <w:rsid w:val="00E53DB5"/>
    <w:rsid w:val="00E53F53"/>
    <w:rsid w:val="00E53F81"/>
    <w:rsid w:val="00E55C7B"/>
    <w:rsid w:val="00E56258"/>
    <w:rsid w:val="00E56361"/>
    <w:rsid w:val="00E566B9"/>
    <w:rsid w:val="00E57432"/>
    <w:rsid w:val="00E575EE"/>
    <w:rsid w:val="00E576CB"/>
    <w:rsid w:val="00E60D21"/>
    <w:rsid w:val="00E60F45"/>
    <w:rsid w:val="00E610E9"/>
    <w:rsid w:val="00E61E8C"/>
    <w:rsid w:val="00E62C75"/>
    <w:rsid w:val="00E62EB2"/>
    <w:rsid w:val="00E63493"/>
    <w:rsid w:val="00E64CE8"/>
    <w:rsid w:val="00E65813"/>
    <w:rsid w:val="00E65C11"/>
    <w:rsid w:val="00E66370"/>
    <w:rsid w:val="00E666B3"/>
    <w:rsid w:val="00E66716"/>
    <w:rsid w:val="00E66B40"/>
    <w:rsid w:val="00E66F41"/>
    <w:rsid w:val="00E6735F"/>
    <w:rsid w:val="00E67ACE"/>
    <w:rsid w:val="00E67C64"/>
    <w:rsid w:val="00E7049F"/>
    <w:rsid w:val="00E71143"/>
    <w:rsid w:val="00E713C6"/>
    <w:rsid w:val="00E71965"/>
    <w:rsid w:val="00E7204C"/>
    <w:rsid w:val="00E7209E"/>
    <w:rsid w:val="00E727CE"/>
    <w:rsid w:val="00E72A8B"/>
    <w:rsid w:val="00E72CB8"/>
    <w:rsid w:val="00E72D5A"/>
    <w:rsid w:val="00E730B3"/>
    <w:rsid w:val="00E73756"/>
    <w:rsid w:val="00E737C5"/>
    <w:rsid w:val="00E73881"/>
    <w:rsid w:val="00E73BEE"/>
    <w:rsid w:val="00E74BD1"/>
    <w:rsid w:val="00E755E6"/>
    <w:rsid w:val="00E75618"/>
    <w:rsid w:val="00E75788"/>
    <w:rsid w:val="00E75C98"/>
    <w:rsid w:val="00E76364"/>
    <w:rsid w:val="00E7671F"/>
    <w:rsid w:val="00E7696B"/>
    <w:rsid w:val="00E76FEC"/>
    <w:rsid w:val="00E77F48"/>
    <w:rsid w:val="00E80C51"/>
    <w:rsid w:val="00E80CDF"/>
    <w:rsid w:val="00E80FCD"/>
    <w:rsid w:val="00E80FD2"/>
    <w:rsid w:val="00E810EB"/>
    <w:rsid w:val="00E8162F"/>
    <w:rsid w:val="00E816BA"/>
    <w:rsid w:val="00E81C6F"/>
    <w:rsid w:val="00E81DBB"/>
    <w:rsid w:val="00E8210D"/>
    <w:rsid w:val="00E82F18"/>
    <w:rsid w:val="00E832A1"/>
    <w:rsid w:val="00E83AD0"/>
    <w:rsid w:val="00E83C97"/>
    <w:rsid w:val="00E84234"/>
    <w:rsid w:val="00E848F1"/>
    <w:rsid w:val="00E84B35"/>
    <w:rsid w:val="00E84C1C"/>
    <w:rsid w:val="00E85287"/>
    <w:rsid w:val="00E855AC"/>
    <w:rsid w:val="00E85C37"/>
    <w:rsid w:val="00E85C50"/>
    <w:rsid w:val="00E85C54"/>
    <w:rsid w:val="00E8689A"/>
    <w:rsid w:val="00E86B6F"/>
    <w:rsid w:val="00E87191"/>
    <w:rsid w:val="00E872F0"/>
    <w:rsid w:val="00E87351"/>
    <w:rsid w:val="00E87810"/>
    <w:rsid w:val="00E87F22"/>
    <w:rsid w:val="00E90351"/>
    <w:rsid w:val="00E907B5"/>
    <w:rsid w:val="00E91385"/>
    <w:rsid w:val="00E91449"/>
    <w:rsid w:val="00E91613"/>
    <w:rsid w:val="00E9194F"/>
    <w:rsid w:val="00E91F66"/>
    <w:rsid w:val="00E92097"/>
    <w:rsid w:val="00E924A9"/>
    <w:rsid w:val="00E92AF5"/>
    <w:rsid w:val="00E93874"/>
    <w:rsid w:val="00E93D13"/>
    <w:rsid w:val="00E93EA4"/>
    <w:rsid w:val="00E95327"/>
    <w:rsid w:val="00E95EC3"/>
    <w:rsid w:val="00E96134"/>
    <w:rsid w:val="00E96829"/>
    <w:rsid w:val="00E97B62"/>
    <w:rsid w:val="00EA0173"/>
    <w:rsid w:val="00EA0341"/>
    <w:rsid w:val="00EA0621"/>
    <w:rsid w:val="00EA16C0"/>
    <w:rsid w:val="00EA16D2"/>
    <w:rsid w:val="00EA179F"/>
    <w:rsid w:val="00EA1880"/>
    <w:rsid w:val="00EA18F0"/>
    <w:rsid w:val="00EA20CD"/>
    <w:rsid w:val="00EA22BB"/>
    <w:rsid w:val="00EA285F"/>
    <w:rsid w:val="00EA2CB6"/>
    <w:rsid w:val="00EA4288"/>
    <w:rsid w:val="00EA491F"/>
    <w:rsid w:val="00EA4B4D"/>
    <w:rsid w:val="00EA5197"/>
    <w:rsid w:val="00EA5D20"/>
    <w:rsid w:val="00EA6359"/>
    <w:rsid w:val="00EA7353"/>
    <w:rsid w:val="00EA777B"/>
    <w:rsid w:val="00EA7926"/>
    <w:rsid w:val="00EB0167"/>
    <w:rsid w:val="00EB0650"/>
    <w:rsid w:val="00EB137B"/>
    <w:rsid w:val="00EB145C"/>
    <w:rsid w:val="00EB1841"/>
    <w:rsid w:val="00EB189A"/>
    <w:rsid w:val="00EB1BD4"/>
    <w:rsid w:val="00EB2D47"/>
    <w:rsid w:val="00EB3923"/>
    <w:rsid w:val="00EB399B"/>
    <w:rsid w:val="00EB3B24"/>
    <w:rsid w:val="00EB3EEF"/>
    <w:rsid w:val="00EB42CF"/>
    <w:rsid w:val="00EB51D9"/>
    <w:rsid w:val="00EB5415"/>
    <w:rsid w:val="00EB5E93"/>
    <w:rsid w:val="00EB71F4"/>
    <w:rsid w:val="00EB7227"/>
    <w:rsid w:val="00EB72B0"/>
    <w:rsid w:val="00EB73C7"/>
    <w:rsid w:val="00EB753D"/>
    <w:rsid w:val="00EB7A8C"/>
    <w:rsid w:val="00EC039D"/>
    <w:rsid w:val="00EC0826"/>
    <w:rsid w:val="00EC094D"/>
    <w:rsid w:val="00EC0D10"/>
    <w:rsid w:val="00EC20DD"/>
    <w:rsid w:val="00EC2235"/>
    <w:rsid w:val="00EC2DB0"/>
    <w:rsid w:val="00EC3299"/>
    <w:rsid w:val="00EC34FD"/>
    <w:rsid w:val="00EC3F1C"/>
    <w:rsid w:val="00EC56D5"/>
    <w:rsid w:val="00EC58C6"/>
    <w:rsid w:val="00EC5E03"/>
    <w:rsid w:val="00EC7281"/>
    <w:rsid w:val="00EC7898"/>
    <w:rsid w:val="00EC7F2A"/>
    <w:rsid w:val="00ED0533"/>
    <w:rsid w:val="00ED0841"/>
    <w:rsid w:val="00ED11EE"/>
    <w:rsid w:val="00ED1A8E"/>
    <w:rsid w:val="00ED1FE8"/>
    <w:rsid w:val="00ED26F3"/>
    <w:rsid w:val="00ED31D2"/>
    <w:rsid w:val="00ED3BE9"/>
    <w:rsid w:val="00ED3CB4"/>
    <w:rsid w:val="00ED4DC4"/>
    <w:rsid w:val="00ED4EE7"/>
    <w:rsid w:val="00ED5657"/>
    <w:rsid w:val="00ED62D0"/>
    <w:rsid w:val="00ED6509"/>
    <w:rsid w:val="00ED7268"/>
    <w:rsid w:val="00ED7B50"/>
    <w:rsid w:val="00EE0109"/>
    <w:rsid w:val="00EE0F15"/>
    <w:rsid w:val="00EE1170"/>
    <w:rsid w:val="00EE1932"/>
    <w:rsid w:val="00EE294E"/>
    <w:rsid w:val="00EE2A52"/>
    <w:rsid w:val="00EE377C"/>
    <w:rsid w:val="00EE38AE"/>
    <w:rsid w:val="00EE3C27"/>
    <w:rsid w:val="00EE3EC0"/>
    <w:rsid w:val="00EE4001"/>
    <w:rsid w:val="00EE485C"/>
    <w:rsid w:val="00EE4A89"/>
    <w:rsid w:val="00EE514F"/>
    <w:rsid w:val="00EE5932"/>
    <w:rsid w:val="00EE5936"/>
    <w:rsid w:val="00EE5F05"/>
    <w:rsid w:val="00EE64FC"/>
    <w:rsid w:val="00EF0330"/>
    <w:rsid w:val="00EF12F8"/>
    <w:rsid w:val="00EF1A2B"/>
    <w:rsid w:val="00EF1D38"/>
    <w:rsid w:val="00EF2349"/>
    <w:rsid w:val="00EF23EF"/>
    <w:rsid w:val="00EF2E67"/>
    <w:rsid w:val="00EF31B6"/>
    <w:rsid w:val="00EF4063"/>
    <w:rsid w:val="00EF4488"/>
    <w:rsid w:val="00EF46CA"/>
    <w:rsid w:val="00EF5984"/>
    <w:rsid w:val="00EF59AE"/>
    <w:rsid w:val="00EF5BE7"/>
    <w:rsid w:val="00EF69D0"/>
    <w:rsid w:val="00EF6F78"/>
    <w:rsid w:val="00EF72A5"/>
    <w:rsid w:val="00EF78FE"/>
    <w:rsid w:val="00EF7951"/>
    <w:rsid w:val="00EF7983"/>
    <w:rsid w:val="00EF7CD8"/>
    <w:rsid w:val="00F0037E"/>
    <w:rsid w:val="00F003D2"/>
    <w:rsid w:val="00F0091C"/>
    <w:rsid w:val="00F01264"/>
    <w:rsid w:val="00F01357"/>
    <w:rsid w:val="00F0147A"/>
    <w:rsid w:val="00F019DF"/>
    <w:rsid w:val="00F01B37"/>
    <w:rsid w:val="00F02CC4"/>
    <w:rsid w:val="00F02CF8"/>
    <w:rsid w:val="00F03D33"/>
    <w:rsid w:val="00F04037"/>
    <w:rsid w:val="00F04FF3"/>
    <w:rsid w:val="00F051A1"/>
    <w:rsid w:val="00F0558B"/>
    <w:rsid w:val="00F05924"/>
    <w:rsid w:val="00F059BD"/>
    <w:rsid w:val="00F05F7E"/>
    <w:rsid w:val="00F0607B"/>
    <w:rsid w:val="00F06EE0"/>
    <w:rsid w:val="00F071E4"/>
    <w:rsid w:val="00F0789B"/>
    <w:rsid w:val="00F10DC1"/>
    <w:rsid w:val="00F11051"/>
    <w:rsid w:val="00F11157"/>
    <w:rsid w:val="00F113C9"/>
    <w:rsid w:val="00F114CE"/>
    <w:rsid w:val="00F1184E"/>
    <w:rsid w:val="00F11FA9"/>
    <w:rsid w:val="00F1363D"/>
    <w:rsid w:val="00F13C5A"/>
    <w:rsid w:val="00F13E13"/>
    <w:rsid w:val="00F13E25"/>
    <w:rsid w:val="00F13FF4"/>
    <w:rsid w:val="00F14696"/>
    <w:rsid w:val="00F149CB"/>
    <w:rsid w:val="00F16C5A"/>
    <w:rsid w:val="00F16F2F"/>
    <w:rsid w:val="00F1711C"/>
    <w:rsid w:val="00F1783B"/>
    <w:rsid w:val="00F17A5B"/>
    <w:rsid w:val="00F200EB"/>
    <w:rsid w:val="00F20A73"/>
    <w:rsid w:val="00F222D9"/>
    <w:rsid w:val="00F2316E"/>
    <w:rsid w:val="00F23E58"/>
    <w:rsid w:val="00F23E8C"/>
    <w:rsid w:val="00F2447F"/>
    <w:rsid w:val="00F24765"/>
    <w:rsid w:val="00F2478F"/>
    <w:rsid w:val="00F2483E"/>
    <w:rsid w:val="00F24964"/>
    <w:rsid w:val="00F24D8D"/>
    <w:rsid w:val="00F25A75"/>
    <w:rsid w:val="00F25BBB"/>
    <w:rsid w:val="00F2628E"/>
    <w:rsid w:val="00F26440"/>
    <w:rsid w:val="00F26504"/>
    <w:rsid w:val="00F27802"/>
    <w:rsid w:val="00F27AD3"/>
    <w:rsid w:val="00F27CF2"/>
    <w:rsid w:val="00F302A3"/>
    <w:rsid w:val="00F30342"/>
    <w:rsid w:val="00F3038E"/>
    <w:rsid w:val="00F312A8"/>
    <w:rsid w:val="00F31380"/>
    <w:rsid w:val="00F319BA"/>
    <w:rsid w:val="00F322AB"/>
    <w:rsid w:val="00F323CF"/>
    <w:rsid w:val="00F32D3D"/>
    <w:rsid w:val="00F33033"/>
    <w:rsid w:val="00F33AA4"/>
    <w:rsid w:val="00F33D0D"/>
    <w:rsid w:val="00F349C1"/>
    <w:rsid w:val="00F3566A"/>
    <w:rsid w:val="00F35B24"/>
    <w:rsid w:val="00F35CC7"/>
    <w:rsid w:val="00F35E64"/>
    <w:rsid w:val="00F365B5"/>
    <w:rsid w:val="00F3706B"/>
    <w:rsid w:val="00F37EE0"/>
    <w:rsid w:val="00F41238"/>
    <w:rsid w:val="00F41430"/>
    <w:rsid w:val="00F42215"/>
    <w:rsid w:val="00F42555"/>
    <w:rsid w:val="00F445FE"/>
    <w:rsid w:val="00F446DD"/>
    <w:rsid w:val="00F446EA"/>
    <w:rsid w:val="00F44728"/>
    <w:rsid w:val="00F450DA"/>
    <w:rsid w:val="00F45102"/>
    <w:rsid w:val="00F45663"/>
    <w:rsid w:val="00F459DE"/>
    <w:rsid w:val="00F45B74"/>
    <w:rsid w:val="00F46C57"/>
    <w:rsid w:val="00F471FA"/>
    <w:rsid w:val="00F479EF"/>
    <w:rsid w:val="00F47F45"/>
    <w:rsid w:val="00F509B3"/>
    <w:rsid w:val="00F5118A"/>
    <w:rsid w:val="00F5171D"/>
    <w:rsid w:val="00F51B74"/>
    <w:rsid w:val="00F5214E"/>
    <w:rsid w:val="00F52213"/>
    <w:rsid w:val="00F52C23"/>
    <w:rsid w:val="00F531CA"/>
    <w:rsid w:val="00F531ED"/>
    <w:rsid w:val="00F538AE"/>
    <w:rsid w:val="00F5476F"/>
    <w:rsid w:val="00F54C09"/>
    <w:rsid w:val="00F54F75"/>
    <w:rsid w:val="00F55444"/>
    <w:rsid w:val="00F56A6C"/>
    <w:rsid w:val="00F5707A"/>
    <w:rsid w:val="00F57550"/>
    <w:rsid w:val="00F57A48"/>
    <w:rsid w:val="00F57B6B"/>
    <w:rsid w:val="00F57CDD"/>
    <w:rsid w:val="00F612AD"/>
    <w:rsid w:val="00F614A9"/>
    <w:rsid w:val="00F615F7"/>
    <w:rsid w:val="00F633A3"/>
    <w:rsid w:val="00F6406E"/>
    <w:rsid w:val="00F640B0"/>
    <w:rsid w:val="00F64282"/>
    <w:rsid w:val="00F64999"/>
    <w:rsid w:val="00F6518C"/>
    <w:rsid w:val="00F651CD"/>
    <w:rsid w:val="00F65DC9"/>
    <w:rsid w:val="00F6639A"/>
    <w:rsid w:val="00F668F6"/>
    <w:rsid w:val="00F6778D"/>
    <w:rsid w:val="00F70097"/>
    <w:rsid w:val="00F708F8"/>
    <w:rsid w:val="00F71303"/>
    <w:rsid w:val="00F7184B"/>
    <w:rsid w:val="00F726D3"/>
    <w:rsid w:val="00F73F8B"/>
    <w:rsid w:val="00F74AC7"/>
    <w:rsid w:val="00F74D10"/>
    <w:rsid w:val="00F7520E"/>
    <w:rsid w:val="00F7545F"/>
    <w:rsid w:val="00F76C55"/>
    <w:rsid w:val="00F76EAC"/>
    <w:rsid w:val="00F82781"/>
    <w:rsid w:val="00F82883"/>
    <w:rsid w:val="00F828AF"/>
    <w:rsid w:val="00F832D6"/>
    <w:rsid w:val="00F8378E"/>
    <w:rsid w:val="00F837BB"/>
    <w:rsid w:val="00F83E7F"/>
    <w:rsid w:val="00F84437"/>
    <w:rsid w:val="00F84536"/>
    <w:rsid w:val="00F8554A"/>
    <w:rsid w:val="00F85A72"/>
    <w:rsid w:val="00F861E0"/>
    <w:rsid w:val="00F87370"/>
    <w:rsid w:val="00F879DF"/>
    <w:rsid w:val="00F903B7"/>
    <w:rsid w:val="00F91047"/>
    <w:rsid w:val="00F91BC6"/>
    <w:rsid w:val="00F922DF"/>
    <w:rsid w:val="00F92815"/>
    <w:rsid w:val="00F937D2"/>
    <w:rsid w:val="00F9381A"/>
    <w:rsid w:val="00F93D34"/>
    <w:rsid w:val="00F93EF5"/>
    <w:rsid w:val="00F9403B"/>
    <w:rsid w:val="00F9408D"/>
    <w:rsid w:val="00F941B2"/>
    <w:rsid w:val="00F94230"/>
    <w:rsid w:val="00F9478A"/>
    <w:rsid w:val="00F952E2"/>
    <w:rsid w:val="00F958A4"/>
    <w:rsid w:val="00F95B63"/>
    <w:rsid w:val="00F95F29"/>
    <w:rsid w:val="00F96A0A"/>
    <w:rsid w:val="00F96DCB"/>
    <w:rsid w:val="00F96EB6"/>
    <w:rsid w:val="00F96F44"/>
    <w:rsid w:val="00F971FD"/>
    <w:rsid w:val="00F97531"/>
    <w:rsid w:val="00FA038F"/>
    <w:rsid w:val="00FA0539"/>
    <w:rsid w:val="00FA066F"/>
    <w:rsid w:val="00FA0927"/>
    <w:rsid w:val="00FA10B0"/>
    <w:rsid w:val="00FA2B64"/>
    <w:rsid w:val="00FA2DBA"/>
    <w:rsid w:val="00FA2E86"/>
    <w:rsid w:val="00FA3699"/>
    <w:rsid w:val="00FA3D01"/>
    <w:rsid w:val="00FA4250"/>
    <w:rsid w:val="00FA454E"/>
    <w:rsid w:val="00FA4839"/>
    <w:rsid w:val="00FA5143"/>
    <w:rsid w:val="00FA5276"/>
    <w:rsid w:val="00FA54E0"/>
    <w:rsid w:val="00FA5608"/>
    <w:rsid w:val="00FA568B"/>
    <w:rsid w:val="00FA5A3B"/>
    <w:rsid w:val="00FA71EC"/>
    <w:rsid w:val="00FA75AA"/>
    <w:rsid w:val="00FA7F41"/>
    <w:rsid w:val="00FB1045"/>
    <w:rsid w:val="00FB10EE"/>
    <w:rsid w:val="00FB1211"/>
    <w:rsid w:val="00FB167E"/>
    <w:rsid w:val="00FB23DC"/>
    <w:rsid w:val="00FB271E"/>
    <w:rsid w:val="00FB2AA0"/>
    <w:rsid w:val="00FB2DAB"/>
    <w:rsid w:val="00FB2FF3"/>
    <w:rsid w:val="00FB3043"/>
    <w:rsid w:val="00FB36D5"/>
    <w:rsid w:val="00FB37C4"/>
    <w:rsid w:val="00FB39B8"/>
    <w:rsid w:val="00FB4CE5"/>
    <w:rsid w:val="00FB4D85"/>
    <w:rsid w:val="00FB50E9"/>
    <w:rsid w:val="00FB67FF"/>
    <w:rsid w:val="00FB7B26"/>
    <w:rsid w:val="00FC0992"/>
    <w:rsid w:val="00FC0BA6"/>
    <w:rsid w:val="00FC0C4D"/>
    <w:rsid w:val="00FC0EC8"/>
    <w:rsid w:val="00FC0F48"/>
    <w:rsid w:val="00FC212D"/>
    <w:rsid w:val="00FC23C1"/>
    <w:rsid w:val="00FC2823"/>
    <w:rsid w:val="00FC2A42"/>
    <w:rsid w:val="00FC30B0"/>
    <w:rsid w:val="00FC3968"/>
    <w:rsid w:val="00FC4322"/>
    <w:rsid w:val="00FC4673"/>
    <w:rsid w:val="00FC4EDE"/>
    <w:rsid w:val="00FC4FA1"/>
    <w:rsid w:val="00FC5459"/>
    <w:rsid w:val="00FC574D"/>
    <w:rsid w:val="00FC593E"/>
    <w:rsid w:val="00FC6539"/>
    <w:rsid w:val="00FC67DA"/>
    <w:rsid w:val="00FC737F"/>
    <w:rsid w:val="00FC76D9"/>
    <w:rsid w:val="00FC7ACE"/>
    <w:rsid w:val="00FC7D02"/>
    <w:rsid w:val="00FC7E5B"/>
    <w:rsid w:val="00FD05EF"/>
    <w:rsid w:val="00FD07BF"/>
    <w:rsid w:val="00FD0B41"/>
    <w:rsid w:val="00FD0FCB"/>
    <w:rsid w:val="00FD1007"/>
    <w:rsid w:val="00FD1D16"/>
    <w:rsid w:val="00FD2ADA"/>
    <w:rsid w:val="00FD38A3"/>
    <w:rsid w:val="00FD3EF8"/>
    <w:rsid w:val="00FD494D"/>
    <w:rsid w:val="00FD4E78"/>
    <w:rsid w:val="00FD5935"/>
    <w:rsid w:val="00FD73FF"/>
    <w:rsid w:val="00FD7514"/>
    <w:rsid w:val="00FD7F27"/>
    <w:rsid w:val="00FD7F42"/>
    <w:rsid w:val="00FE0313"/>
    <w:rsid w:val="00FE0381"/>
    <w:rsid w:val="00FE097C"/>
    <w:rsid w:val="00FE28B3"/>
    <w:rsid w:val="00FE3033"/>
    <w:rsid w:val="00FE3F2F"/>
    <w:rsid w:val="00FE49AC"/>
    <w:rsid w:val="00FE4AA3"/>
    <w:rsid w:val="00FE52AD"/>
    <w:rsid w:val="00FE5CFA"/>
    <w:rsid w:val="00FE6689"/>
    <w:rsid w:val="00FE6B0A"/>
    <w:rsid w:val="00FE7B35"/>
    <w:rsid w:val="00FF0CC4"/>
    <w:rsid w:val="00FF120E"/>
    <w:rsid w:val="00FF18B7"/>
    <w:rsid w:val="00FF1AC2"/>
    <w:rsid w:val="00FF2210"/>
    <w:rsid w:val="00FF23E2"/>
    <w:rsid w:val="00FF2776"/>
    <w:rsid w:val="00FF3C6B"/>
    <w:rsid w:val="00FF441E"/>
    <w:rsid w:val="00FF491C"/>
    <w:rsid w:val="00FF4F61"/>
    <w:rsid w:val="00FF4FD8"/>
    <w:rsid w:val="00FF54A8"/>
    <w:rsid w:val="00FF6006"/>
    <w:rsid w:val="00FF6BAE"/>
    <w:rsid w:val="00FF6C98"/>
    <w:rsid w:val="00FF780F"/>
    <w:rsid w:val="00FF7D73"/>
    <w:rsid w:val="00FF7F9F"/>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0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B3E26"/>
    <w:rPr>
      <w:rFonts w:ascii="Times New Roman" w:hAnsi="Times New Roman" w:cs="Times New Roman"/>
      <w:sz w:val="24"/>
      <w:szCs w:val="24"/>
      <w:lang w:eastAsia="ja-JP"/>
    </w:rPr>
  </w:style>
  <w:style w:type="paragraph" w:styleId="12">
    <w:name w:val="heading 1"/>
    <w:basedOn w:val="a0"/>
    <w:next w:val="a0"/>
    <w:link w:val="13"/>
    <w:qFormat/>
    <w:rsid w:val="00601696"/>
    <w:pPr>
      <w:keepNext/>
      <w:spacing w:before="240" w:after="240" w:line="360" w:lineRule="auto"/>
      <w:outlineLvl w:val="0"/>
    </w:pPr>
    <w:rPr>
      <w:rFonts w:cs="Arial"/>
      <w:b/>
      <w:bCs/>
      <w:kern w:val="32"/>
      <w:szCs w:val="32"/>
    </w:rPr>
  </w:style>
  <w:style w:type="paragraph" w:styleId="2">
    <w:name w:val="heading 2"/>
    <w:basedOn w:val="a0"/>
    <w:next w:val="a0"/>
    <w:link w:val="20"/>
    <w:qFormat/>
    <w:rsid w:val="000C37CF"/>
    <w:pPr>
      <w:keepNext/>
      <w:spacing w:before="240" w:after="240" w:line="360" w:lineRule="auto"/>
      <w:outlineLvl w:val="1"/>
    </w:pPr>
    <w:rPr>
      <w:b/>
      <w:bCs/>
      <w:iCs/>
      <w:szCs w:val="28"/>
    </w:rPr>
  </w:style>
  <w:style w:type="paragraph" w:styleId="3">
    <w:name w:val="heading 3"/>
    <w:basedOn w:val="a0"/>
    <w:next w:val="a0"/>
    <w:link w:val="30"/>
    <w:uiPriority w:val="9"/>
    <w:qFormat/>
    <w:rsid w:val="00E30437"/>
    <w:pPr>
      <w:keepNext/>
      <w:spacing w:before="240" w:after="60"/>
      <w:outlineLvl w:val="2"/>
    </w:pPr>
    <w:rPr>
      <w:rFonts w:ascii="Arial" w:hAnsi="Arial"/>
      <w:b/>
      <w:bCs/>
      <w:szCs w:val="26"/>
    </w:rPr>
  </w:style>
  <w:style w:type="paragraph" w:styleId="4">
    <w:name w:val="heading 4"/>
    <w:basedOn w:val="a0"/>
    <w:next w:val="a0"/>
    <w:link w:val="40"/>
    <w:uiPriority w:val="9"/>
    <w:unhideWhenUsed/>
    <w:qFormat/>
    <w:rsid w:val="00E30437"/>
    <w:pPr>
      <w:keepNext/>
      <w:spacing w:before="240" w:after="60"/>
      <w:outlineLvl w:val="3"/>
    </w:pPr>
    <w:rPr>
      <w:rFonts w:ascii="Calibri" w:eastAsia="Times New Roman" w:hAnsi="Calibri"/>
      <w:b/>
      <w:bCs/>
      <w:sz w:val="28"/>
      <w:szCs w:val="28"/>
    </w:rPr>
  </w:style>
  <w:style w:type="paragraph" w:styleId="5">
    <w:name w:val="heading 5"/>
    <w:basedOn w:val="a0"/>
    <w:next w:val="a0"/>
    <w:link w:val="50"/>
    <w:unhideWhenUsed/>
    <w:qFormat/>
    <w:rsid w:val="00E30437"/>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4927F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E62E0"/>
    <w:pPr>
      <w:keepNext/>
      <w:keepLines/>
      <w:spacing w:before="20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0"/>
    <w:next w:val="a0"/>
    <w:link w:val="80"/>
    <w:uiPriority w:val="9"/>
    <w:semiHidden/>
    <w:unhideWhenUsed/>
    <w:qFormat/>
    <w:rsid w:val="009E62E0"/>
    <w:pPr>
      <w:keepNext/>
      <w:keepLines/>
      <w:spacing w:before="20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0"/>
    <w:next w:val="a0"/>
    <w:link w:val="90"/>
    <w:uiPriority w:val="9"/>
    <w:semiHidden/>
    <w:unhideWhenUsed/>
    <w:qFormat/>
    <w:rsid w:val="009E62E0"/>
    <w:pPr>
      <w:keepNext/>
      <w:keepLines/>
      <w:spacing w:before="20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rsid w:val="00601696"/>
    <w:rPr>
      <w:rFonts w:ascii="Times New Roman" w:eastAsia="MS Mincho" w:hAnsi="Times New Roman" w:cs="Arial"/>
      <w:b/>
      <w:bCs/>
      <w:kern w:val="32"/>
      <w:sz w:val="24"/>
      <w:szCs w:val="32"/>
      <w:lang w:eastAsia="ja-JP"/>
    </w:rPr>
  </w:style>
  <w:style w:type="character" w:customStyle="1" w:styleId="20">
    <w:name w:val="Заголовок 2 Знак"/>
    <w:basedOn w:val="a1"/>
    <w:link w:val="2"/>
    <w:rsid w:val="000C37CF"/>
    <w:rPr>
      <w:rFonts w:ascii="Times New Roman" w:eastAsia="MS Mincho" w:hAnsi="Times New Roman" w:cs="Times New Roman"/>
      <w:b/>
      <w:bCs/>
      <w:iCs/>
      <w:sz w:val="24"/>
      <w:szCs w:val="28"/>
      <w:lang w:eastAsia="ja-JP"/>
    </w:rPr>
  </w:style>
  <w:style w:type="character" w:customStyle="1" w:styleId="30">
    <w:name w:val="Заголовок 3 Знак"/>
    <w:basedOn w:val="a1"/>
    <w:link w:val="3"/>
    <w:rsid w:val="00E30437"/>
    <w:rPr>
      <w:rFonts w:ascii="Arial" w:eastAsia="MS Mincho" w:hAnsi="Arial" w:cs="Times New Roman"/>
      <w:b/>
      <w:bCs/>
      <w:sz w:val="24"/>
      <w:szCs w:val="26"/>
      <w:lang w:eastAsia="ja-JP"/>
    </w:rPr>
  </w:style>
  <w:style w:type="character" w:customStyle="1" w:styleId="40">
    <w:name w:val="Заголовок 4 Знак"/>
    <w:basedOn w:val="a1"/>
    <w:link w:val="4"/>
    <w:rsid w:val="00E30437"/>
    <w:rPr>
      <w:rFonts w:ascii="Calibri" w:eastAsia="Times New Roman" w:hAnsi="Calibri" w:cs="Times New Roman"/>
      <w:b/>
      <w:bCs/>
      <w:sz w:val="28"/>
      <w:szCs w:val="28"/>
      <w:lang w:eastAsia="ja-JP"/>
    </w:rPr>
  </w:style>
  <w:style w:type="character" w:customStyle="1" w:styleId="50">
    <w:name w:val="Заголовок 5 Знак"/>
    <w:basedOn w:val="a1"/>
    <w:link w:val="5"/>
    <w:rsid w:val="00E30437"/>
    <w:rPr>
      <w:rFonts w:ascii="Calibri" w:eastAsia="Times New Roman" w:hAnsi="Calibri" w:cs="Times New Roman"/>
      <w:b/>
      <w:bCs/>
      <w:i/>
      <w:iCs/>
      <w:sz w:val="26"/>
      <w:szCs w:val="26"/>
      <w:lang w:eastAsia="ja-JP"/>
    </w:rPr>
  </w:style>
  <w:style w:type="paragraph" w:styleId="a4">
    <w:name w:val="header"/>
    <w:basedOn w:val="a0"/>
    <w:link w:val="a5"/>
    <w:uiPriority w:val="99"/>
    <w:rsid w:val="00E30437"/>
    <w:pPr>
      <w:tabs>
        <w:tab w:val="center" w:pos="4677"/>
        <w:tab w:val="right" w:pos="9355"/>
      </w:tabs>
    </w:pPr>
  </w:style>
  <w:style w:type="character" w:customStyle="1" w:styleId="a5">
    <w:name w:val="Верхний колонтитул Знак"/>
    <w:basedOn w:val="a1"/>
    <w:link w:val="a4"/>
    <w:uiPriority w:val="99"/>
    <w:rsid w:val="00E30437"/>
    <w:rPr>
      <w:rFonts w:ascii="Times New Roman" w:eastAsia="MS Mincho" w:hAnsi="Times New Roman" w:cs="Times New Roman"/>
      <w:sz w:val="24"/>
      <w:szCs w:val="24"/>
      <w:lang w:eastAsia="ja-JP"/>
    </w:rPr>
  </w:style>
  <w:style w:type="paragraph" w:styleId="a6">
    <w:name w:val="footer"/>
    <w:basedOn w:val="a0"/>
    <w:link w:val="a7"/>
    <w:uiPriority w:val="99"/>
    <w:rsid w:val="00E30437"/>
    <w:pPr>
      <w:tabs>
        <w:tab w:val="center" w:pos="4677"/>
        <w:tab w:val="right" w:pos="9355"/>
      </w:tabs>
    </w:pPr>
  </w:style>
  <w:style w:type="character" w:customStyle="1" w:styleId="a7">
    <w:name w:val="Нижний колонтитул Знак"/>
    <w:basedOn w:val="a1"/>
    <w:link w:val="a6"/>
    <w:uiPriority w:val="99"/>
    <w:rsid w:val="00E30437"/>
    <w:rPr>
      <w:rFonts w:ascii="Times New Roman" w:eastAsia="MS Mincho" w:hAnsi="Times New Roman" w:cs="Times New Roman"/>
      <w:sz w:val="24"/>
      <w:szCs w:val="24"/>
      <w:lang w:eastAsia="ja-JP"/>
    </w:rPr>
  </w:style>
  <w:style w:type="table" w:styleId="a8">
    <w:name w:val="Table Grid"/>
    <w:basedOn w:val="a2"/>
    <w:uiPriority w:val="59"/>
    <w:qFormat/>
    <w:rsid w:val="00E30437"/>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E30437"/>
  </w:style>
  <w:style w:type="paragraph" w:styleId="14">
    <w:name w:val="toc 1"/>
    <w:basedOn w:val="a0"/>
    <w:next w:val="a0"/>
    <w:autoRedefine/>
    <w:uiPriority w:val="39"/>
    <w:rsid w:val="007C0CE4"/>
    <w:pPr>
      <w:tabs>
        <w:tab w:val="right" w:leader="dot" w:pos="9356"/>
      </w:tabs>
    </w:pPr>
  </w:style>
  <w:style w:type="character" w:styleId="aa">
    <w:name w:val="Hyperlink"/>
    <w:uiPriority w:val="99"/>
    <w:rsid w:val="00E30437"/>
    <w:rPr>
      <w:color w:val="0000FF"/>
      <w:u w:val="single"/>
    </w:rPr>
  </w:style>
  <w:style w:type="paragraph" w:styleId="21">
    <w:name w:val="toc 2"/>
    <w:basedOn w:val="a0"/>
    <w:next w:val="a0"/>
    <w:autoRedefine/>
    <w:uiPriority w:val="39"/>
    <w:rsid w:val="00521618"/>
    <w:pPr>
      <w:tabs>
        <w:tab w:val="left" w:pos="880"/>
        <w:tab w:val="right" w:leader="dot" w:pos="9345"/>
      </w:tabs>
    </w:pPr>
  </w:style>
  <w:style w:type="paragraph" w:styleId="ab">
    <w:name w:val="Normal (Web)"/>
    <w:basedOn w:val="a0"/>
    <w:uiPriority w:val="99"/>
    <w:qFormat/>
    <w:rsid w:val="00E30437"/>
    <w:pPr>
      <w:spacing w:before="100" w:beforeAutospacing="1" w:after="100" w:afterAutospacing="1"/>
      <w:jc w:val="left"/>
    </w:pPr>
    <w:rPr>
      <w:rFonts w:eastAsia="Times New Roman"/>
      <w:lang w:eastAsia="ru-RU"/>
    </w:rPr>
  </w:style>
  <w:style w:type="paragraph" w:styleId="31">
    <w:name w:val="toc 3"/>
    <w:basedOn w:val="a0"/>
    <w:next w:val="a0"/>
    <w:autoRedefine/>
    <w:uiPriority w:val="39"/>
    <w:rsid w:val="00255CCA"/>
    <w:pPr>
      <w:tabs>
        <w:tab w:val="left" w:pos="1100"/>
        <w:tab w:val="right" w:leader="dot" w:pos="9345"/>
      </w:tabs>
      <w:ind w:firstLine="284"/>
    </w:pPr>
    <w:rPr>
      <w:rFonts w:eastAsia="Times New Roman"/>
      <w:b/>
      <w:bCs/>
      <w:iCs/>
      <w:noProof/>
      <w:lang w:eastAsia="en-US"/>
    </w:rPr>
  </w:style>
  <w:style w:type="character" w:styleId="ac">
    <w:name w:val="Strong"/>
    <w:uiPriority w:val="22"/>
    <w:qFormat/>
    <w:rsid w:val="00E30437"/>
    <w:rPr>
      <w:b/>
      <w:bCs/>
    </w:rPr>
  </w:style>
  <w:style w:type="character" w:customStyle="1" w:styleId="subabstractlabel">
    <w:name w:val="sub_abstract_label"/>
    <w:basedOn w:val="a1"/>
    <w:rsid w:val="00E30437"/>
  </w:style>
  <w:style w:type="character" w:customStyle="1" w:styleId="element-citation">
    <w:name w:val="element-citation"/>
    <w:basedOn w:val="a1"/>
    <w:rsid w:val="00E30437"/>
  </w:style>
  <w:style w:type="character" w:customStyle="1" w:styleId="src">
    <w:name w:val="src"/>
    <w:basedOn w:val="a1"/>
    <w:rsid w:val="00E30437"/>
  </w:style>
  <w:style w:type="paragraph" w:styleId="ad">
    <w:name w:val="footnote text"/>
    <w:basedOn w:val="a0"/>
    <w:link w:val="ae"/>
    <w:uiPriority w:val="99"/>
    <w:rsid w:val="00E30437"/>
    <w:pPr>
      <w:jc w:val="left"/>
    </w:pPr>
    <w:rPr>
      <w:rFonts w:eastAsia="Times New Roman"/>
      <w:sz w:val="20"/>
      <w:szCs w:val="20"/>
      <w:lang w:eastAsia="ru-RU"/>
    </w:rPr>
  </w:style>
  <w:style w:type="character" w:customStyle="1" w:styleId="ae">
    <w:name w:val="Текст сноски Знак"/>
    <w:basedOn w:val="a1"/>
    <w:link w:val="ad"/>
    <w:uiPriority w:val="99"/>
    <w:rsid w:val="00E30437"/>
    <w:rPr>
      <w:rFonts w:ascii="Times New Roman" w:eastAsia="Times New Roman" w:hAnsi="Times New Roman" w:cs="Times New Roman"/>
      <w:sz w:val="20"/>
      <w:szCs w:val="20"/>
      <w:lang w:eastAsia="ru-RU"/>
    </w:rPr>
  </w:style>
  <w:style w:type="character" w:styleId="af">
    <w:name w:val="footnote reference"/>
    <w:uiPriority w:val="99"/>
    <w:qFormat/>
    <w:rsid w:val="00E30437"/>
    <w:rPr>
      <w:vertAlign w:val="superscript"/>
    </w:rPr>
  </w:style>
  <w:style w:type="character" w:customStyle="1" w:styleId="ref-journal">
    <w:name w:val="ref-journal"/>
    <w:basedOn w:val="a1"/>
    <w:rsid w:val="00E30437"/>
  </w:style>
  <w:style w:type="character" w:customStyle="1" w:styleId="ref-vol">
    <w:name w:val="ref-vol"/>
    <w:basedOn w:val="a1"/>
    <w:rsid w:val="00E30437"/>
  </w:style>
  <w:style w:type="character" w:styleId="af0">
    <w:name w:val="Placeholder Text"/>
    <w:uiPriority w:val="99"/>
    <w:semiHidden/>
    <w:rsid w:val="00E30437"/>
    <w:rPr>
      <w:color w:val="808080"/>
    </w:rPr>
  </w:style>
  <w:style w:type="paragraph" w:styleId="af1">
    <w:name w:val="Balloon Text"/>
    <w:basedOn w:val="a0"/>
    <w:link w:val="af2"/>
    <w:rsid w:val="00E30437"/>
    <w:rPr>
      <w:rFonts w:ascii="Tahoma" w:hAnsi="Tahoma"/>
      <w:sz w:val="16"/>
      <w:szCs w:val="16"/>
    </w:rPr>
  </w:style>
  <w:style w:type="character" w:customStyle="1" w:styleId="af2">
    <w:name w:val="Текст выноски Знак"/>
    <w:basedOn w:val="a1"/>
    <w:link w:val="af1"/>
    <w:rsid w:val="00E30437"/>
    <w:rPr>
      <w:rFonts w:ascii="Tahoma" w:eastAsia="MS Mincho" w:hAnsi="Tahoma" w:cs="Times New Roman"/>
      <w:sz w:val="16"/>
      <w:szCs w:val="16"/>
      <w:lang w:eastAsia="ja-JP"/>
    </w:rPr>
  </w:style>
  <w:style w:type="paragraph" w:styleId="af3">
    <w:name w:val="List Paragraph"/>
    <w:aliases w:val="ТАБЛИЦА1,Список простой нумер,Примечание"/>
    <w:basedOn w:val="a0"/>
    <w:link w:val="af4"/>
    <w:uiPriority w:val="34"/>
    <w:qFormat/>
    <w:rsid w:val="00E30437"/>
    <w:pPr>
      <w:ind w:left="720"/>
      <w:contextualSpacing/>
    </w:pPr>
  </w:style>
  <w:style w:type="character" w:styleId="af5">
    <w:name w:val="annotation reference"/>
    <w:uiPriority w:val="99"/>
    <w:rsid w:val="00E30437"/>
    <w:rPr>
      <w:sz w:val="16"/>
      <w:szCs w:val="16"/>
    </w:rPr>
  </w:style>
  <w:style w:type="paragraph" w:styleId="af6">
    <w:name w:val="annotation text"/>
    <w:basedOn w:val="a0"/>
    <w:link w:val="af7"/>
    <w:uiPriority w:val="99"/>
    <w:rsid w:val="00E30437"/>
    <w:rPr>
      <w:sz w:val="20"/>
      <w:szCs w:val="20"/>
    </w:rPr>
  </w:style>
  <w:style w:type="character" w:customStyle="1" w:styleId="af7">
    <w:name w:val="Текст примечания Знак"/>
    <w:basedOn w:val="a1"/>
    <w:link w:val="af6"/>
    <w:uiPriority w:val="99"/>
    <w:rsid w:val="00E30437"/>
    <w:rPr>
      <w:rFonts w:ascii="Times New Roman" w:eastAsia="MS Mincho" w:hAnsi="Times New Roman" w:cs="Times New Roman"/>
      <w:sz w:val="20"/>
      <w:szCs w:val="20"/>
      <w:lang w:eastAsia="ja-JP"/>
    </w:rPr>
  </w:style>
  <w:style w:type="paragraph" w:styleId="af8">
    <w:name w:val="annotation subject"/>
    <w:basedOn w:val="af6"/>
    <w:next w:val="af6"/>
    <w:link w:val="af9"/>
    <w:rsid w:val="00E30437"/>
    <w:rPr>
      <w:b/>
      <w:bCs/>
    </w:rPr>
  </w:style>
  <w:style w:type="character" w:customStyle="1" w:styleId="af9">
    <w:name w:val="Тема примечания Знак"/>
    <w:basedOn w:val="af7"/>
    <w:link w:val="af8"/>
    <w:rsid w:val="00E30437"/>
    <w:rPr>
      <w:rFonts w:ascii="Times New Roman" w:eastAsia="MS Mincho" w:hAnsi="Times New Roman" w:cs="Times New Roman"/>
      <w:b/>
      <w:bCs/>
      <w:sz w:val="20"/>
      <w:szCs w:val="20"/>
      <w:lang w:eastAsia="ja-JP"/>
    </w:rPr>
  </w:style>
  <w:style w:type="character" w:customStyle="1" w:styleId="15">
    <w:name w:val="Замещающий текст1"/>
    <w:semiHidden/>
    <w:rsid w:val="00E30437"/>
    <w:rPr>
      <w:rFonts w:ascii="Times New Roman" w:hAnsi="Times New Roman" w:cs="Times New Roman" w:hint="default"/>
      <w:color w:val="808080"/>
    </w:rPr>
  </w:style>
  <w:style w:type="paragraph" w:styleId="afa">
    <w:name w:val="Revision"/>
    <w:hidden/>
    <w:uiPriority w:val="99"/>
    <w:semiHidden/>
    <w:rsid w:val="00E30437"/>
    <w:rPr>
      <w:rFonts w:ascii="Times New Roman" w:hAnsi="Times New Roman" w:cs="Times New Roman"/>
      <w:sz w:val="24"/>
      <w:szCs w:val="24"/>
      <w:lang w:eastAsia="ja-JP"/>
    </w:rPr>
  </w:style>
  <w:style w:type="character" w:customStyle="1" w:styleId="longtext">
    <w:name w:val="long_text"/>
    <w:basedOn w:val="a1"/>
    <w:uiPriority w:val="99"/>
    <w:rsid w:val="00E30437"/>
  </w:style>
  <w:style w:type="paragraph" w:styleId="22">
    <w:name w:val="Body Text 2"/>
    <w:basedOn w:val="a0"/>
    <w:link w:val="23"/>
    <w:unhideWhenUsed/>
    <w:rsid w:val="00E30437"/>
    <w:pPr>
      <w:spacing w:after="120"/>
      <w:ind w:firstLine="709"/>
    </w:pPr>
    <w:rPr>
      <w:rFonts w:eastAsia="Times New Roman"/>
    </w:rPr>
  </w:style>
  <w:style w:type="character" w:customStyle="1" w:styleId="23">
    <w:name w:val="Основной текст 2 Знак"/>
    <w:basedOn w:val="a1"/>
    <w:link w:val="22"/>
    <w:rsid w:val="00E30437"/>
    <w:rPr>
      <w:rFonts w:ascii="Times New Roman" w:eastAsia="Times New Roman" w:hAnsi="Times New Roman" w:cs="Times New Roman"/>
      <w:sz w:val="24"/>
      <w:szCs w:val="24"/>
      <w:lang w:eastAsia="ja-JP"/>
    </w:rPr>
  </w:style>
  <w:style w:type="paragraph" w:customStyle="1" w:styleId="afb">
    <w:name w:val="Осн. текст"/>
    <w:basedOn w:val="a0"/>
    <w:uiPriority w:val="99"/>
    <w:rsid w:val="00E30437"/>
    <w:pPr>
      <w:spacing w:before="120" w:line="360" w:lineRule="atLeast"/>
      <w:ind w:firstLine="425"/>
    </w:pPr>
    <w:rPr>
      <w:rFonts w:eastAsia="Times New Roman"/>
      <w:sz w:val="26"/>
      <w:szCs w:val="26"/>
      <w:lang w:eastAsia="ru-RU"/>
    </w:rPr>
  </w:style>
  <w:style w:type="paragraph" w:styleId="24">
    <w:name w:val="Body Text Indent 2"/>
    <w:basedOn w:val="a0"/>
    <w:link w:val="25"/>
    <w:rsid w:val="00E30437"/>
    <w:pPr>
      <w:spacing w:after="120" w:line="480" w:lineRule="auto"/>
      <w:ind w:left="283"/>
    </w:pPr>
  </w:style>
  <w:style w:type="character" w:customStyle="1" w:styleId="25">
    <w:name w:val="Основной текст с отступом 2 Знак"/>
    <w:basedOn w:val="a1"/>
    <w:link w:val="24"/>
    <w:rsid w:val="00E30437"/>
    <w:rPr>
      <w:rFonts w:ascii="Times New Roman" w:eastAsia="MS Mincho" w:hAnsi="Times New Roman" w:cs="Times New Roman"/>
      <w:sz w:val="24"/>
      <w:szCs w:val="24"/>
      <w:lang w:eastAsia="ja-JP"/>
    </w:rPr>
  </w:style>
  <w:style w:type="character" w:styleId="afc">
    <w:name w:val="FollowedHyperlink"/>
    <w:rsid w:val="00E30437"/>
    <w:rPr>
      <w:color w:val="800080"/>
      <w:u w:val="single"/>
    </w:rPr>
  </w:style>
  <w:style w:type="paragraph" w:styleId="afd">
    <w:name w:val="Document Map"/>
    <w:basedOn w:val="a0"/>
    <w:link w:val="afe"/>
    <w:rsid w:val="00E30437"/>
    <w:rPr>
      <w:rFonts w:ascii="Tahoma" w:hAnsi="Tahoma" w:cs="Tahoma"/>
      <w:sz w:val="16"/>
      <w:szCs w:val="16"/>
    </w:rPr>
  </w:style>
  <w:style w:type="character" w:customStyle="1" w:styleId="afe">
    <w:name w:val="Схема документа Знак"/>
    <w:basedOn w:val="a1"/>
    <w:link w:val="afd"/>
    <w:rsid w:val="00E30437"/>
    <w:rPr>
      <w:rFonts w:ascii="Tahoma" w:eastAsia="MS Mincho" w:hAnsi="Tahoma" w:cs="Tahoma"/>
      <w:sz w:val="16"/>
      <w:szCs w:val="16"/>
      <w:lang w:eastAsia="ja-JP"/>
    </w:rPr>
  </w:style>
  <w:style w:type="paragraph" w:customStyle="1" w:styleId="26">
    <w:name w:val="Îñíîâíîé òåêñò 2"/>
    <w:basedOn w:val="a0"/>
    <w:rsid w:val="00E30437"/>
    <w:rPr>
      <w:rFonts w:eastAsia="Times New Roman" w:cs="Arial Unicode MS"/>
      <w:sz w:val="28"/>
      <w:szCs w:val="28"/>
      <w:lang w:val="en-US" w:eastAsia="ru-RU"/>
    </w:rPr>
  </w:style>
  <w:style w:type="paragraph" w:styleId="41">
    <w:name w:val="toc 4"/>
    <w:basedOn w:val="a0"/>
    <w:next w:val="a0"/>
    <w:autoRedefine/>
    <w:uiPriority w:val="39"/>
    <w:rsid w:val="00E30437"/>
    <w:pPr>
      <w:ind w:left="720"/>
    </w:pPr>
  </w:style>
  <w:style w:type="paragraph" w:styleId="51">
    <w:name w:val="toc 5"/>
    <w:basedOn w:val="a0"/>
    <w:next w:val="a0"/>
    <w:autoRedefine/>
    <w:uiPriority w:val="39"/>
    <w:rsid w:val="00E30437"/>
    <w:pPr>
      <w:ind w:left="960"/>
    </w:pPr>
  </w:style>
  <w:style w:type="character" w:customStyle="1" w:styleId="st1">
    <w:name w:val="st1"/>
    <w:uiPriority w:val="99"/>
    <w:rsid w:val="00E30437"/>
    <w:rPr>
      <w:rFonts w:ascii="Times New Roman" w:hAnsi="Times New Roman" w:cs="Times New Roman" w:hint="default"/>
    </w:rPr>
  </w:style>
  <w:style w:type="paragraph" w:styleId="61">
    <w:name w:val="toc 6"/>
    <w:basedOn w:val="a0"/>
    <w:next w:val="a0"/>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71">
    <w:name w:val="toc 7"/>
    <w:basedOn w:val="a0"/>
    <w:next w:val="a0"/>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81">
    <w:name w:val="toc 8"/>
    <w:basedOn w:val="a0"/>
    <w:next w:val="a0"/>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91">
    <w:name w:val="toc 9"/>
    <w:basedOn w:val="a0"/>
    <w:next w:val="a0"/>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aff">
    <w:name w:val="Body Text"/>
    <w:basedOn w:val="a0"/>
    <w:link w:val="aff0"/>
    <w:unhideWhenUsed/>
    <w:rsid w:val="00E30437"/>
    <w:pPr>
      <w:spacing w:after="120"/>
    </w:pPr>
  </w:style>
  <w:style w:type="character" w:customStyle="1" w:styleId="aff0">
    <w:name w:val="Основной текст Знак"/>
    <w:basedOn w:val="a1"/>
    <w:link w:val="aff"/>
    <w:rsid w:val="00E30437"/>
    <w:rPr>
      <w:rFonts w:ascii="Times New Roman" w:eastAsia="MS Mincho" w:hAnsi="Times New Roman" w:cs="Times New Roman"/>
      <w:sz w:val="24"/>
      <w:szCs w:val="24"/>
      <w:lang w:eastAsia="ja-JP"/>
    </w:rPr>
  </w:style>
  <w:style w:type="paragraph" w:styleId="aff1">
    <w:name w:val="caption"/>
    <w:basedOn w:val="a0"/>
    <w:next w:val="a0"/>
    <w:link w:val="aff2"/>
    <w:unhideWhenUsed/>
    <w:qFormat/>
    <w:rsid w:val="00E30437"/>
    <w:pPr>
      <w:spacing w:before="120"/>
    </w:pPr>
    <w:rPr>
      <w:rFonts w:eastAsia="Times New Roman"/>
      <w:szCs w:val="20"/>
      <w:lang w:eastAsia="ru-RU"/>
    </w:rPr>
  </w:style>
  <w:style w:type="paragraph" w:customStyle="1" w:styleId="Default">
    <w:name w:val="Default"/>
    <w:link w:val="DefaultChar"/>
    <w:rsid w:val="00E30437"/>
    <w:pPr>
      <w:autoSpaceDE w:val="0"/>
      <w:autoSpaceDN w:val="0"/>
      <w:adjustRightInd w:val="0"/>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a0"/>
    <w:uiPriority w:val="99"/>
    <w:rsid w:val="00E30437"/>
    <w:pPr>
      <w:numPr>
        <w:numId w:val="2"/>
      </w:numPr>
    </w:pPr>
    <w:rPr>
      <w:rFonts w:ascii="Calibri" w:hAnsi="Calibri"/>
    </w:rPr>
  </w:style>
  <w:style w:type="character" w:customStyle="1" w:styleId="hps">
    <w:name w:val="hps"/>
    <w:basedOn w:val="a1"/>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aff3">
    <w:name w:val="Body Text Indent"/>
    <w:aliases w:val=" Знак3 Знак Знак, Знак3,Знак3 Знак Знак,Знак3"/>
    <w:basedOn w:val="a0"/>
    <w:link w:val="aff4"/>
    <w:rsid w:val="00E30437"/>
    <w:pPr>
      <w:spacing w:after="120"/>
      <w:ind w:left="283"/>
    </w:pPr>
  </w:style>
  <w:style w:type="character" w:customStyle="1" w:styleId="aff4">
    <w:name w:val="Основной текст с отступом Знак"/>
    <w:aliases w:val=" Знак3 Знак Знак Знак, Знак3 Знак,Знак3 Знак Знак Знак,Знак3 Знак"/>
    <w:basedOn w:val="a1"/>
    <w:link w:val="aff3"/>
    <w:rsid w:val="00E30437"/>
    <w:rPr>
      <w:rFonts w:ascii="Times New Roman" w:eastAsia="MS Mincho" w:hAnsi="Times New Roman" w:cs="Times New Roman"/>
      <w:sz w:val="24"/>
      <w:szCs w:val="24"/>
      <w:lang w:eastAsia="ja-JP"/>
    </w:rPr>
  </w:style>
  <w:style w:type="paragraph" w:styleId="32">
    <w:name w:val="Body Text 3"/>
    <w:basedOn w:val="a0"/>
    <w:link w:val="33"/>
    <w:rsid w:val="00E30437"/>
    <w:pPr>
      <w:spacing w:after="120"/>
    </w:pPr>
    <w:rPr>
      <w:sz w:val="16"/>
      <w:szCs w:val="16"/>
    </w:rPr>
  </w:style>
  <w:style w:type="character" w:customStyle="1" w:styleId="33">
    <w:name w:val="Основной текст 3 Знак"/>
    <w:basedOn w:val="a1"/>
    <w:link w:val="32"/>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a">
    <w:name w:val="Subtitle"/>
    <w:basedOn w:val="2"/>
    <w:next w:val="a0"/>
    <w:link w:val="aff5"/>
    <w:qFormat/>
    <w:rsid w:val="000027F0"/>
    <w:pPr>
      <w:keepNext w:val="0"/>
      <w:numPr>
        <w:numId w:val="3"/>
      </w:numPr>
      <w:tabs>
        <w:tab w:val="left" w:pos="180"/>
        <w:tab w:val="center" w:pos="709"/>
        <w:tab w:val="center" w:pos="1701"/>
      </w:tabs>
      <w:spacing w:before="100" w:after="100"/>
      <w:ind w:right="-568"/>
    </w:pPr>
    <w:rPr>
      <w:rFonts w:eastAsia="Times New Roman"/>
      <w:i/>
      <w:szCs w:val="24"/>
      <w:lang w:eastAsia="ru-RU"/>
    </w:rPr>
  </w:style>
  <w:style w:type="character" w:customStyle="1" w:styleId="aff5">
    <w:name w:val="Подзаголовок Знак"/>
    <w:basedOn w:val="a1"/>
    <w:link w:val="a"/>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a1"/>
    <w:rsid w:val="000958E0"/>
    <w:rPr>
      <w:b/>
      <w:bCs w:val="0"/>
      <w:i/>
      <w:iCs w:val="0"/>
    </w:rPr>
  </w:style>
  <w:style w:type="paragraph" w:customStyle="1" w:styleId="10">
    <w:name w:val="Отчет ЗАГОЛОВОК1"/>
    <w:basedOn w:val="2"/>
    <w:next w:val="a0"/>
    <w:qFormat/>
    <w:rsid w:val="00E2007F"/>
    <w:pPr>
      <w:numPr>
        <w:numId w:val="4"/>
      </w:numPr>
      <w:spacing w:before="0" w:after="0"/>
      <w:jc w:val="center"/>
      <w:outlineLvl w:val="0"/>
    </w:pPr>
    <w:rPr>
      <w:rFonts w:eastAsia="Times New Roman"/>
      <w:i/>
      <w:iCs w:val="0"/>
      <w:caps/>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3"/>
    <w:qFormat/>
    <w:rsid w:val="006A2AD7"/>
    <w:pPr>
      <w:spacing w:after="240"/>
    </w:pPr>
    <w:rPr>
      <w:rFonts w:ascii="Times New Roman" w:hAnsi="Times New Roman"/>
      <w:color w:val="000000" w:themeColor="text1"/>
      <w:szCs w:val="24"/>
    </w:rPr>
  </w:style>
  <w:style w:type="paragraph" w:customStyle="1" w:styleId="1111">
    <w:name w:val="Отчет заголовок 1.1.1.1."/>
    <w:basedOn w:val="111"/>
    <w:qFormat/>
    <w:rsid w:val="00E2007F"/>
    <w:pPr>
      <w:numPr>
        <w:ilvl w:val="3"/>
      </w:numPr>
      <w:tabs>
        <w:tab w:val="num" w:pos="360"/>
      </w:tabs>
      <w:ind w:firstLine="567"/>
      <w:outlineLvl w:val="3"/>
    </w:pPr>
    <w:rPr>
      <w:b w:val="0"/>
    </w:rPr>
  </w:style>
  <w:style w:type="paragraph" w:customStyle="1" w:styleId="11111">
    <w:name w:val="Отчет заголовок 1.1.1.1.1."/>
    <w:basedOn w:val="1111"/>
    <w:qFormat/>
    <w:rsid w:val="00E2007F"/>
    <w:pPr>
      <w:numPr>
        <w:ilvl w:val="4"/>
      </w:numPr>
      <w:tabs>
        <w:tab w:val="num" w:pos="360"/>
      </w:tabs>
      <w:ind w:firstLine="567"/>
      <w:outlineLvl w:val="4"/>
    </w:pPr>
    <w:rPr>
      <w:u w:val="single"/>
    </w:rPr>
  </w:style>
  <w:style w:type="paragraph" w:customStyle="1" w:styleId="120">
    <w:name w:val="Обычный12"/>
    <w:rsid w:val="00016423"/>
    <w:pPr>
      <w:widowControl w:val="0"/>
    </w:pPr>
    <w:rPr>
      <w:rFonts w:ascii="Times New Roman" w:eastAsia="Times New Roman" w:hAnsi="Times New Roman" w:cs="Times New Roman"/>
      <w:sz w:val="20"/>
      <w:szCs w:val="20"/>
      <w:lang w:eastAsia="ru-RU"/>
    </w:rPr>
  </w:style>
  <w:style w:type="character" w:styleId="HTML">
    <w:name w:val="HTML Cite"/>
    <w:basedOn w:val="a1"/>
    <w:uiPriority w:val="99"/>
    <w:semiHidden/>
    <w:unhideWhenUsed/>
    <w:rsid w:val="00867CB3"/>
    <w:rPr>
      <w:i/>
      <w:iCs/>
    </w:rPr>
  </w:style>
  <w:style w:type="paragraph" w:customStyle="1" w:styleId="authors1">
    <w:name w:val="authors1"/>
    <w:basedOn w:val="a0"/>
    <w:rsid w:val="00586710"/>
    <w:pPr>
      <w:spacing w:before="72"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60">
    <w:name w:val="Заголовок 6 Знак"/>
    <w:basedOn w:val="a1"/>
    <w:link w:val="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a1"/>
    <w:rsid w:val="00222F1F"/>
  </w:style>
  <w:style w:type="character" w:customStyle="1" w:styleId="aff6">
    <w:name w:val="ШАБЛОН Знак"/>
    <w:link w:val="aff7"/>
    <w:uiPriority w:val="99"/>
    <w:locked/>
    <w:rsid w:val="00DE087D"/>
    <w:rPr>
      <w:rFonts w:ascii="Times New Roman" w:hAnsi="Times New Roman" w:cs="Tahoma"/>
      <w:sz w:val="24"/>
      <w:szCs w:val="24"/>
    </w:rPr>
  </w:style>
  <w:style w:type="paragraph" w:customStyle="1" w:styleId="aff7">
    <w:name w:val="ШАБЛОН"/>
    <w:basedOn w:val="af1"/>
    <w:link w:val="aff6"/>
    <w:uiPriority w:val="99"/>
    <w:qFormat/>
    <w:rsid w:val="00DE087D"/>
    <w:pPr>
      <w:widowControl w:val="0"/>
      <w:tabs>
        <w:tab w:val="left" w:pos="709"/>
      </w:tabs>
      <w:autoSpaceDE w:val="0"/>
      <w:autoSpaceDN w:val="0"/>
      <w:adjustRightInd w:val="0"/>
      <w:spacing w:line="360" w:lineRule="auto"/>
    </w:pPr>
    <w:rPr>
      <w:rFonts w:ascii="Times New Roman" w:eastAsiaTheme="minorHAnsi" w:hAnsi="Times New Roman" w:cs="Tahoma"/>
      <w:sz w:val="24"/>
      <w:szCs w:val="24"/>
      <w:lang w:eastAsia="en-US"/>
    </w:rPr>
  </w:style>
  <w:style w:type="table" w:customStyle="1" w:styleId="16">
    <w:name w:val="Сетка таблицы1"/>
    <w:basedOn w:val="a2"/>
    <w:next w:val="a8"/>
    <w:uiPriority w:val="59"/>
    <w:rsid w:val="002544A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Emphasis"/>
    <w:uiPriority w:val="20"/>
    <w:qFormat/>
    <w:rsid w:val="00E12D25"/>
    <w:rPr>
      <w:i/>
      <w:iCs/>
    </w:rPr>
  </w:style>
  <w:style w:type="character" w:customStyle="1" w:styleId="apple-converted-space">
    <w:name w:val="apple-converted-space"/>
    <w:basedOn w:val="a1"/>
    <w:rsid w:val="007E7E52"/>
  </w:style>
  <w:style w:type="paragraph" w:customStyle="1" w:styleId="opispoleabz">
    <w:name w:val="opis_pole_abz"/>
    <w:basedOn w:val="a0"/>
    <w:rsid w:val="00F10DC1"/>
    <w:pPr>
      <w:spacing w:before="100" w:beforeAutospacing="1" w:after="100" w:afterAutospacing="1"/>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7">
    <w:name w:val="Упомянуть1"/>
    <w:basedOn w:val="a1"/>
    <w:uiPriority w:val="99"/>
    <w:semiHidden/>
    <w:unhideWhenUsed/>
    <w:rsid w:val="00BC589C"/>
    <w:rPr>
      <w:color w:val="2B579A"/>
      <w:shd w:val="clear" w:color="auto" w:fill="E6E6E6"/>
    </w:rPr>
  </w:style>
  <w:style w:type="table" w:customStyle="1" w:styleId="TableGrid">
    <w:name w:val="TableGrid"/>
    <w:rsid w:val="00544CC6"/>
    <w:rPr>
      <w:rFonts w:eastAsia="Times New Roman"/>
      <w:lang w:eastAsia="ru-RU"/>
    </w:rPr>
    <w:tblPr>
      <w:tblCellMar>
        <w:top w:w="0" w:type="dxa"/>
        <w:left w:w="0" w:type="dxa"/>
        <w:bottom w:w="0" w:type="dxa"/>
        <w:right w:w="0" w:type="dxa"/>
      </w:tblCellMar>
    </w:tblPr>
  </w:style>
  <w:style w:type="table" w:customStyle="1" w:styleId="TableGrid1">
    <w:name w:val="TableGrid1"/>
    <w:rsid w:val="00291A15"/>
    <w:rPr>
      <w:rFonts w:eastAsia="Times New Roman"/>
      <w:lang w:eastAsia="ru-RU"/>
    </w:rPr>
    <w:tblPr>
      <w:tblCellMar>
        <w:top w:w="0" w:type="dxa"/>
        <w:left w:w="0" w:type="dxa"/>
        <w:bottom w:w="0" w:type="dxa"/>
        <w:right w:w="0" w:type="dxa"/>
      </w:tblCellMar>
    </w:tblPr>
  </w:style>
  <w:style w:type="table" w:customStyle="1" w:styleId="TableGrid2">
    <w:name w:val="TableGrid2"/>
    <w:rsid w:val="00291A15"/>
    <w:rPr>
      <w:rFonts w:eastAsia="Times New Roman"/>
      <w:lang w:eastAsia="ru-RU"/>
    </w:rPr>
    <w:tblPr>
      <w:tblCellMar>
        <w:top w:w="0" w:type="dxa"/>
        <w:left w:w="0" w:type="dxa"/>
        <w:bottom w:w="0" w:type="dxa"/>
        <w:right w:w="0" w:type="dxa"/>
      </w:tblCellMar>
    </w:tblPr>
  </w:style>
  <w:style w:type="table" w:customStyle="1" w:styleId="TableGrid3">
    <w:name w:val="TableGrid3"/>
    <w:rsid w:val="00291A15"/>
    <w:rPr>
      <w:rFonts w:eastAsia="Times New Roman"/>
      <w:lang w:eastAsia="ru-RU"/>
    </w:rPr>
    <w:tblPr>
      <w:tblCellMar>
        <w:top w:w="0" w:type="dxa"/>
        <w:left w:w="0" w:type="dxa"/>
        <w:bottom w:w="0" w:type="dxa"/>
        <w:right w:w="0" w:type="dxa"/>
      </w:tblCellMar>
    </w:tblPr>
  </w:style>
  <w:style w:type="table" w:customStyle="1" w:styleId="72">
    <w:name w:val="Сетка таблицы7"/>
    <w:basedOn w:val="a2"/>
    <w:next w:val="a8"/>
    <w:uiPriority w:val="39"/>
    <w:rsid w:val="00311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2"/>
    <w:next w:val="a8"/>
    <w:uiPriority w:val="39"/>
    <w:rsid w:val="00A20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next w:val="a8"/>
    <w:uiPriority w:val="39"/>
    <w:rsid w:val="00725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Абзац списка Знак"/>
    <w:aliases w:val="ТАБЛИЦА1 Знак,Список простой нумер Знак,Примечание Знак"/>
    <w:basedOn w:val="a1"/>
    <w:link w:val="af3"/>
    <w:uiPriority w:val="34"/>
    <w:locked/>
    <w:rsid w:val="0081221B"/>
    <w:rPr>
      <w:rFonts w:ascii="Times New Roman" w:eastAsia="MS Mincho" w:hAnsi="Times New Roman" w:cs="Times New Roman"/>
      <w:sz w:val="24"/>
      <w:szCs w:val="24"/>
      <w:lang w:eastAsia="ja-JP"/>
    </w:rPr>
  </w:style>
  <w:style w:type="character" w:customStyle="1" w:styleId="18">
    <w:name w:val="Неразрешенное упоминание1"/>
    <w:basedOn w:val="a1"/>
    <w:uiPriority w:val="99"/>
    <w:semiHidden/>
    <w:unhideWhenUsed/>
    <w:rsid w:val="00AF602C"/>
    <w:rPr>
      <w:color w:val="605E5C"/>
      <w:shd w:val="clear" w:color="auto" w:fill="E1DFDD"/>
    </w:rPr>
  </w:style>
  <w:style w:type="table" w:customStyle="1" w:styleId="42">
    <w:name w:val="Сетка таблицы4"/>
    <w:basedOn w:val="a2"/>
    <w:next w:val="a8"/>
    <w:uiPriority w:val="59"/>
    <w:rsid w:val="00F2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6B300B"/>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9">
    <w:name w:val="Таблица"/>
    <w:basedOn w:val="a0"/>
    <w:link w:val="affa"/>
    <w:qFormat/>
    <w:rsid w:val="00F3566A"/>
    <w:pPr>
      <w:spacing w:before="120" w:line="360" w:lineRule="auto"/>
    </w:pPr>
    <w:rPr>
      <w:rFonts w:eastAsiaTheme="minorHAnsi"/>
      <w:b/>
      <w:lang w:eastAsia="en-US"/>
    </w:rPr>
  </w:style>
  <w:style w:type="character" w:customStyle="1" w:styleId="affa">
    <w:name w:val="Таблица Знак"/>
    <w:basedOn w:val="a1"/>
    <w:link w:val="aff9"/>
    <w:rsid w:val="00F3566A"/>
    <w:rPr>
      <w:rFonts w:ascii="Times New Roman" w:hAnsi="Times New Roman" w:cs="Times New Roman"/>
      <w:b/>
      <w:sz w:val="24"/>
      <w:szCs w:val="24"/>
    </w:rPr>
  </w:style>
  <w:style w:type="paragraph" w:styleId="HTML0">
    <w:name w:val="HTML Preformatted"/>
    <w:basedOn w:val="a0"/>
    <w:link w:val="HTML1"/>
    <w:uiPriority w:val="99"/>
    <w:unhideWhenUsed/>
    <w:rsid w:val="00E0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E02330"/>
    <w:rPr>
      <w:rFonts w:ascii="Courier New" w:eastAsia="Times New Roman" w:hAnsi="Courier New" w:cs="Courier New"/>
      <w:sz w:val="20"/>
      <w:szCs w:val="20"/>
      <w:lang w:eastAsia="ru-RU"/>
    </w:rPr>
  </w:style>
  <w:style w:type="character" w:customStyle="1" w:styleId="28">
    <w:name w:val="Основной текст (2)_"/>
    <w:basedOn w:val="a1"/>
    <w:link w:val="29"/>
    <w:rsid w:val="005D6E8A"/>
    <w:rPr>
      <w:rFonts w:ascii="Times New Roman" w:eastAsia="Times New Roman" w:hAnsi="Times New Roman" w:cs="Times New Roman"/>
      <w:b/>
      <w:bCs/>
      <w:spacing w:val="-2"/>
      <w:shd w:val="clear" w:color="auto" w:fill="FFFFFF"/>
    </w:rPr>
  </w:style>
  <w:style w:type="paragraph" w:customStyle="1" w:styleId="29">
    <w:name w:val="Основной текст (2)"/>
    <w:basedOn w:val="a0"/>
    <w:link w:val="28"/>
    <w:rsid w:val="005D6E8A"/>
    <w:pPr>
      <w:widowControl w:val="0"/>
      <w:shd w:val="clear" w:color="auto" w:fill="FFFFFF"/>
      <w:spacing w:after="240" w:line="0" w:lineRule="atLeast"/>
    </w:pPr>
    <w:rPr>
      <w:rFonts w:eastAsia="Times New Roman"/>
      <w:b/>
      <w:bCs/>
      <w:spacing w:val="-2"/>
      <w:sz w:val="22"/>
      <w:szCs w:val="22"/>
      <w:lang w:eastAsia="en-US"/>
    </w:rPr>
  </w:style>
  <w:style w:type="table" w:customStyle="1" w:styleId="34">
    <w:name w:val="Сетка таблицы3"/>
    <w:basedOn w:val="a2"/>
    <w:next w:val="a8"/>
    <w:uiPriority w:val="59"/>
    <w:rsid w:val="00122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8"/>
    <w:uiPriority w:val="59"/>
    <w:rsid w:val="00ED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8"/>
    <w:uiPriority w:val="59"/>
    <w:rsid w:val="00ED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8"/>
    <w:uiPriority w:val="59"/>
    <w:rsid w:val="00724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8"/>
    <w:uiPriority w:val="59"/>
    <w:rsid w:val="006C7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СФ_Текст"/>
    <w:link w:val="affc"/>
    <w:qFormat/>
    <w:rsid w:val="006C7E6A"/>
    <w:pPr>
      <w:spacing w:before="120" w:after="120" w:line="288" w:lineRule="auto"/>
    </w:pPr>
    <w:rPr>
      <w:rFonts w:ascii="Times New Roman" w:eastAsia="Times New Roman" w:hAnsi="Times New Roman" w:cs="Times New Roman"/>
      <w:sz w:val="24"/>
      <w:szCs w:val="24"/>
      <w:lang w:eastAsia="ru-RU"/>
    </w:rPr>
  </w:style>
  <w:style w:type="character" w:customStyle="1" w:styleId="affc">
    <w:name w:val="СФ_Текст Знак"/>
    <w:basedOn w:val="a1"/>
    <w:link w:val="affb"/>
    <w:rsid w:val="006C7E6A"/>
    <w:rPr>
      <w:rFonts w:ascii="Times New Roman" w:eastAsia="Times New Roman" w:hAnsi="Times New Roman" w:cs="Times New Roman"/>
      <w:sz w:val="24"/>
      <w:szCs w:val="24"/>
      <w:lang w:eastAsia="ru-RU"/>
    </w:rPr>
  </w:style>
  <w:style w:type="table" w:customStyle="1" w:styleId="100">
    <w:name w:val="Сетка таблицы10"/>
    <w:basedOn w:val="a2"/>
    <w:next w:val="a8"/>
    <w:uiPriority w:val="59"/>
    <w:rsid w:val="006C7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8"/>
    <w:uiPriority w:val="59"/>
    <w:rsid w:val="006C7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F23E58"/>
    <w:rPr>
      <w:rFonts w:ascii="Calibri" w:eastAsia="Times New Roman" w:hAnsi="Calibri" w:cs="Times New Roman"/>
      <w:lang w:eastAsia="ru-RU"/>
    </w:rPr>
    <w:tblPr>
      <w:tblCellMar>
        <w:top w:w="0" w:type="dxa"/>
        <w:left w:w="0" w:type="dxa"/>
        <w:bottom w:w="0" w:type="dxa"/>
        <w:right w:w="0" w:type="dxa"/>
      </w:tblCellMar>
    </w:tblPr>
  </w:style>
  <w:style w:type="character" w:customStyle="1" w:styleId="70">
    <w:name w:val="Заголовок 7 Знак"/>
    <w:basedOn w:val="a1"/>
    <w:link w:val="7"/>
    <w:uiPriority w:val="9"/>
    <w:semiHidden/>
    <w:rsid w:val="009E62E0"/>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1"/>
    <w:link w:val="8"/>
    <w:uiPriority w:val="9"/>
    <w:semiHidden/>
    <w:rsid w:val="009E62E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9E62E0"/>
    <w:rPr>
      <w:rFonts w:asciiTheme="majorHAnsi" w:eastAsiaTheme="majorEastAsia" w:hAnsiTheme="majorHAnsi" w:cstheme="majorBidi"/>
      <w:i/>
      <w:iCs/>
      <w:color w:val="404040" w:themeColor="text1" w:themeTint="BF"/>
      <w:sz w:val="20"/>
      <w:szCs w:val="20"/>
    </w:rPr>
  </w:style>
  <w:style w:type="paragraph" w:customStyle="1" w:styleId="19">
    <w:name w:val="Заголовок1"/>
    <w:basedOn w:val="a0"/>
    <w:link w:val="affd"/>
    <w:qFormat/>
    <w:rsid w:val="009E62E0"/>
    <w:pPr>
      <w:spacing w:before="120" w:line="360" w:lineRule="auto"/>
      <w:jc w:val="center"/>
    </w:pPr>
    <w:rPr>
      <w:rFonts w:eastAsiaTheme="minorHAnsi"/>
      <w:b/>
      <w:caps/>
      <w:color w:val="000000"/>
      <w:lang w:eastAsia="en-US"/>
    </w:rPr>
  </w:style>
  <w:style w:type="character" w:customStyle="1" w:styleId="affd">
    <w:name w:val="Заголовок Знак"/>
    <w:basedOn w:val="a1"/>
    <w:link w:val="19"/>
    <w:rsid w:val="009E62E0"/>
    <w:rPr>
      <w:rFonts w:ascii="Times New Roman" w:hAnsi="Times New Roman" w:cs="Times New Roman"/>
      <w:b/>
      <w:caps/>
      <w:color w:val="000000"/>
      <w:sz w:val="24"/>
      <w:szCs w:val="24"/>
    </w:rPr>
  </w:style>
  <w:style w:type="character" w:customStyle="1" w:styleId="fontstyle01">
    <w:name w:val="fontstyle01"/>
    <w:basedOn w:val="a1"/>
    <w:rsid w:val="009E62E0"/>
    <w:rPr>
      <w:rFonts w:ascii="Helvetica" w:hAnsi="Helvetica" w:hint="default"/>
      <w:b w:val="0"/>
      <w:bCs w:val="0"/>
      <w:i w:val="0"/>
      <w:iCs w:val="0"/>
      <w:color w:val="000000"/>
      <w:sz w:val="18"/>
      <w:szCs w:val="18"/>
    </w:rPr>
  </w:style>
  <w:style w:type="paragraph" w:styleId="affe">
    <w:name w:val="table of figures"/>
    <w:basedOn w:val="a0"/>
    <w:next w:val="a0"/>
    <w:uiPriority w:val="99"/>
    <w:unhideWhenUsed/>
    <w:rsid w:val="009E62E0"/>
    <w:pPr>
      <w:spacing w:before="120"/>
      <w:ind w:left="1418" w:hanging="1418"/>
    </w:pPr>
    <w:rPr>
      <w:rFonts w:eastAsiaTheme="minorHAnsi"/>
      <w:lang w:eastAsia="en-US"/>
    </w:rPr>
  </w:style>
  <w:style w:type="paragraph" w:customStyle="1" w:styleId="Style6">
    <w:name w:val="Style6"/>
    <w:basedOn w:val="a0"/>
    <w:uiPriority w:val="99"/>
    <w:rsid w:val="009E62E0"/>
    <w:pPr>
      <w:widowControl w:val="0"/>
      <w:autoSpaceDE w:val="0"/>
      <w:autoSpaceDN w:val="0"/>
      <w:adjustRightInd w:val="0"/>
      <w:spacing w:line="240" w:lineRule="exact"/>
      <w:ind w:firstLine="215"/>
    </w:pPr>
    <w:rPr>
      <w:rFonts w:ascii="MS Reference Sans Serif" w:eastAsia="Times New Roman" w:hAnsi="MS Reference Sans Serif"/>
      <w:lang w:eastAsia="ru-RU"/>
    </w:rPr>
  </w:style>
  <w:style w:type="character" w:customStyle="1" w:styleId="FontStyle49">
    <w:name w:val="Font Style49"/>
    <w:uiPriority w:val="99"/>
    <w:rsid w:val="009E62E0"/>
    <w:rPr>
      <w:rFonts w:ascii="Arial Unicode MS" w:eastAsia="Arial Unicode MS" w:cs="Arial Unicode MS"/>
      <w:sz w:val="14"/>
      <w:szCs w:val="14"/>
    </w:rPr>
  </w:style>
  <w:style w:type="character" w:customStyle="1" w:styleId="apple-style-span">
    <w:name w:val="apple-style-span"/>
    <w:basedOn w:val="a1"/>
    <w:rsid w:val="009E62E0"/>
  </w:style>
  <w:style w:type="character" w:customStyle="1" w:styleId="FontStyle110">
    <w:name w:val="Font Style110"/>
    <w:uiPriority w:val="99"/>
    <w:rsid w:val="009E62E0"/>
    <w:rPr>
      <w:rFonts w:ascii="Times New Roman" w:hAnsi="Times New Roman"/>
      <w:color w:val="000000"/>
      <w:sz w:val="22"/>
    </w:rPr>
  </w:style>
  <w:style w:type="character" w:customStyle="1" w:styleId="FontStyle114">
    <w:name w:val="Font Style114"/>
    <w:uiPriority w:val="99"/>
    <w:rsid w:val="009E62E0"/>
    <w:rPr>
      <w:rFonts w:ascii="Times New Roman" w:hAnsi="Times New Roman"/>
      <w:b/>
      <w:color w:val="000000"/>
      <w:sz w:val="16"/>
    </w:rPr>
  </w:style>
  <w:style w:type="paragraph" w:customStyle="1" w:styleId="Style8">
    <w:name w:val="Style8"/>
    <w:basedOn w:val="a0"/>
    <w:rsid w:val="009E62E0"/>
    <w:pPr>
      <w:widowControl w:val="0"/>
      <w:autoSpaceDE w:val="0"/>
      <w:autoSpaceDN w:val="0"/>
      <w:adjustRightInd w:val="0"/>
    </w:pPr>
    <w:rPr>
      <w:rFonts w:eastAsia="Times New Roman"/>
      <w:lang w:eastAsia="ru-RU"/>
    </w:rPr>
  </w:style>
  <w:style w:type="paragraph" w:styleId="2a">
    <w:name w:val="List 2"/>
    <w:basedOn w:val="a0"/>
    <w:rsid w:val="009E62E0"/>
    <w:pPr>
      <w:ind w:left="566" w:hanging="283"/>
      <w:jc w:val="left"/>
    </w:pPr>
    <w:rPr>
      <w:rFonts w:ascii="Calibri" w:eastAsia="Calibri" w:hAnsi="Calibri"/>
      <w:lang w:eastAsia="en-US"/>
    </w:rPr>
  </w:style>
  <w:style w:type="paragraph" w:customStyle="1" w:styleId="afff">
    <w:name w:val="Таб. осн."/>
    <w:basedOn w:val="a0"/>
    <w:rsid w:val="009E62E0"/>
    <w:pPr>
      <w:spacing w:before="60" w:after="60"/>
      <w:jc w:val="left"/>
    </w:pPr>
    <w:rPr>
      <w:rFonts w:ascii="Calibri" w:eastAsia="Calibri" w:hAnsi="Calibri"/>
      <w:szCs w:val="20"/>
      <w:lang w:eastAsia="en-US"/>
    </w:rPr>
  </w:style>
  <w:style w:type="character" w:customStyle="1" w:styleId="FontStyle40">
    <w:name w:val="Font Style40"/>
    <w:uiPriority w:val="99"/>
    <w:rsid w:val="009E62E0"/>
    <w:rPr>
      <w:rFonts w:ascii="Times New Roman" w:hAnsi="Times New Roman" w:cs="Times New Roman"/>
      <w:i/>
      <w:iCs/>
      <w:sz w:val="12"/>
      <w:szCs w:val="12"/>
    </w:rPr>
  </w:style>
  <w:style w:type="character" w:customStyle="1" w:styleId="FontStyle39">
    <w:name w:val="Font Style39"/>
    <w:rsid w:val="009E62E0"/>
    <w:rPr>
      <w:rFonts w:ascii="Times New Roman" w:hAnsi="Times New Roman" w:cs="Times New Roman"/>
      <w:sz w:val="12"/>
      <w:szCs w:val="12"/>
    </w:rPr>
  </w:style>
  <w:style w:type="paragraph" w:customStyle="1" w:styleId="Style19">
    <w:name w:val="Style19"/>
    <w:basedOn w:val="a0"/>
    <w:uiPriority w:val="99"/>
    <w:rsid w:val="009E62E0"/>
    <w:pPr>
      <w:widowControl w:val="0"/>
      <w:autoSpaceDE w:val="0"/>
      <w:autoSpaceDN w:val="0"/>
      <w:adjustRightInd w:val="0"/>
      <w:spacing w:line="163" w:lineRule="exact"/>
      <w:ind w:hanging="216"/>
      <w:jc w:val="left"/>
    </w:pPr>
    <w:rPr>
      <w:rFonts w:eastAsia="Times New Roman"/>
      <w:lang w:eastAsia="ru-RU"/>
    </w:rPr>
  </w:style>
  <w:style w:type="character" w:customStyle="1" w:styleId="ft">
    <w:name w:val="ft"/>
    <w:basedOn w:val="a1"/>
    <w:rsid w:val="009E62E0"/>
  </w:style>
  <w:style w:type="paragraph" w:customStyle="1" w:styleId="OT">
    <w:name w:val="OT"/>
    <w:basedOn w:val="a0"/>
    <w:link w:val="OT0"/>
    <w:qFormat/>
    <w:rsid w:val="009E62E0"/>
    <w:pPr>
      <w:widowControl w:val="0"/>
      <w:autoSpaceDE w:val="0"/>
      <w:autoSpaceDN w:val="0"/>
      <w:adjustRightInd w:val="0"/>
      <w:spacing w:after="120"/>
    </w:pPr>
    <w:rPr>
      <w:rFonts w:eastAsia="Times New Roman"/>
      <w:snapToGrid w:val="0"/>
      <w:sz w:val="22"/>
      <w:szCs w:val="20"/>
      <w:lang w:eastAsia="ru-RU"/>
    </w:rPr>
  </w:style>
  <w:style w:type="character" w:customStyle="1" w:styleId="OT0">
    <w:name w:val="OT Знак"/>
    <w:link w:val="OT"/>
    <w:rsid w:val="009E62E0"/>
    <w:rPr>
      <w:rFonts w:ascii="Times New Roman" w:eastAsia="Times New Roman" w:hAnsi="Times New Roman" w:cs="Times New Roman"/>
      <w:snapToGrid w:val="0"/>
      <w:szCs w:val="20"/>
      <w:lang w:eastAsia="ru-RU"/>
    </w:rPr>
  </w:style>
  <w:style w:type="paragraph" w:customStyle="1" w:styleId="20TableFootnote">
    <w:name w:val="20Table Footnote"/>
    <w:rsid w:val="009E62E0"/>
    <w:pPr>
      <w:spacing w:before="60" w:after="60"/>
    </w:pPr>
    <w:rPr>
      <w:rFonts w:ascii="Times New Roman" w:hAnsi="Times New Roman" w:cs="Times New Roman"/>
      <w:sz w:val="20"/>
      <w:szCs w:val="20"/>
      <w:lang w:val="en-US"/>
    </w:rPr>
  </w:style>
  <w:style w:type="character" w:customStyle="1" w:styleId="jrnl">
    <w:name w:val="jrnl"/>
    <w:basedOn w:val="a1"/>
    <w:rsid w:val="009E62E0"/>
  </w:style>
  <w:style w:type="paragraph" w:customStyle="1" w:styleId="1a">
    <w:name w:val="Название1"/>
    <w:basedOn w:val="a0"/>
    <w:rsid w:val="009E62E0"/>
    <w:pPr>
      <w:spacing w:before="100" w:beforeAutospacing="1" w:after="100" w:afterAutospacing="1"/>
      <w:jc w:val="left"/>
    </w:pPr>
    <w:rPr>
      <w:rFonts w:eastAsia="Times New Roman"/>
      <w:lang w:eastAsia="ru-RU"/>
    </w:rPr>
  </w:style>
  <w:style w:type="paragraph" w:customStyle="1" w:styleId="1b">
    <w:name w:val="Таблица1"/>
    <w:basedOn w:val="aff1"/>
    <w:link w:val="1c"/>
    <w:qFormat/>
    <w:rsid w:val="009E62E0"/>
    <w:pPr>
      <w:keepNext/>
      <w:spacing w:after="120"/>
    </w:pPr>
  </w:style>
  <w:style w:type="character" w:customStyle="1" w:styleId="aff2">
    <w:name w:val="Название объекта Знак"/>
    <w:basedOn w:val="a1"/>
    <w:link w:val="aff1"/>
    <w:rsid w:val="009E62E0"/>
    <w:rPr>
      <w:rFonts w:ascii="Times New Roman" w:eastAsia="Times New Roman" w:hAnsi="Times New Roman" w:cs="Times New Roman"/>
      <w:sz w:val="24"/>
      <w:szCs w:val="20"/>
      <w:lang w:eastAsia="ru-RU"/>
    </w:rPr>
  </w:style>
  <w:style w:type="character" w:customStyle="1" w:styleId="1c">
    <w:name w:val="Таблица1 Знак"/>
    <w:basedOn w:val="aff2"/>
    <w:link w:val="1b"/>
    <w:rsid w:val="009E62E0"/>
    <w:rPr>
      <w:rFonts w:ascii="Times New Roman" w:eastAsia="Times New Roman" w:hAnsi="Times New Roman" w:cs="Times New Roman"/>
      <w:sz w:val="24"/>
      <w:szCs w:val="20"/>
      <w:lang w:eastAsia="ru-RU"/>
    </w:rPr>
  </w:style>
  <w:style w:type="paragraph" w:styleId="35">
    <w:name w:val="Body Text Indent 3"/>
    <w:basedOn w:val="a0"/>
    <w:link w:val="36"/>
    <w:uiPriority w:val="99"/>
    <w:semiHidden/>
    <w:unhideWhenUsed/>
    <w:rsid w:val="009E62E0"/>
    <w:pPr>
      <w:spacing w:before="120" w:after="120" w:line="360" w:lineRule="auto"/>
      <w:ind w:left="283"/>
    </w:pPr>
    <w:rPr>
      <w:rFonts w:eastAsiaTheme="minorHAnsi"/>
      <w:sz w:val="16"/>
      <w:szCs w:val="16"/>
      <w:lang w:eastAsia="en-US"/>
    </w:rPr>
  </w:style>
  <w:style w:type="character" w:customStyle="1" w:styleId="36">
    <w:name w:val="Основной текст с отступом 3 Знак"/>
    <w:basedOn w:val="a1"/>
    <w:link w:val="35"/>
    <w:uiPriority w:val="99"/>
    <w:semiHidden/>
    <w:rsid w:val="009E62E0"/>
    <w:rPr>
      <w:rFonts w:ascii="Times New Roman" w:hAnsi="Times New Roman" w:cs="Times New Roman"/>
      <w:sz w:val="16"/>
      <w:szCs w:val="16"/>
    </w:rPr>
  </w:style>
  <w:style w:type="character" w:customStyle="1" w:styleId="312">
    <w:name w:val="Основной текст (3)12"/>
    <w:basedOn w:val="a1"/>
    <w:uiPriority w:val="99"/>
    <w:rsid w:val="009E62E0"/>
    <w:rPr>
      <w:rFonts w:ascii="Times New Roman" w:hAnsi="Times New Roman"/>
      <w:i/>
      <w:iCs/>
      <w:sz w:val="20"/>
      <w:szCs w:val="20"/>
      <w:shd w:val="clear" w:color="auto" w:fill="FFFFFF"/>
    </w:rPr>
  </w:style>
  <w:style w:type="paragraph" w:styleId="afff0">
    <w:name w:val="No Spacing"/>
    <w:uiPriority w:val="1"/>
    <w:qFormat/>
    <w:rsid w:val="009E62E0"/>
    <w:rPr>
      <w:rFonts w:ascii="Arial" w:eastAsiaTheme="minorEastAsia" w:hAnsi="Arial"/>
      <w:sz w:val="24"/>
      <w:lang w:eastAsia="ru-RU"/>
    </w:rPr>
  </w:style>
  <w:style w:type="paragraph" w:customStyle="1" w:styleId="TableParagraph">
    <w:name w:val="Table Paragraph"/>
    <w:basedOn w:val="a0"/>
    <w:uiPriority w:val="1"/>
    <w:qFormat/>
    <w:rsid w:val="009E62E0"/>
    <w:pPr>
      <w:widowControl w:val="0"/>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8"/>
    <w:rsid w:val="009E62E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1"/>
    <w:rsid w:val="009E62E0"/>
  </w:style>
  <w:style w:type="character" w:customStyle="1" w:styleId="83">
    <w:name w:val="Основной текст (8)_"/>
    <w:basedOn w:val="a1"/>
    <w:link w:val="84"/>
    <w:rsid w:val="009E62E0"/>
    <w:rPr>
      <w:rFonts w:ascii="Times New Roman" w:eastAsia="Times New Roman" w:hAnsi="Times New Roman" w:cs="Times New Roman"/>
      <w:i/>
      <w:iCs/>
      <w:sz w:val="18"/>
      <w:szCs w:val="18"/>
      <w:shd w:val="clear" w:color="auto" w:fill="FFFFFF"/>
    </w:rPr>
  </w:style>
  <w:style w:type="paragraph" w:customStyle="1" w:styleId="84">
    <w:name w:val="Основной текст (8)"/>
    <w:basedOn w:val="a0"/>
    <w:link w:val="83"/>
    <w:rsid w:val="009E62E0"/>
    <w:pPr>
      <w:widowControl w:val="0"/>
      <w:shd w:val="clear" w:color="auto" w:fill="FFFFFF"/>
      <w:spacing w:line="0" w:lineRule="atLeast"/>
      <w:jc w:val="left"/>
    </w:pPr>
    <w:rPr>
      <w:rFonts w:eastAsia="Times New Roman"/>
      <w:i/>
      <w:iCs/>
      <w:sz w:val="18"/>
      <w:szCs w:val="18"/>
      <w:lang w:eastAsia="en-US"/>
    </w:rPr>
  </w:style>
  <w:style w:type="character" w:customStyle="1" w:styleId="publication-meta-journal">
    <w:name w:val="publication-meta-journal"/>
    <w:basedOn w:val="a1"/>
    <w:rsid w:val="009E62E0"/>
  </w:style>
  <w:style w:type="character" w:customStyle="1" w:styleId="publication-meta-date">
    <w:name w:val="publication-meta-date"/>
    <w:basedOn w:val="a1"/>
    <w:rsid w:val="009E62E0"/>
  </w:style>
  <w:style w:type="character" w:customStyle="1" w:styleId="absnonlinkmetadata">
    <w:name w:val="abs_nonlink_metadata"/>
    <w:basedOn w:val="a1"/>
    <w:rsid w:val="009E62E0"/>
  </w:style>
  <w:style w:type="character" w:customStyle="1" w:styleId="smallcaps">
    <w:name w:val="smallcaps"/>
    <w:basedOn w:val="a1"/>
    <w:rsid w:val="009E62E0"/>
  </w:style>
  <w:style w:type="character" w:customStyle="1" w:styleId="nlm-given-names">
    <w:name w:val="nlm-given-names"/>
    <w:basedOn w:val="a1"/>
    <w:rsid w:val="009E62E0"/>
  </w:style>
  <w:style w:type="character" w:customStyle="1" w:styleId="nlm-surname">
    <w:name w:val="nlm-surname"/>
    <w:basedOn w:val="a1"/>
    <w:rsid w:val="009E62E0"/>
  </w:style>
  <w:style w:type="character" w:customStyle="1" w:styleId="highwire-cite-metadata-journal">
    <w:name w:val="highwire-cite-metadata-journal"/>
    <w:basedOn w:val="a1"/>
    <w:rsid w:val="009E62E0"/>
  </w:style>
  <w:style w:type="character" w:customStyle="1" w:styleId="highwire-cite-metadata-date">
    <w:name w:val="highwire-cite-metadata-date"/>
    <w:basedOn w:val="a1"/>
    <w:rsid w:val="009E62E0"/>
  </w:style>
  <w:style w:type="character" w:customStyle="1" w:styleId="highwire-cite-metadata-volume">
    <w:name w:val="highwire-cite-metadata-volume"/>
    <w:basedOn w:val="a1"/>
    <w:rsid w:val="009E62E0"/>
  </w:style>
  <w:style w:type="character" w:customStyle="1" w:styleId="highwire-cite-metadata-issue">
    <w:name w:val="highwire-cite-metadata-issue"/>
    <w:basedOn w:val="a1"/>
    <w:rsid w:val="009E62E0"/>
  </w:style>
  <w:style w:type="character" w:customStyle="1" w:styleId="highwire-cite-metadata-pages">
    <w:name w:val="highwire-cite-metadata-pages"/>
    <w:basedOn w:val="a1"/>
    <w:rsid w:val="009E62E0"/>
  </w:style>
  <w:style w:type="character" w:customStyle="1" w:styleId="2Candara">
    <w:name w:val="Основной текст (2) + Candara"/>
    <w:aliases w:val="7 pt,Интервал 1 pt"/>
    <w:basedOn w:val="28"/>
    <w:rsid w:val="009E62E0"/>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st">
    <w:name w:val="st"/>
    <w:basedOn w:val="a1"/>
    <w:rsid w:val="002F152D"/>
  </w:style>
  <w:style w:type="character" w:customStyle="1" w:styleId="tlid-translation">
    <w:name w:val="tlid-translation"/>
    <w:basedOn w:val="a1"/>
    <w:rsid w:val="003E1A0F"/>
  </w:style>
  <w:style w:type="table" w:customStyle="1" w:styleId="TableGrid4">
    <w:name w:val="TableGrid4"/>
    <w:rsid w:val="00A132E2"/>
    <w:rPr>
      <w:rFonts w:eastAsia="Times New Roman"/>
      <w:lang w:eastAsia="ru-RU"/>
    </w:rPr>
    <w:tblPr>
      <w:tblCellMar>
        <w:top w:w="0" w:type="dxa"/>
        <w:left w:w="0" w:type="dxa"/>
        <w:bottom w:w="0" w:type="dxa"/>
        <w:right w:w="0" w:type="dxa"/>
      </w:tblCellMar>
    </w:tblPr>
  </w:style>
  <w:style w:type="table" w:customStyle="1" w:styleId="TableGrid6">
    <w:name w:val="TableGrid6"/>
    <w:rsid w:val="00705C2F"/>
    <w:rPr>
      <w:rFonts w:eastAsia="Times New Roman"/>
      <w:lang w:eastAsia="ru-RU"/>
    </w:rPr>
    <w:tblPr>
      <w:tblCellMar>
        <w:top w:w="0" w:type="dxa"/>
        <w:left w:w="0" w:type="dxa"/>
        <w:bottom w:w="0" w:type="dxa"/>
        <w:right w:w="0" w:type="dxa"/>
      </w:tblCellMar>
    </w:tblPr>
  </w:style>
  <w:style w:type="character" w:customStyle="1" w:styleId="afff1">
    <w:name w:val="Основной текст + Полужирный"/>
    <w:basedOn w:val="a1"/>
    <w:rsid w:val="00A82A58"/>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a2"/>
    <w:next w:val="a8"/>
    <w:uiPriority w:val="39"/>
    <w:rsid w:val="00F20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8"/>
    <w:uiPriority w:val="59"/>
    <w:rsid w:val="00B40CA6"/>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BB3A14"/>
    <w:rPr>
      <w:rFonts w:eastAsia="Times New Roman"/>
      <w:lang w:eastAsia="ru-RU"/>
    </w:rPr>
    <w:tblPr>
      <w:tblCellMar>
        <w:top w:w="0" w:type="dxa"/>
        <w:left w:w="0" w:type="dxa"/>
        <w:bottom w:w="0" w:type="dxa"/>
        <w:right w:w="0" w:type="dxa"/>
      </w:tblCellMar>
    </w:tblPr>
  </w:style>
  <w:style w:type="table" w:customStyle="1" w:styleId="TableGrid8">
    <w:name w:val="TableGrid8"/>
    <w:rsid w:val="00444517"/>
    <w:rPr>
      <w:rFonts w:eastAsia="Times New Roman"/>
      <w:lang w:eastAsia="ru-RU"/>
    </w:rPr>
    <w:tblPr>
      <w:tblCellMar>
        <w:top w:w="0" w:type="dxa"/>
        <w:left w:w="0" w:type="dxa"/>
        <w:bottom w:w="0" w:type="dxa"/>
        <w:right w:w="0" w:type="dxa"/>
      </w:tblCellMar>
    </w:tblPr>
  </w:style>
  <w:style w:type="table" w:customStyle="1" w:styleId="210">
    <w:name w:val="Сетка таблицы21"/>
    <w:basedOn w:val="a2"/>
    <w:next w:val="a8"/>
    <w:uiPriority w:val="39"/>
    <w:rsid w:val="00B42A51"/>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1"/>
    <w:rsid w:val="006161F9"/>
    <w:rPr>
      <w:rFonts w:ascii="TimesNewRomanPSMT" w:hAnsi="TimesNewRomanPSMT" w:hint="default"/>
      <w:b w:val="0"/>
      <w:bCs w:val="0"/>
      <w:i w:val="0"/>
      <w:iCs w:val="0"/>
      <w:color w:val="000000"/>
      <w:sz w:val="18"/>
      <w:szCs w:val="18"/>
    </w:rPr>
  </w:style>
  <w:style w:type="character" w:customStyle="1" w:styleId="fontstyle31">
    <w:name w:val="fontstyle31"/>
    <w:basedOn w:val="a1"/>
    <w:rsid w:val="00113100"/>
    <w:rPr>
      <w:rFonts w:ascii="TimesNewRomanPS-BoldItalicMT" w:hAnsi="TimesNewRomanPS-BoldItalicMT" w:hint="default"/>
      <w:b/>
      <w:bCs/>
      <w:i/>
      <w:iCs/>
      <w:color w:val="000000"/>
      <w:sz w:val="24"/>
      <w:szCs w:val="24"/>
    </w:rPr>
  </w:style>
  <w:style w:type="character" w:customStyle="1" w:styleId="fontstyle41">
    <w:name w:val="fontstyle41"/>
    <w:basedOn w:val="a1"/>
    <w:rsid w:val="00113100"/>
    <w:rPr>
      <w:rFonts w:ascii="TimesNewRomanPS-ItalicMT" w:hAnsi="TimesNewRomanPS-ItalicMT" w:hint="default"/>
      <w:b w:val="0"/>
      <w:bCs w:val="0"/>
      <w:i/>
      <w:iCs/>
      <w:color w:val="000000"/>
      <w:sz w:val="22"/>
      <w:szCs w:val="22"/>
    </w:rPr>
  </w:style>
  <w:style w:type="character" w:customStyle="1" w:styleId="extended-textshort">
    <w:name w:val="extended-text__short"/>
    <w:basedOn w:val="a1"/>
    <w:rsid w:val="00113100"/>
  </w:style>
  <w:style w:type="character" w:customStyle="1" w:styleId="fontstyle51">
    <w:name w:val="fontstyle51"/>
    <w:basedOn w:val="a1"/>
    <w:rsid w:val="00113100"/>
    <w:rPr>
      <w:rFonts w:ascii="SymbolMT" w:hAnsi="SymbolMT" w:hint="default"/>
      <w:b w:val="0"/>
      <w:bCs w:val="0"/>
      <w:i w:val="0"/>
      <w:iCs w:val="0"/>
      <w:color w:val="000000"/>
      <w:sz w:val="22"/>
      <w:szCs w:val="22"/>
    </w:rPr>
  </w:style>
  <w:style w:type="character" w:customStyle="1" w:styleId="nowrap">
    <w:name w:val="nowrap"/>
    <w:basedOn w:val="a1"/>
    <w:rsid w:val="00CB4CC1"/>
  </w:style>
  <w:style w:type="character" w:customStyle="1" w:styleId="author">
    <w:name w:val="author"/>
    <w:basedOn w:val="a1"/>
    <w:rsid w:val="003822AB"/>
  </w:style>
  <w:style w:type="character" w:customStyle="1" w:styleId="articletitle">
    <w:name w:val="articletitle"/>
    <w:basedOn w:val="a1"/>
    <w:rsid w:val="003822AB"/>
  </w:style>
  <w:style w:type="character" w:customStyle="1" w:styleId="journaltitle">
    <w:name w:val="journaltitle"/>
    <w:basedOn w:val="a1"/>
    <w:rsid w:val="003822AB"/>
  </w:style>
  <w:style w:type="character" w:customStyle="1" w:styleId="vol">
    <w:name w:val="vol"/>
    <w:basedOn w:val="a1"/>
    <w:rsid w:val="003822AB"/>
  </w:style>
  <w:style w:type="character" w:customStyle="1" w:styleId="pubyear">
    <w:name w:val="pubyear"/>
    <w:basedOn w:val="a1"/>
    <w:rsid w:val="003822AB"/>
  </w:style>
  <w:style w:type="character" w:customStyle="1" w:styleId="pagefirst">
    <w:name w:val="pagefirst"/>
    <w:basedOn w:val="a1"/>
    <w:rsid w:val="00D35D87"/>
  </w:style>
  <w:style w:type="character" w:customStyle="1" w:styleId="pagelast">
    <w:name w:val="pagelast"/>
    <w:basedOn w:val="a1"/>
    <w:rsid w:val="00D35D87"/>
  </w:style>
  <w:style w:type="paragraph" w:styleId="afff2">
    <w:name w:val="Bibliography"/>
    <w:basedOn w:val="a0"/>
    <w:next w:val="a0"/>
    <w:uiPriority w:val="37"/>
    <w:unhideWhenUsed/>
    <w:rsid w:val="00BC59D1"/>
    <w:pPr>
      <w:tabs>
        <w:tab w:val="left" w:pos="504"/>
      </w:tabs>
      <w:spacing w:after="240"/>
      <w:ind w:left="504" w:hanging="504"/>
    </w:pPr>
  </w:style>
  <w:style w:type="character" w:customStyle="1" w:styleId="2Corbel">
    <w:name w:val="Основной текст (2) + Corbel"/>
    <w:aliases w:val="9,5 pt,Основной текст (2) + 9"/>
    <w:basedOn w:val="a1"/>
    <w:rsid w:val="0041739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b">
    <w:name w:val="Основной текст (2) + Полужирный"/>
    <w:basedOn w:val="a1"/>
    <w:rsid w:val="0020316C"/>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3">
    <w:name w:val="Подпись к таблице_"/>
    <w:basedOn w:val="a1"/>
    <w:link w:val="afff4"/>
    <w:locked/>
    <w:rsid w:val="00491CBF"/>
    <w:rPr>
      <w:rFonts w:ascii="Times New Roman" w:eastAsia="Times New Roman" w:hAnsi="Times New Roman" w:cs="Times New Roman"/>
      <w:b/>
      <w:bCs/>
      <w:shd w:val="clear" w:color="auto" w:fill="FFFFFF"/>
    </w:rPr>
  </w:style>
  <w:style w:type="paragraph" w:customStyle="1" w:styleId="afff4">
    <w:name w:val="Подпись к таблице"/>
    <w:basedOn w:val="a0"/>
    <w:link w:val="afff3"/>
    <w:rsid w:val="00491CBF"/>
    <w:pPr>
      <w:widowControl w:val="0"/>
      <w:shd w:val="clear" w:color="auto" w:fill="FFFFFF"/>
      <w:spacing w:line="254" w:lineRule="exact"/>
      <w:ind w:firstLine="360"/>
    </w:pPr>
    <w:rPr>
      <w:rFonts w:eastAsia="Times New Roman"/>
      <w:b/>
      <w:bCs/>
      <w:sz w:val="22"/>
      <w:szCs w:val="22"/>
      <w:lang w:eastAsia="en-US"/>
    </w:rPr>
  </w:style>
  <w:style w:type="character" w:customStyle="1" w:styleId="210pt">
    <w:name w:val="Основной текст (2) + 10 pt"/>
    <w:basedOn w:val="28"/>
    <w:rsid w:val="00584C90"/>
    <w:rPr>
      <w:rFonts w:ascii="Times New Roman" w:eastAsia="Times New Roman" w:hAnsi="Times New Roman" w:cs="Times New Roman"/>
      <w:b w:val="0"/>
      <w:b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8"/>
    <w:rsid w:val="00584C90"/>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7">
    <w:name w:val="Основной текст (3)_"/>
    <w:basedOn w:val="a1"/>
    <w:link w:val="38"/>
    <w:locked/>
    <w:rsid w:val="008863C9"/>
    <w:rPr>
      <w:rFonts w:ascii="Times New Roman" w:eastAsia="Times New Roman" w:hAnsi="Times New Roman" w:cs="Times New Roman"/>
      <w:b/>
      <w:bCs/>
      <w:shd w:val="clear" w:color="auto" w:fill="FFFFFF"/>
    </w:rPr>
  </w:style>
  <w:style w:type="paragraph" w:customStyle="1" w:styleId="38">
    <w:name w:val="Основной текст (3)"/>
    <w:basedOn w:val="a0"/>
    <w:link w:val="37"/>
    <w:rsid w:val="008863C9"/>
    <w:pPr>
      <w:widowControl w:val="0"/>
      <w:shd w:val="clear" w:color="auto" w:fill="FFFFFF"/>
      <w:spacing w:before="140" w:after="140" w:line="244" w:lineRule="exact"/>
      <w:ind w:hanging="1040"/>
    </w:pPr>
    <w:rPr>
      <w:rFonts w:eastAsia="Times New Roman"/>
      <w:b/>
      <w:bCs/>
      <w:sz w:val="22"/>
      <w:szCs w:val="22"/>
      <w:lang w:eastAsia="en-US"/>
    </w:rPr>
  </w:style>
  <w:style w:type="character" w:customStyle="1" w:styleId="lrzxr">
    <w:name w:val="lrzxr"/>
    <w:basedOn w:val="a1"/>
    <w:rsid w:val="004541CE"/>
  </w:style>
  <w:style w:type="character" w:customStyle="1" w:styleId="DefaultChar">
    <w:name w:val="Default Char"/>
    <w:link w:val="Default"/>
    <w:locked/>
    <w:rsid w:val="00B47726"/>
    <w:rPr>
      <w:rFonts w:ascii="Times New Roman" w:eastAsia="Times New Roman" w:hAnsi="Times New Roman" w:cs="Times New Roman"/>
      <w:color w:val="000000"/>
      <w:sz w:val="24"/>
      <w:szCs w:val="24"/>
      <w:lang w:eastAsia="ru-RU"/>
    </w:rPr>
  </w:style>
  <w:style w:type="table" w:customStyle="1" w:styleId="TableGrid11">
    <w:name w:val="TableGrid11"/>
    <w:rsid w:val="00AB20DF"/>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AB20DF"/>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1"/>
    <w:uiPriority w:val="99"/>
    <w:semiHidden/>
    <w:unhideWhenUsed/>
    <w:rsid w:val="00AB20DF"/>
    <w:rPr>
      <w:color w:val="605E5C"/>
      <w:shd w:val="clear" w:color="auto" w:fill="E1DFDD"/>
    </w:rPr>
  </w:style>
  <w:style w:type="character" w:customStyle="1" w:styleId="afff5">
    <w:name w:val="_"/>
    <w:basedOn w:val="a1"/>
    <w:rsid w:val="00AB20DF"/>
  </w:style>
  <w:style w:type="character" w:customStyle="1" w:styleId="hitinf">
    <w:name w:val="hit_inf"/>
    <w:basedOn w:val="a1"/>
    <w:rsid w:val="00AB20DF"/>
  </w:style>
  <w:style w:type="character" w:customStyle="1" w:styleId="hitsyn">
    <w:name w:val="hit_syn"/>
    <w:basedOn w:val="a1"/>
    <w:rsid w:val="00AB20DF"/>
  </w:style>
  <w:style w:type="character" w:customStyle="1" w:styleId="blk">
    <w:name w:val="blk"/>
    <w:rsid w:val="00AB20DF"/>
  </w:style>
  <w:style w:type="character" w:customStyle="1" w:styleId="1d">
    <w:name w:val="Основной текст1"/>
    <w:basedOn w:val="a1"/>
    <w:rsid w:val="002002E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AB01E2"/>
    <w:pPr>
      <w:widowControl w:val="0"/>
      <w:autoSpaceDE w:val="0"/>
      <w:autoSpaceDN w:val="0"/>
      <w:adjustRightInd w:val="0"/>
    </w:pPr>
    <w:rPr>
      <w:rFonts w:ascii="Courier New" w:eastAsia="Times New Roman" w:hAnsi="Courier New" w:cs="Courier New"/>
      <w:sz w:val="24"/>
      <w:szCs w:val="24"/>
      <w:lang w:eastAsia="ru-RU"/>
    </w:rPr>
  </w:style>
  <w:style w:type="paragraph" w:customStyle="1" w:styleId="ConsPlusNormal">
    <w:name w:val="ConsPlusNormal"/>
    <w:rsid w:val="00D36F2F"/>
    <w:pPr>
      <w:widowControl w:val="0"/>
      <w:autoSpaceDE w:val="0"/>
      <w:autoSpaceDN w:val="0"/>
      <w:adjustRightInd w:val="0"/>
    </w:pPr>
    <w:rPr>
      <w:rFonts w:ascii="Arial" w:eastAsiaTheme="minorEastAsia" w:hAnsi="Arial" w:cs="Arial"/>
      <w:sz w:val="20"/>
      <w:szCs w:val="20"/>
      <w:lang w:eastAsia="ru-RU"/>
    </w:rPr>
  </w:style>
  <w:style w:type="character" w:customStyle="1" w:styleId="afff6">
    <w:name w:val="Основной текст_"/>
    <w:basedOn w:val="a1"/>
    <w:rsid w:val="00B804A9"/>
    <w:rPr>
      <w:rFonts w:ascii="Times New Roman" w:eastAsia="Times New Roman" w:hAnsi="Times New Roman" w:cs="Times New Roman"/>
      <w:spacing w:val="-2"/>
      <w:shd w:val="clear" w:color="auto" w:fill="FFFFFF"/>
    </w:rPr>
  </w:style>
  <w:style w:type="character" w:customStyle="1" w:styleId="mnn-name-in-link">
    <w:name w:val="mnn-name-in-link"/>
    <w:basedOn w:val="a1"/>
    <w:rsid w:val="003D0C91"/>
  </w:style>
  <w:style w:type="paragraph" w:customStyle="1" w:styleId="opispole">
    <w:name w:val="opis_pole"/>
    <w:basedOn w:val="a0"/>
    <w:rsid w:val="00184AA4"/>
    <w:pPr>
      <w:spacing w:before="100" w:beforeAutospacing="1" w:after="100" w:afterAutospacing="1"/>
      <w:jc w:val="left"/>
    </w:pPr>
    <w:rPr>
      <w:rFonts w:eastAsia="Times New Roman"/>
      <w:lang w:eastAsia="ru-RU"/>
    </w:rPr>
  </w:style>
  <w:style w:type="paragraph" w:customStyle="1" w:styleId="tablesubscr">
    <w:name w:val="tablesubscr"/>
    <w:basedOn w:val="a0"/>
    <w:rsid w:val="00184AA4"/>
    <w:pPr>
      <w:spacing w:before="100" w:beforeAutospacing="1" w:after="100" w:afterAutospacing="1"/>
      <w:jc w:val="left"/>
    </w:pPr>
    <w:rPr>
      <w:rFonts w:eastAsia="Times New Roman"/>
      <w:lang w:eastAsia="ru-RU"/>
    </w:rPr>
  </w:style>
  <w:style w:type="character" w:customStyle="1" w:styleId="w">
    <w:name w:val="w"/>
    <w:basedOn w:val="a1"/>
    <w:rsid w:val="005B1025"/>
  </w:style>
  <w:style w:type="character" w:customStyle="1" w:styleId="med1">
    <w:name w:val="med1"/>
    <w:basedOn w:val="a1"/>
    <w:rsid w:val="00557F15"/>
  </w:style>
  <w:style w:type="character" w:customStyle="1" w:styleId="UnresolvedMention">
    <w:name w:val="Unresolved Mention"/>
    <w:basedOn w:val="a1"/>
    <w:uiPriority w:val="99"/>
    <w:semiHidden/>
    <w:unhideWhenUsed/>
    <w:rsid w:val="00357799"/>
    <w:rPr>
      <w:color w:val="605E5C"/>
      <w:shd w:val="clear" w:color="auto" w:fill="E1DFDD"/>
    </w:rPr>
  </w:style>
  <w:style w:type="paragraph" w:customStyle="1" w:styleId="afff7">
    <w:name w:val="СФ_Примечание"/>
    <w:basedOn w:val="affb"/>
    <w:uiPriority w:val="11"/>
    <w:qFormat/>
    <w:rsid w:val="00306A4A"/>
    <w:pPr>
      <w:spacing w:line="240" w:lineRule="auto"/>
      <w:jc w:val="left"/>
    </w:pPr>
    <w:rPr>
      <w:sz w:val="20"/>
    </w:rPr>
  </w:style>
  <w:style w:type="paragraph" w:customStyle="1" w:styleId="afff8">
    <w:name w:val="СФ_Таблица"/>
    <w:basedOn w:val="affb"/>
    <w:uiPriority w:val="11"/>
    <w:qFormat/>
    <w:rsid w:val="00F7545F"/>
    <w:pPr>
      <w:spacing w:before="0" w:after="0" w:line="240" w:lineRule="auto"/>
    </w:pPr>
    <w:rPr>
      <w:sz w:val="20"/>
    </w:rPr>
  </w:style>
  <w:style w:type="character" w:customStyle="1" w:styleId="afff9">
    <w:name w:val="СФ_Инструкции"/>
    <w:basedOn w:val="a1"/>
    <w:uiPriority w:val="1"/>
    <w:rsid w:val="00515DB2"/>
    <w:rPr>
      <w:bdr w:val="none" w:sz="0" w:space="0" w:color="auto"/>
      <w:shd w:val="clear" w:color="auto" w:fill="D6E3BC" w:themeFill="accent3" w:themeFillTint="66"/>
    </w:rPr>
  </w:style>
  <w:style w:type="table" w:customStyle="1" w:styleId="TableNormal">
    <w:name w:val="Table Normal"/>
    <w:uiPriority w:val="2"/>
    <w:semiHidden/>
    <w:unhideWhenUsed/>
    <w:qFormat/>
    <w:rsid w:val="00200EBA"/>
    <w:pPr>
      <w:widowControl w:val="0"/>
      <w:autoSpaceDE w:val="0"/>
      <w:autoSpaceDN w:val="0"/>
      <w:jc w:val="left"/>
    </w:pPr>
    <w:rPr>
      <w:rFonts w:eastAsiaTheme="minorHAnsi"/>
      <w:lang w:val="en-US"/>
    </w:rPr>
    <w:tblPr>
      <w:tblInd w:w="0" w:type="dxa"/>
      <w:tblCellMar>
        <w:top w:w="0" w:type="dxa"/>
        <w:left w:w="0" w:type="dxa"/>
        <w:bottom w:w="0" w:type="dxa"/>
        <w:right w:w="0" w:type="dxa"/>
      </w:tblCellMar>
    </w:tblPr>
  </w:style>
  <w:style w:type="character" w:styleId="afffa">
    <w:name w:val="endnote reference"/>
    <w:basedOn w:val="a1"/>
    <w:uiPriority w:val="99"/>
    <w:semiHidden/>
    <w:unhideWhenUsed/>
    <w:rsid w:val="00FF3C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728">
      <w:bodyDiv w:val="1"/>
      <w:marLeft w:val="0"/>
      <w:marRight w:val="0"/>
      <w:marTop w:val="0"/>
      <w:marBottom w:val="0"/>
      <w:divBdr>
        <w:top w:val="none" w:sz="0" w:space="0" w:color="auto"/>
        <w:left w:val="none" w:sz="0" w:space="0" w:color="auto"/>
        <w:bottom w:val="none" w:sz="0" w:space="0" w:color="auto"/>
        <w:right w:val="none" w:sz="0" w:space="0" w:color="auto"/>
      </w:divBdr>
    </w:div>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0493349">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21708">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18552988">
      <w:bodyDiv w:val="1"/>
      <w:marLeft w:val="0"/>
      <w:marRight w:val="0"/>
      <w:marTop w:val="0"/>
      <w:marBottom w:val="0"/>
      <w:divBdr>
        <w:top w:val="none" w:sz="0" w:space="0" w:color="auto"/>
        <w:left w:val="none" w:sz="0" w:space="0" w:color="auto"/>
        <w:bottom w:val="none" w:sz="0" w:space="0" w:color="auto"/>
        <w:right w:val="none" w:sz="0" w:space="0" w:color="auto"/>
      </w:divBdr>
    </w:div>
    <w:div w:id="20210982">
      <w:bodyDiv w:val="1"/>
      <w:marLeft w:val="0"/>
      <w:marRight w:val="0"/>
      <w:marTop w:val="0"/>
      <w:marBottom w:val="0"/>
      <w:divBdr>
        <w:top w:val="none" w:sz="0" w:space="0" w:color="auto"/>
        <w:left w:val="none" w:sz="0" w:space="0" w:color="auto"/>
        <w:bottom w:val="none" w:sz="0" w:space="0" w:color="auto"/>
        <w:right w:val="none" w:sz="0" w:space="0" w:color="auto"/>
      </w:divBdr>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23603199">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4720277">
      <w:bodyDiv w:val="1"/>
      <w:marLeft w:val="0"/>
      <w:marRight w:val="0"/>
      <w:marTop w:val="0"/>
      <w:marBottom w:val="0"/>
      <w:divBdr>
        <w:top w:val="none" w:sz="0" w:space="0" w:color="auto"/>
        <w:left w:val="none" w:sz="0" w:space="0" w:color="auto"/>
        <w:bottom w:val="none" w:sz="0" w:space="0" w:color="auto"/>
        <w:right w:val="none" w:sz="0" w:space="0" w:color="auto"/>
      </w:divBdr>
    </w:div>
    <w:div w:id="25103814">
      <w:bodyDiv w:val="1"/>
      <w:marLeft w:val="0"/>
      <w:marRight w:val="0"/>
      <w:marTop w:val="0"/>
      <w:marBottom w:val="0"/>
      <w:divBdr>
        <w:top w:val="none" w:sz="0" w:space="0" w:color="auto"/>
        <w:left w:val="none" w:sz="0" w:space="0" w:color="auto"/>
        <w:bottom w:val="none" w:sz="0" w:space="0" w:color="auto"/>
        <w:right w:val="none" w:sz="0" w:space="0" w:color="auto"/>
      </w:divBdr>
    </w:div>
    <w:div w:id="26411886">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38818851">
      <w:bodyDiv w:val="1"/>
      <w:marLeft w:val="0"/>
      <w:marRight w:val="0"/>
      <w:marTop w:val="0"/>
      <w:marBottom w:val="0"/>
      <w:divBdr>
        <w:top w:val="none" w:sz="0" w:space="0" w:color="auto"/>
        <w:left w:val="none" w:sz="0" w:space="0" w:color="auto"/>
        <w:bottom w:val="none" w:sz="0" w:space="0" w:color="auto"/>
        <w:right w:val="none" w:sz="0" w:space="0" w:color="auto"/>
      </w:divBdr>
    </w:div>
    <w:div w:id="46299560">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2700510">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8674181">
      <w:bodyDiv w:val="1"/>
      <w:marLeft w:val="0"/>
      <w:marRight w:val="0"/>
      <w:marTop w:val="0"/>
      <w:marBottom w:val="0"/>
      <w:divBdr>
        <w:top w:val="none" w:sz="0" w:space="0" w:color="auto"/>
        <w:left w:val="none" w:sz="0" w:space="0" w:color="auto"/>
        <w:bottom w:val="none" w:sz="0" w:space="0" w:color="auto"/>
        <w:right w:val="none" w:sz="0" w:space="0" w:color="auto"/>
      </w:divBdr>
    </w:div>
    <w:div w:id="59443346">
      <w:bodyDiv w:val="1"/>
      <w:marLeft w:val="0"/>
      <w:marRight w:val="0"/>
      <w:marTop w:val="0"/>
      <w:marBottom w:val="0"/>
      <w:divBdr>
        <w:top w:val="none" w:sz="0" w:space="0" w:color="auto"/>
        <w:left w:val="none" w:sz="0" w:space="0" w:color="auto"/>
        <w:bottom w:val="none" w:sz="0" w:space="0" w:color="auto"/>
        <w:right w:val="none" w:sz="0" w:space="0" w:color="auto"/>
      </w:divBdr>
      <w:divsChild>
        <w:div w:id="568923047">
          <w:marLeft w:val="0"/>
          <w:marRight w:val="0"/>
          <w:marTop w:val="0"/>
          <w:marBottom w:val="0"/>
          <w:divBdr>
            <w:top w:val="none" w:sz="0" w:space="0" w:color="auto"/>
            <w:left w:val="none" w:sz="0" w:space="0" w:color="auto"/>
            <w:bottom w:val="none" w:sz="0" w:space="0" w:color="auto"/>
            <w:right w:val="none" w:sz="0" w:space="0" w:color="auto"/>
          </w:divBdr>
        </w:div>
      </w:divsChild>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67969352">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4792620">
      <w:bodyDiv w:val="1"/>
      <w:marLeft w:val="0"/>
      <w:marRight w:val="0"/>
      <w:marTop w:val="0"/>
      <w:marBottom w:val="0"/>
      <w:divBdr>
        <w:top w:val="none" w:sz="0" w:space="0" w:color="auto"/>
        <w:left w:val="none" w:sz="0" w:space="0" w:color="auto"/>
        <w:bottom w:val="none" w:sz="0" w:space="0" w:color="auto"/>
        <w:right w:val="none" w:sz="0" w:space="0" w:color="auto"/>
      </w:divBdr>
    </w:div>
    <w:div w:id="7544445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0613497">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5687424">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9084522">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930195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686">
          <w:marLeft w:val="0"/>
          <w:marRight w:val="0"/>
          <w:marTop w:val="0"/>
          <w:marBottom w:val="0"/>
          <w:divBdr>
            <w:top w:val="none" w:sz="0" w:space="0" w:color="auto"/>
            <w:left w:val="none" w:sz="0" w:space="0" w:color="auto"/>
            <w:bottom w:val="none" w:sz="0" w:space="0" w:color="auto"/>
            <w:right w:val="none" w:sz="0" w:space="0" w:color="auto"/>
          </w:divBdr>
        </w:div>
      </w:divsChild>
    </w:div>
    <w:div w:id="93475189">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5393974">
      <w:bodyDiv w:val="1"/>
      <w:marLeft w:val="0"/>
      <w:marRight w:val="0"/>
      <w:marTop w:val="0"/>
      <w:marBottom w:val="0"/>
      <w:divBdr>
        <w:top w:val="none" w:sz="0" w:space="0" w:color="auto"/>
        <w:left w:val="none" w:sz="0" w:space="0" w:color="auto"/>
        <w:bottom w:val="none" w:sz="0" w:space="0" w:color="auto"/>
        <w:right w:val="none" w:sz="0" w:space="0" w:color="auto"/>
      </w:divBdr>
    </w:div>
    <w:div w:id="108479623">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6801074">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19148719">
      <w:bodyDiv w:val="1"/>
      <w:marLeft w:val="0"/>
      <w:marRight w:val="0"/>
      <w:marTop w:val="0"/>
      <w:marBottom w:val="0"/>
      <w:divBdr>
        <w:top w:val="none" w:sz="0" w:space="0" w:color="auto"/>
        <w:left w:val="none" w:sz="0" w:space="0" w:color="auto"/>
        <w:bottom w:val="none" w:sz="0" w:space="0" w:color="auto"/>
        <w:right w:val="none" w:sz="0" w:space="0" w:color="auto"/>
      </w:divBdr>
    </w:div>
    <w:div w:id="122887262">
      <w:bodyDiv w:val="1"/>
      <w:marLeft w:val="0"/>
      <w:marRight w:val="0"/>
      <w:marTop w:val="0"/>
      <w:marBottom w:val="0"/>
      <w:divBdr>
        <w:top w:val="none" w:sz="0" w:space="0" w:color="auto"/>
        <w:left w:val="none" w:sz="0" w:space="0" w:color="auto"/>
        <w:bottom w:val="none" w:sz="0" w:space="0" w:color="auto"/>
        <w:right w:val="none" w:sz="0" w:space="0" w:color="auto"/>
      </w:divBdr>
    </w:div>
    <w:div w:id="126822109">
      <w:bodyDiv w:val="1"/>
      <w:marLeft w:val="0"/>
      <w:marRight w:val="0"/>
      <w:marTop w:val="0"/>
      <w:marBottom w:val="0"/>
      <w:divBdr>
        <w:top w:val="none" w:sz="0" w:space="0" w:color="auto"/>
        <w:left w:val="none" w:sz="0" w:space="0" w:color="auto"/>
        <w:bottom w:val="none" w:sz="0" w:space="0" w:color="auto"/>
        <w:right w:val="none" w:sz="0" w:space="0" w:color="auto"/>
      </w:divBdr>
    </w:div>
    <w:div w:id="128322359">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529427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1623560">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49831983">
      <w:bodyDiv w:val="1"/>
      <w:marLeft w:val="0"/>
      <w:marRight w:val="0"/>
      <w:marTop w:val="0"/>
      <w:marBottom w:val="0"/>
      <w:divBdr>
        <w:top w:val="none" w:sz="0" w:space="0" w:color="auto"/>
        <w:left w:val="none" w:sz="0" w:space="0" w:color="auto"/>
        <w:bottom w:val="none" w:sz="0" w:space="0" w:color="auto"/>
        <w:right w:val="none" w:sz="0" w:space="0" w:color="auto"/>
      </w:divBdr>
    </w:div>
    <w:div w:id="149903735">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5806489">
      <w:bodyDiv w:val="1"/>
      <w:marLeft w:val="0"/>
      <w:marRight w:val="0"/>
      <w:marTop w:val="0"/>
      <w:marBottom w:val="0"/>
      <w:divBdr>
        <w:top w:val="none" w:sz="0" w:space="0" w:color="auto"/>
        <w:left w:val="none" w:sz="0" w:space="0" w:color="auto"/>
        <w:bottom w:val="none" w:sz="0" w:space="0" w:color="auto"/>
        <w:right w:val="none" w:sz="0" w:space="0" w:color="auto"/>
      </w:divBdr>
    </w:div>
    <w:div w:id="156380807">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024400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1603060">
      <w:bodyDiv w:val="1"/>
      <w:marLeft w:val="0"/>
      <w:marRight w:val="0"/>
      <w:marTop w:val="0"/>
      <w:marBottom w:val="0"/>
      <w:divBdr>
        <w:top w:val="none" w:sz="0" w:space="0" w:color="auto"/>
        <w:left w:val="none" w:sz="0" w:space="0" w:color="auto"/>
        <w:bottom w:val="none" w:sz="0" w:space="0" w:color="auto"/>
        <w:right w:val="none" w:sz="0" w:space="0" w:color="auto"/>
      </w:divBdr>
    </w:div>
    <w:div w:id="171797470">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4347173">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259544">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8876469">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5967943">
      <w:bodyDiv w:val="1"/>
      <w:marLeft w:val="0"/>
      <w:marRight w:val="0"/>
      <w:marTop w:val="0"/>
      <w:marBottom w:val="0"/>
      <w:divBdr>
        <w:top w:val="none" w:sz="0" w:space="0" w:color="auto"/>
        <w:left w:val="none" w:sz="0" w:space="0" w:color="auto"/>
        <w:bottom w:val="none" w:sz="0" w:space="0" w:color="auto"/>
        <w:right w:val="none" w:sz="0" w:space="0" w:color="auto"/>
      </w:divBdr>
    </w:div>
    <w:div w:id="196434318">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3643800">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2158560">
      <w:bodyDiv w:val="1"/>
      <w:marLeft w:val="0"/>
      <w:marRight w:val="0"/>
      <w:marTop w:val="0"/>
      <w:marBottom w:val="0"/>
      <w:divBdr>
        <w:top w:val="none" w:sz="0" w:space="0" w:color="auto"/>
        <w:left w:val="none" w:sz="0" w:space="0" w:color="auto"/>
        <w:bottom w:val="none" w:sz="0" w:space="0" w:color="auto"/>
        <w:right w:val="none" w:sz="0" w:space="0" w:color="auto"/>
      </w:divBdr>
    </w:div>
    <w:div w:id="21365754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1134454">
      <w:bodyDiv w:val="1"/>
      <w:marLeft w:val="0"/>
      <w:marRight w:val="0"/>
      <w:marTop w:val="0"/>
      <w:marBottom w:val="0"/>
      <w:divBdr>
        <w:top w:val="none" w:sz="0" w:space="0" w:color="auto"/>
        <w:left w:val="none" w:sz="0" w:space="0" w:color="auto"/>
        <w:bottom w:val="none" w:sz="0" w:space="0" w:color="auto"/>
        <w:right w:val="none" w:sz="0" w:space="0" w:color="auto"/>
      </w:divBdr>
    </w:div>
    <w:div w:id="222327188">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5068682">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0910822">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48930319">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57373131">
      <w:bodyDiv w:val="1"/>
      <w:marLeft w:val="0"/>
      <w:marRight w:val="0"/>
      <w:marTop w:val="0"/>
      <w:marBottom w:val="0"/>
      <w:divBdr>
        <w:top w:val="none" w:sz="0" w:space="0" w:color="auto"/>
        <w:left w:val="none" w:sz="0" w:space="0" w:color="auto"/>
        <w:bottom w:val="none" w:sz="0" w:space="0" w:color="auto"/>
        <w:right w:val="none" w:sz="0" w:space="0" w:color="auto"/>
      </w:divBdr>
    </w:div>
    <w:div w:id="257446982">
      <w:bodyDiv w:val="1"/>
      <w:marLeft w:val="0"/>
      <w:marRight w:val="0"/>
      <w:marTop w:val="0"/>
      <w:marBottom w:val="0"/>
      <w:divBdr>
        <w:top w:val="none" w:sz="0" w:space="0" w:color="auto"/>
        <w:left w:val="none" w:sz="0" w:space="0" w:color="auto"/>
        <w:bottom w:val="none" w:sz="0" w:space="0" w:color="auto"/>
        <w:right w:val="none" w:sz="0" w:space="0" w:color="auto"/>
      </w:divBdr>
    </w:div>
    <w:div w:id="261113104">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8074879">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79730613">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5628808">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88517441">
      <w:bodyDiv w:val="1"/>
      <w:marLeft w:val="0"/>
      <w:marRight w:val="0"/>
      <w:marTop w:val="0"/>
      <w:marBottom w:val="0"/>
      <w:divBdr>
        <w:top w:val="none" w:sz="0" w:space="0" w:color="auto"/>
        <w:left w:val="none" w:sz="0" w:space="0" w:color="auto"/>
        <w:bottom w:val="none" w:sz="0" w:space="0" w:color="auto"/>
        <w:right w:val="none" w:sz="0" w:space="0" w:color="auto"/>
      </w:divBdr>
    </w:div>
    <w:div w:id="288827971">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298001427">
      <w:bodyDiv w:val="1"/>
      <w:marLeft w:val="0"/>
      <w:marRight w:val="0"/>
      <w:marTop w:val="0"/>
      <w:marBottom w:val="0"/>
      <w:divBdr>
        <w:top w:val="none" w:sz="0" w:space="0" w:color="auto"/>
        <w:left w:val="none" w:sz="0" w:space="0" w:color="auto"/>
        <w:bottom w:val="none" w:sz="0" w:space="0" w:color="auto"/>
        <w:right w:val="none" w:sz="0" w:space="0" w:color="auto"/>
      </w:divBdr>
    </w:div>
    <w:div w:id="298069747">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09865377">
      <w:bodyDiv w:val="1"/>
      <w:marLeft w:val="0"/>
      <w:marRight w:val="0"/>
      <w:marTop w:val="0"/>
      <w:marBottom w:val="0"/>
      <w:divBdr>
        <w:top w:val="none" w:sz="0" w:space="0" w:color="auto"/>
        <w:left w:val="none" w:sz="0" w:space="0" w:color="auto"/>
        <w:bottom w:val="none" w:sz="0" w:space="0" w:color="auto"/>
        <w:right w:val="none" w:sz="0" w:space="0" w:color="auto"/>
      </w:divBdr>
    </w:div>
    <w:div w:id="309870758">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17878684">
      <w:bodyDiv w:val="1"/>
      <w:marLeft w:val="0"/>
      <w:marRight w:val="0"/>
      <w:marTop w:val="0"/>
      <w:marBottom w:val="0"/>
      <w:divBdr>
        <w:top w:val="none" w:sz="0" w:space="0" w:color="auto"/>
        <w:left w:val="none" w:sz="0" w:space="0" w:color="auto"/>
        <w:bottom w:val="none" w:sz="0" w:space="0" w:color="auto"/>
        <w:right w:val="none" w:sz="0" w:space="0" w:color="auto"/>
      </w:divBdr>
    </w:div>
    <w:div w:id="323045169">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28364242">
      <w:bodyDiv w:val="1"/>
      <w:marLeft w:val="0"/>
      <w:marRight w:val="0"/>
      <w:marTop w:val="0"/>
      <w:marBottom w:val="0"/>
      <w:divBdr>
        <w:top w:val="none" w:sz="0" w:space="0" w:color="auto"/>
        <w:left w:val="none" w:sz="0" w:space="0" w:color="auto"/>
        <w:bottom w:val="none" w:sz="0" w:space="0" w:color="auto"/>
        <w:right w:val="none" w:sz="0" w:space="0" w:color="auto"/>
      </w:divBdr>
    </w:div>
    <w:div w:id="332925300">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37970344">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54889141">
      <w:bodyDiv w:val="1"/>
      <w:marLeft w:val="0"/>
      <w:marRight w:val="0"/>
      <w:marTop w:val="0"/>
      <w:marBottom w:val="0"/>
      <w:divBdr>
        <w:top w:val="none" w:sz="0" w:space="0" w:color="auto"/>
        <w:left w:val="none" w:sz="0" w:space="0" w:color="auto"/>
        <w:bottom w:val="none" w:sz="0" w:space="0" w:color="auto"/>
        <w:right w:val="none" w:sz="0" w:space="0" w:color="auto"/>
      </w:divBdr>
    </w:div>
    <w:div w:id="359861277">
      <w:bodyDiv w:val="1"/>
      <w:marLeft w:val="0"/>
      <w:marRight w:val="0"/>
      <w:marTop w:val="0"/>
      <w:marBottom w:val="0"/>
      <w:divBdr>
        <w:top w:val="none" w:sz="0" w:space="0" w:color="auto"/>
        <w:left w:val="none" w:sz="0" w:space="0" w:color="auto"/>
        <w:bottom w:val="none" w:sz="0" w:space="0" w:color="auto"/>
        <w:right w:val="none" w:sz="0" w:space="0" w:color="auto"/>
      </w:divBdr>
    </w:div>
    <w:div w:id="360590446">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72728408">
      <w:bodyDiv w:val="1"/>
      <w:marLeft w:val="0"/>
      <w:marRight w:val="0"/>
      <w:marTop w:val="0"/>
      <w:marBottom w:val="0"/>
      <w:divBdr>
        <w:top w:val="none" w:sz="0" w:space="0" w:color="auto"/>
        <w:left w:val="none" w:sz="0" w:space="0" w:color="auto"/>
        <w:bottom w:val="none" w:sz="0" w:space="0" w:color="auto"/>
        <w:right w:val="none" w:sz="0" w:space="0" w:color="auto"/>
      </w:divBdr>
    </w:div>
    <w:div w:id="374887928">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5665487">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77052273">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2890180">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2411573">
      <w:bodyDiv w:val="1"/>
      <w:marLeft w:val="0"/>
      <w:marRight w:val="0"/>
      <w:marTop w:val="0"/>
      <w:marBottom w:val="0"/>
      <w:divBdr>
        <w:top w:val="none" w:sz="0" w:space="0" w:color="auto"/>
        <w:left w:val="none" w:sz="0" w:space="0" w:color="auto"/>
        <w:bottom w:val="none" w:sz="0" w:space="0" w:color="auto"/>
        <w:right w:val="none" w:sz="0" w:space="0" w:color="auto"/>
      </w:divBdr>
    </w:div>
    <w:div w:id="405423270">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0391984">
      <w:bodyDiv w:val="1"/>
      <w:marLeft w:val="0"/>
      <w:marRight w:val="0"/>
      <w:marTop w:val="0"/>
      <w:marBottom w:val="0"/>
      <w:divBdr>
        <w:top w:val="none" w:sz="0" w:space="0" w:color="auto"/>
        <w:left w:val="none" w:sz="0" w:space="0" w:color="auto"/>
        <w:bottom w:val="none" w:sz="0" w:space="0" w:color="auto"/>
        <w:right w:val="none" w:sz="0" w:space="0" w:color="auto"/>
      </w:divBdr>
    </w:div>
    <w:div w:id="415131516">
      <w:bodyDiv w:val="1"/>
      <w:marLeft w:val="0"/>
      <w:marRight w:val="0"/>
      <w:marTop w:val="0"/>
      <w:marBottom w:val="0"/>
      <w:divBdr>
        <w:top w:val="none" w:sz="0" w:space="0" w:color="auto"/>
        <w:left w:val="none" w:sz="0" w:space="0" w:color="auto"/>
        <w:bottom w:val="none" w:sz="0" w:space="0" w:color="auto"/>
        <w:right w:val="none" w:sz="0" w:space="0" w:color="auto"/>
      </w:divBdr>
    </w:div>
    <w:div w:id="416173102">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328065">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0223744">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5342327">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0857213">
      <w:bodyDiv w:val="1"/>
      <w:marLeft w:val="0"/>
      <w:marRight w:val="0"/>
      <w:marTop w:val="0"/>
      <w:marBottom w:val="0"/>
      <w:divBdr>
        <w:top w:val="none" w:sz="0" w:space="0" w:color="auto"/>
        <w:left w:val="none" w:sz="0" w:space="0" w:color="auto"/>
        <w:bottom w:val="none" w:sz="0" w:space="0" w:color="auto"/>
        <w:right w:val="none" w:sz="0" w:space="0" w:color="auto"/>
      </w:divBdr>
    </w:div>
    <w:div w:id="432558272">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39253883">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46697510">
      <w:bodyDiv w:val="1"/>
      <w:marLeft w:val="0"/>
      <w:marRight w:val="0"/>
      <w:marTop w:val="0"/>
      <w:marBottom w:val="0"/>
      <w:divBdr>
        <w:top w:val="none" w:sz="0" w:space="0" w:color="auto"/>
        <w:left w:val="none" w:sz="0" w:space="0" w:color="auto"/>
        <w:bottom w:val="none" w:sz="0" w:space="0" w:color="auto"/>
        <w:right w:val="none" w:sz="0" w:space="0" w:color="auto"/>
      </w:divBdr>
    </w:div>
    <w:div w:id="450785441">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6263578">
      <w:bodyDiv w:val="1"/>
      <w:marLeft w:val="0"/>
      <w:marRight w:val="0"/>
      <w:marTop w:val="0"/>
      <w:marBottom w:val="0"/>
      <w:divBdr>
        <w:top w:val="none" w:sz="0" w:space="0" w:color="auto"/>
        <w:left w:val="none" w:sz="0" w:space="0" w:color="auto"/>
        <w:bottom w:val="none" w:sz="0" w:space="0" w:color="auto"/>
        <w:right w:val="none" w:sz="0" w:space="0" w:color="auto"/>
      </w:divBdr>
    </w:div>
    <w:div w:id="456413205">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1576854">
      <w:bodyDiv w:val="1"/>
      <w:marLeft w:val="0"/>
      <w:marRight w:val="0"/>
      <w:marTop w:val="0"/>
      <w:marBottom w:val="0"/>
      <w:divBdr>
        <w:top w:val="none" w:sz="0" w:space="0" w:color="auto"/>
        <w:left w:val="none" w:sz="0" w:space="0" w:color="auto"/>
        <w:bottom w:val="none" w:sz="0" w:space="0" w:color="auto"/>
        <w:right w:val="none" w:sz="0" w:space="0" w:color="auto"/>
      </w:divBdr>
    </w:div>
    <w:div w:id="464347312">
      <w:bodyDiv w:val="1"/>
      <w:marLeft w:val="0"/>
      <w:marRight w:val="0"/>
      <w:marTop w:val="0"/>
      <w:marBottom w:val="0"/>
      <w:divBdr>
        <w:top w:val="none" w:sz="0" w:space="0" w:color="auto"/>
        <w:left w:val="none" w:sz="0" w:space="0" w:color="auto"/>
        <w:bottom w:val="none" w:sz="0" w:space="0" w:color="auto"/>
        <w:right w:val="none" w:sz="0" w:space="0" w:color="auto"/>
      </w:divBdr>
    </w:div>
    <w:div w:id="466439042">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0366926">
      <w:bodyDiv w:val="1"/>
      <w:marLeft w:val="0"/>
      <w:marRight w:val="0"/>
      <w:marTop w:val="0"/>
      <w:marBottom w:val="0"/>
      <w:divBdr>
        <w:top w:val="none" w:sz="0" w:space="0" w:color="auto"/>
        <w:left w:val="none" w:sz="0" w:space="0" w:color="auto"/>
        <w:bottom w:val="none" w:sz="0" w:space="0" w:color="auto"/>
        <w:right w:val="none" w:sz="0" w:space="0" w:color="auto"/>
      </w:divBdr>
    </w:div>
    <w:div w:id="470827957">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87291116">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2838321">
      <w:bodyDiv w:val="1"/>
      <w:marLeft w:val="0"/>
      <w:marRight w:val="0"/>
      <w:marTop w:val="0"/>
      <w:marBottom w:val="0"/>
      <w:divBdr>
        <w:top w:val="none" w:sz="0" w:space="0" w:color="auto"/>
        <w:left w:val="none" w:sz="0" w:space="0" w:color="auto"/>
        <w:bottom w:val="none" w:sz="0" w:space="0" w:color="auto"/>
        <w:right w:val="none" w:sz="0" w:space="0" w:color="auto"/>
      </w:divBdr>
    </w:div>
    <w:div w:id="493029172">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497380611">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2545991">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06022365">
      <w:bodyDiv w:val="1"/>
      <w:marLeft w:val="0"/>
      <w:marRight w:val="0"/>
      <w:marTop w:val="0"/>
      <w:marBottom w:val="0"/>
      <w:divBdr>
        <w:top w:val="none" w:sz="0" w:space="0" w:color="auto"/>
        <w:left w:val="none" w:sz="0" w:space="0" w:color="auto"/>
        <w:bottom w:val="none" w:sz="0" w:space="0" w:color="auto"/>
        <w:right w:val="none" w:sz="0" w:space="0" w:color="auto"/>
      </w:divBdr>
    </w:div>
    <w:div w:id="506477458">
      <w:bodyDiv w:val="1"/>
      <w:marLeft w:val="0"/>
      <w:marRight w:val="0"/>
      <w:marTop w:val="0"/>
      <w:marBottom w:val="0"/>
      <w:divBdr>
        <w:top w:val="none" w:sz="0" w:space="0" w:color="auto"/>
        <w:left w:val="none" w:sz="0" w:space="0" w:color="auto"/>
        <w:bottom w:val="none" w:sz="0" w:space="0" w:color="auto"/>
        <w:right w:val="none" w:sz="0" w:space="0" w:color="auto"/>
      </w:divBdr>
    </w:div>
    <w:div w:id="510413628">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13110185">
      <w:bodyDiv w:val="1"/>
      <w:marLeft w:val="0"/>
      <w:marRight w:val="0"/>
      <w:marTop w:val="0"/>
      <w:marBottom w:val="0"/>
      <w:divBdr>
        <w:top w:val="none" w:sz="0" w:space="0" w:color="auto"/>
        <w:left w:val="none" w:sz="0" w:space="0" w:color="auto"/>
        <w:bottom w:val="none" w:sz="0" w:space="0" w:color="auto"/>
        <w:right w:val="none" w:sz="0" w:space="0" w:color="auto"/>
      </w:divBdr>
    </w:div>
    <w:div w:id="516583182">
      <w:bodyDiv w:val="1"/>
      <w:marLeft w:val="0"/>
      <w:marRight w:val="0"/>
      <w:marTop w:val="0"/>
      <w:marBottom w:val="0"/>
      <w:divBdr>
        <w:top w:val="none" w:sz="0" w:space="0" w:color="auto"/>
        <w:left w:val="none" w:sz="0" w:space="0" w:color="auto"/>
        <w:bottom w:val="none" w:sz="0" w:space="0" w:color="auto"/>
        <w:right w:val="none" w:sz="0" w:space="0" w:color="auto"/>
      </w:divBdr>
    </w:div>
    <w:div w:id="522328716">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27377631">
      <w:bodyDiv w:val="1"/>
      <w:marLeft w:val="0"/>
      <w:marRight w:val="0"/>
      <w:marTop w:val="0"/>
      <w:marBottom w:val="0"/>
      <w:divBdr>
        <w:top w:val="none" w:sz="0" w:space="0" w:color="auto"/>
        <w:left w:val="none" w:sz="0" w:space="0" w:color="auto"/>
        <w:bottom w:val="none" w:sz="0" w:space="0" w:color="auto"/>
        <w:right w:val="none" w:sz="0" w:space="0" w:color="auto"/>
      </w:divBdr>
    </w:div>
    <w:div w:id="528299415">
      <w:bodyDiv w:val="1"/>
      <w:marLeft w:val="0"/>
      <w:marRight w:val="0"/>
      <w:marTop w:val="0"/>
      <w:marBottom w:val="0"/>
      <w:divBdr>
        <w:top w:val="none" w:sz="0" w:space="0" w:color="auto"/>
        <w:left w:val="none" w:sz="0" w:space="0" w:color="auto"/>
        <w:bottom w:val="none" w:sz="0" w:space="0" w:color="auto"/>
        <w:right w:val="none" w:sz="0" w:space="0" w:color="auto"/>
      </w:divBdr>
    </w:div>
    <w:div w:id="529539500">
      <w:bodyDiv w:val="1"/>
      <w:marLeft w:val="0"/>
      <w:marRight w:val="0"/>
      <w:marTop w:val="0"/>
      <w:marBottom w:val="0"/>
      <w:divBdr>
        <w:top w:val="none" w:sz="0" w:space="0" w:color="auto"/>
        <w:left w:val="none" w:sz="0" w:space="0" w:color="auto"/>
        <w:bottom w:val="none" w:sz="0" w:space="0" w:color="auto"/>
        <w:right w:val="none" w:sz="0" w:space="0" w:color="auto"/>
      </w:divBdr>
    </w:div>
    <w:div w:id="532111618">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315873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39627847">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68537106">
      <w:bodyDiv w:val="1"/>
      <w:marLeft w:val="0"/>
      <w:marRight w:val="0"/>
      <w:marTop w:val="0"/>
      <w:marBottom w:val="0"/>
      <w:divBdr>
        <w:top w:val="none" w:sz="0" w:space="0" w:color="auto"/>
        <w:left w:val="none" w:sz="0" w:space="0" w:color="auto"/>
        <w:bottom w:val="none" w:sz="0" w:space="0" w:color="auto"/>
        <w:right w:val="none" w:sz="0" w:space="0" w:color="auto"/>
      </w:divBdr>
    </w:div>
    <w:div w:id="571887395">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81109203">
      <w:bodyDiv w:val="1"/>
      <w:marLeft w:val="0"/>
      <w:marRight w:val="0"/>
      <w:marTop w:val="0"/>
      <w:marBottom w:val="0"/>
      <w:divBdr>
        <w:top w:val="none" w:sz="0" w:space="0" w:color="auto"/>
        <w:left w:val="none" w:sz="0" w:space="0" w:color="auto"/>
        <w:bottom w:val="none" w:sz="0" w:space="0" w:color="auto"/>
        <w:right w:val="none" w:sz="0" w:space="0" w:color="auto"/>
      </w:divBdr>
    </w:div>
    <w:div w:id="583533301">
      <w:bodyDiv w:val="1"/>
      <w:marLeft w:val="0"/>
      <w:marRight w:val="0"/>
      <w:marTop w:val="0"/>
      <w:marBottom w:val="0"/>
      <w:divBdr>
        <w:top w:val="none" w:sz="0" w:space="0" w:color="auto"/>
        <w:left w:val="none" w:sz="0" w:space="0" w:color="auto"/>
        <w:bottom w:val="none" w:sz="0" w:space="0" w:color="auto"/>
        <w:right w:val="none" w:sz="0" w:space="0" w:color="auto"/>
      </w:divBdr>
    </w:div>
    <w:div w:id="585697697">
      <w:bodyDiv w:val="1"/>
      <w:marLeft w:val="0"/>
      <w:marRight w:val="0"/>
      <w:marTop w:val="0"/>
      <w:marBottom w:val="0"/>
      <w:divBdr>
        <w:top w:val="none" w:sz="0" w:space="0" w:color="auto"/>
        <w:left w:val="none" w:sz="0" w:space="0" w:color="auto"/>
        <w:bottom w:val="none" w:sz="0" w:space="0" w:color="auto"/>
        <w:right w:val="none" w:sz="0" w:space="0" w:color="auto"/>
      </w:divBdr>
    </w:div>
    <w:div w:id="587269261">
      <w:bodyDiv w:val="1"/>
      <w:marLeft w:val="0"/>
      <w:marRight w:val="0"/>
      <w:marTop w:val="0"/>
      <w:marBottom w:val="0"/>
      <w:divBdr>
        <w:top w:val="none" w:sz="0" w:space="0" w:color="auto"/>
        <w:left w:val="none" w:sz="0" w:space="0" w:color="auto"/>
        <w:bottom w:val="none" w:sz="0" w:space="0" w:color="auto"/>
        <w:right w:val="none" w:sz="0" w:space="0" w:color="auto"/>
      </w:divBdr>
    </w:div>
    <w:div w:id="593904912">
      <w:bodyDiv w:val="1"/>
      <w:marLeft w:val="0"/>
      <w:marRight w:val="0"/>
      <w:marTop w:val="0"/>
      <w:marBottom w:val="0"/>
      <w:divBdr>
        <w:top w:val="none" w:sz="0" w:space="0" w:color="auto"/>
        <w:left w:val="none" w:sz="0" w:space="0" w:color="auto"/>
        <w:bottom w:val="none" w:sz="0" w:space="0" w:color="auto"/>
        <w:right w:val="none" w:sz="0" w:space="0" w:color="auto"/>
      </w:divBdr>
    </w:div>
    <w:div w:id="594287545">
      <w:bodyDiv w:val="1"/>
      <w:marLeft w:val="0"/>
      <w:marRight w:val="0"/>
      <w:marTop w:val="0"/>
      <w:marBottom w:val="0"/>
      <w:divBdr>
        <w:top w:val="none" w:sz="0" w:space="0" w:color="auto"/>
        <w:left w:val="none" w:sz="0" w:space="0" w:color="auto"/>
        <w:bottom w:val="none" w:sz="0" w:space="0" w:color="auto"/>
        <w:right w:val="none" w:sz="0" w:space="0" w:color="auto"/>
      </w:divBdr>
    </w:div>
    <w:div w:id="596594349">
      <w:bodyDiv w:val="1"/>
      <w:marLeft w:val="0"/>
      <w:marRight w:val="0"/>
      <w:marTop w:val="0"/>
      <w:marBottom w:val="0"/>
      <w:divBdr>
        <w:top w:val="none" w:sz="0" w:space="0" w:color="auto"/>
        <w:left w:val="none" w:sz="0" w:space="0" w:color="auto"/>
        <w:bottom w:val="none" w:sz="0" w:space="0" w:color="auto"/>
        <w:right w:val="none" w:sz="0" w:space="0" w:color="auto"/>
      </w:divBdr>
    </w:div>
    <w:div w:id="597450045">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605698364">
      <w:bodyDiv w:val="1"/>
      <w:marLeft w:val="0"/>
      <w:marRight w:val="0"/>
      <w:marTop w:val="0"/>
      <w:marBottom w:val="0"/>
      <w:divBdr>
        <w:top w:val="none" w:sz="0" w:space="0" w:color="auto"/>
        <w:left w:val="none" w:sz="0" w:space="0" w:color="auto"/>
        <w:bottom w:val="none" w:sz="0" w:space="0" w:color="auto"/>
        <w:right w:val="none" w:sz="0" w:space="0" w:color="auto"/>
      </w:divBdr>
    </w:div>
    <w:div w:id="606736555">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1155044">
      <w:bodyDiv w:val="1"/>
      <w:marLeft w:val="0"/>
      <w:marRight w:val="0"/>
      <w:marTop w:val="0"/>
      <w:marBottom w:val="0"/>
      <w:divBdr>
        <w:top w:val="none" w:sz="0" w:space="0" w:color="auto"/>
        <w:left w:val="none" w:sz="0" w:space="0" w:color="auto"/>
        <w:bottom w:val="none" w:sz="0" w:space="0" w:color="auto"/>
        <w:right w:val="none" w:sz="0" w:space="0" w:color="auto"/>
      </w:divBdr>
    </w:div>
    <w:div w:id="621427039">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3316010">
      <w:bodyDiv w:val="1"/>
      <w:marLeft w:val="0"/>
      <w:marRight w:val="0"/>
      <w:marTop w:val="0"/>
      <w:marBottom w:val="0"/>
      <w:divBdr>
        <w:top w:val="none" w:sz="0" w:space="0" w:color="auto"/>
        <w:left w:val="none" w:sz="0" w:space="0" w:color="auto"/>
        <w:bottom w:val="none" w:sz="0" w:space="0" w:color="auto"/>
        <w:right w:val="none" w:sz="0" w:space="0" w:color="auto"/>
      </w:divBdr>
    </w:div>
    <w:div w:id="624889382">
      <w:bodyDiv w:val="1"/>
      <w:marLeft w:val="0"/>
      <w:marRight w:val="0"/>
      <w:marTop w:val="0"/>
      <w:marBottom w:val="0"/>
      <w:divBdr>
        <w:top w:val="none" w:sz="0" w:space="0" w:color="auto"/>
        <w:left w:val="none" w:sz="0" w:space="0" w:color="auto"/>
        <w:bottom w:val="none" w:sz="0" w:space="0" w:color="auto"/>
        <w:right w:val="none" w:sz="0" w:space="0" w:color="auto"/>
      </w:divBdr>
    </w:div>
    <w:div w:id="626469330">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1060730">
      <w:bodyDiv w:val="1"/>
      <w:marLeft w:val="0"/>
      <w:marRight w:val="0"/>
      <w:marTop w:val="0"/>
      <w:marBottom w:val="0"/>
      <w:divBdr>
        <w:top w:val="none" w:sz="0" w:space="0" w:color="auto"/>
        <w:left w:val="none" w:sz="0" w:space="0" w:color="auto"/>
        <w:bottom w:val="none" w:sz="0" w:space="0" w:color="auto"/>
        <w:right w:val="none" w:sz="0" w:space="0" w:color="auto"/>
      </w:divBdr>
    </w:div>
    <w:div w:id="631207643">
      <w:bodyDiv w:val="1"/>
      <w:marLeft w:val="0"/>
      <w:marRight w:val="0"/>
      <w:marTop w:val="0"/>
      <w:marBottom w:val="0"/>
      <w:divBdr>
        <w:top w:val="none" w:sz="0" w:space="0" w:color="auto"/>
        <w:left w:val="none" w:sz="0" w:space="0" w:color="auto"/>
        <w:bottom w:val="none" w:sz="0" w:space="0" w:color="auto"/>
        <w:right w:val="none" w:sz="0" w:space="0" w:color="auto"/>
      </w:divBdr>
    </w:div>
    <w:div w:id="631447199">
      <w:bodyDiv w:val="1"/>
      <w:marLeft w:val="0"/>
      <w:marRight w:val="0"/>
      <w:marTop w:val="0"/>
      <w:marBottom w:val="0"/>
      <w:divBdr>
        <w:top w:val="none" w:sz="0" w:space="0" w:color="auto"/>
        <w:left w:val="none" w:sz="0" w:space="0" w:color="auto"/>
        <w:bottom w:val="none" w:sz="0" w:space="0" w:color="auto"/>
        <w:right w:val="none" w:sz="0" w:space="0" w:color="auto"/>
      </w:divBdr>
    </w:div>
    <w:div w:id="632102713">
      <w:bodyDiv w:val="1"/>
      <w:marLeft w:val="0"/>
      <w:marRight w:val="0"/>
      <w:marTop w:val="0"/>
      <w:marBottom w:val="0"/>
      <w:divBdr>
        <w:top w:val="none" w:sz="0" w:space="0" w:color="auto"/>
        <w:left w:val="none" w:sz="0" w:space="0" w:color="auto"/>
        <w:bottom w:val="none" w:sz="0" w:space="0" w:color="auto"/>
        <w:right w:val="none" w:sz="0" w:space="0" w:color="auto"/>
      </w:divBdr>
    </w:div>
    <w:div w:id="637999190">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47784807">
      <w:bodyDiv w:val="1"/>
      <w:marLeft w:val="0"/>
      <w:marRight w:val="0"/>
      <w:marTop w:val="0"/>
      <w:marBottom w:val="0"/>
      <w:divBdr>
        <w:top w:val="none" w:sz="0" w:space="0" w:color="auto"/>
        <w:left w:val="none" w:sz="0" w:space="0" w:color="auto"/>
        <w:bottom w:val="none" w:sz="0" w:space="0" w:color="auto"/>
        <w:right w:val="none" w:sz="0" w:space="0" w:color="auto"/>
      </w:divBdr>
    </w:div>
    <w:div w:id="648096936">
      <w:bodyDiv w:val="1"/>
      <w:marLeft w:val="0"/>
      <w:marRight w:val="0"/>
      <w:marTop w:val="0"/>
      <w:marBottom w:val="0"/>
      <w:divBdr>
        <w:top w:val="none" w:sz="0" w:space="0" w:color="auto"/>
        <w:left w:val="none" w:sz="0" w:space="0" w:color="auto"/>
        <w:bottom w:val="none" w:sz="0" w:space="0" w:color="auto"/>
        <w:right w:val="none" w:sz="0" w:space="0" w:color="auto"/>
      </w:divBdr>
    </w:div>
    <w:div w:id="651064314">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065021">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5108637">
      <w:bodyDiv w:val="1"/>
      <w:marLeft w:val="0"/>
      <w:marRight w:val="0"/>
      <w:marTop w:val="0"/>
      <w:marBottom w:val="0"/>
      <w:divBdr>
        <w:top w:val="none" w:sz="0" w:space="0" w:color="auto"/>
        <w:left w:val="none" w:sz="0" w:space="0" w:color="auto"/>
        <w:bottom w:val="none" w:sz="0" w:space="0" w:color="auto"/>
        <w:right w:val="none" w:sz="0" w:space="0" w:color="auto"/>
      </w:divBdr>
    </w:div>
    <w:div w:id="655450042">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62439439">
      <w:bodyDiv w:val="1"/>
      <w:marLeft w:val="0"/>
      <w:marRight w:val="0"/>
      <w:marTop w:val="0"/>
      <w:marBottom w:val="0"/>
      <w:divBdr>
        <w:top w:val="none" w:sz="0" w:space="0" w:color="auto"/>
        <w:left w:val="none" w:sz="0" w:space="0" w:color="auto"/>
        <w:bottom w:val="none" w:sz="0" w:space="0" w:color="auto"/>
        <w:right w:val="none" w:sz="0" w:space="0" w:color="auto"/>
      </w:divBdr>
    </w:div>
    <w:div w:id="662785139">
      <w:bodyDiv w:val="1"/>
      <w:marLeft w:val="0"/>
      <w:marRight w:val="0"/>
      <w:marTop w:val="0"/>
      <w:marBottom w:val="0"/>
      <w:divBdr>
        <w:top w:val="none" w:sz="0" w:space="0" w:color="auto"/>
        <w:left w:val="none" w:sz="0" w:space="0" w:color="auto"/>
        <w:bottom w:val="none" w:sz="0" w:space="0" w:color="auto"/>
        <w:right w:val="none" w:sz="0" w:space="0" w:color="auto"/>
      </w:divBdr>
    </w:div>
    <w:div w:id="66840869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4309662">
      <w:bodyDiv w:val="1"/>
      <w:marLeft w:val="0"/>
      <w:marRight w:val="0"/>
      <w:marTop w:val="0"/>
      <w:marBottom w:val="0"/>
      <w:divBdr>
        <w:top w:val="none" w:sz="0" w:space="0" w:color="auto"/>
        <w:left w:val="none" w:sz="0" w:space="0" w:color="auto"/>
        <w:bottom w:val="none" w:sz="0" w:space="0" w:color="auto"/>
        <w:right w:val="none" w:sz="0" w:space="0" w:color="auto"/>
      </w:divBdr>
    </w:div>
    <w:div w:id="676082871">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88213912">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1249995">
      <w:bodyDiv w:val="1"/>
      <w:marLeft w:val="0"/>
      <w:marRight w:val="0"/>
      <w:marTop w:val="0"/>
      <w:marBottom w:val="0"/>
      <w:divBdr>
        <w:top w:val="none" w:sz="0" w:space="0" w:color="auto"/>
        <w:left w:val="none" w:sz="0" w:space="0" w:color="auto"/>
        <w:bottom w:val="none" w:sz="0" w:space="0" w:color="auto"/>
        <w:right w:val="none" w:sz="0" w:space="0" w:color="auto"/>
      </w:divBdr>
    </w:div>
    <w:div w:id="702247732">
      <w:bodyDiv w:val="1"/>
      <w:marLeft w:val="0"/>
      <w:marRight w:val="0"/>
      <w:marTop w:val="0"/>
      <w:marBottom w:val="0"/>
      <w:divBdr>
        <w:top w:val="none" w:sz="0" w:space="0" w:color="auto"/>
        <w:left w:val="none" w:sz="0" w:space="0" w:color="auto"/>
        <w:bottom w:val="none" w:sz="0" w:space="0" w:color="auto"/>
        <w:right w:val="none" w:sz="0" w:space="0" w:color="auto"/>
      </w:divBdr>
    </w:div>
    <w:div w:id="704061793">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09112417">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6124878">
      <w:bodyDiv w:val="1"/>
      <w:marLeft w:val="0"/>
      <w:marRight w:val="0"/>
      <w:marTop w:val="0"/>
      <w:marBottom w:val="0"/>
      <w:divBdr>
        <w:top w:val="none" w:sz="0" w:space="0" w:color="auto"/>
        <w:left w:val="none" w:sz="0" w:space="0" w:color="auto"/>
        <w:bottom w:val="none" w:sz="0" w:space="0" w:color="auto"/>
        <w:right w:val="none" w:sz="0" w:space="0" w:color="auto"/>
      </w:divBdr>
    </w:div>
    <w:div w:id="716928205">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8633213">
      <w:bodyDiv w:val="1"/>
      <w:marLeft w:val="0"/>
      <w:marRight w:val="0"/>
      <w:marTop w:val="0"/>
      <w:marBottom w:val="0"/>
      <w:divBdr>
        <w:top w:val="none" w:sz="0" w:space="0" w:color="auto"/>
        <w:left w:val="none" w:sz="0" w:space="0" w:color="auto"/>
        <w:bottom w:val="none" w:sz="0" w:space="0" w:color="auto"/>
        <w:right w:val="none" w:sz="0" w:space="0" w:color="auto"/>
      </w:divBdr>
    </w:div>
    <w:div w:id="71901411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20249980">
      <w:bodyDiv w:val="1"/>
      <w:marLeft w:val="0"/>
      <w:marRight w:val="0"/>
      <w:marTop w:val="0"/>
      <w:marBottom w:val="0"/>
      <w:divBdr>
        <w:top w:val="none" w:sz="0" w:space="0" w:color="auto"/>
        <w:left w:val="none" w:sz="0" w:space="0" w:color="auto"/>
        <w:bottom w:val="none" w:sz="0" w:space="0" w:color="auto"/>
        <w:right w:val="none" w:sz="0" w:space="0" w:color="auto"/>
      </w:divBdr>
    </w:div>
    <w:div w:id="726951028">
      <w:bodyDiv w:val="1"/>
      <w:marLeft w:val="0"/>
      <w:marRight w:val="0"/>
      <w:marTop w:val="0"/>
      <w:marBottom w:val="0"/>
      <w:divBdr>
        <w:top w:val="none" w:sz="0" w:space="0" w:color="auto"/>
        <w:left w:val="none" w:sz="0" w:space="0" w:color="auto"/>
        <w:bottom w:val="none" w:sz="0" w:space="0" w:color="auto"/>
        <w:right w:val="none" w:sz="0" w:space="0" w:color="auto"/>
      </w:divBdr>
    </w:div>
    <w:div w:id="727612830">
      <w:bodyDiv w:val="1"/>
      <w:marLeft w:val="0"/>
      <w:marRight w:val="0"/>
      <w:marTop w:val="0"/>
      <w:marBottom w:val="0"/>
      <w:divBdr>
        <w:top w:val="none" w:sz="0" w:space="0" w:color="auto"/>
        <w:left w:val="none" w:sz="0" w:space="0" w:color="auto"/>
        <w:bottom w:val="none" w:sz="0" w:space="0" w:color="auto"/>
        <w:right w:val="none" w:sz="0" w:space="0" w:color="auto"/>
      </w:divBdr>
    </w:div>
    <w:div w:id="733238234">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4401322">
      <w:bodyDiv w:val="1"/>
      <w:marLeft w:val="0"/>
      <w:marRight w:val="0"/>
      <w:marTop w:val="0"/>
      <w:marBottom w:val="0"/>
      <w:divBdr>
        <w:top w:val="none" w:sz="0" w:space="0" w:color="auto"/>
        <w:left w:val="none" w:sz="0" w:space="0" w:color="auto"/>
        <w:bottom w:val="none" w:sz="0" w:space="0" w:color="auto"/>
        <w:right w:val="none" w:sz="0" w:space="0" w:color="auto"/>
      </w:divBdr>
    </w:div>
    <w:div w:id="735007382">
      <w:bodyDiv w:val="1"/>
      <w:marLeft w:val="0"/>
      <w:marRight w:val="0"/>
      <w:marTop w:val="0"/>
      <w:marBottom w:val="0"/>
      <w:divBdr>
        <w:top w:val="none" w:sz="0" w:space="0" w:color="auto"/>
        <w:left w:val="none" w:sz="0" w:space="0" w:color="auto"/>
        <w:bottom w:val="none" w:sz="0" w:space="0" w:color="auto"/>
        <w:right w:val="none" w:sz="0" w:space="0" w:color="auto"/>
      </w:divBdr>
    </w:div>
    <w:div w:id="735395542">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39331337">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0083315">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7365862">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1292213">
      <w:bodyDiv w:val="1"/>
      <w:marLeft w:val="0"/>
      <w:marRight w:val="0"/>
      <w:marTop w:val="0"/>
      <w:marBottom w:val="0"/>
      <w:divBdr>
        <w:top w:val="none" w:sz="0" w:space="0" w:color="auto"/>
        <w:left w:val="none" w:sz="0" w:space="0" w:color="auto"/>
        <w:bottom w:val="none" w:sz="0" w:space="0" w:color="auto"/>
        <w:right w:val="none" w:sz="0" w:space="0" w:color="auto"/>
      </w:divBdr>
    </w:div>
    <w:div w:id="762994546">
      <w:bodyDiv w:val="1"/>
      <w:marLeft w:val="0"/>
      <w:marRight w:val="0"/>
      <w:marTop w:val="0"/>
      <w:marBottom w:val="0"/>
      <w:divBdr>
        <w:top w:val="none" w:sz="0" w:space="0" w:color="auto"/>
        <w:left w:val="none" w:sz="0" w:space="0" w:color="auto"/>
        <w:bottom w:val="none" w:sz="0" w:space="0" w:color="auto"/>
        <w:right w:val="none" w:sz="0" w:space="0" w:color="auto"/>
      </w:divBdr>
    </w:div>
    <w:div w:id="763571274">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66851544">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2868603">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8720013">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3118811">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88402844">
      <w:bodyDiv w:val="1"/>
      <w:marLeft w:val="0"/>
      <w:marRight w:val="0"/>
      <w:marTop w:val="0"/>
      <w:marBottom w:val="0"/>
      <w:divBdr>
        <w:top w:val="none" w:sz="0" w:space="0" w:color="auto"/>
        <w:left w:val="none" w:sz="0" w:space="0" w:color="auto"/>
        <w:bottom w:val="none" w:sz="0" w:space="0" w:color="auto"/>
        <w:right w:val="none" w:sz="0" w:space="0" w:color="auto"/>
      </w:divBdr>
    </w:div>
    <w:div w:id="790898254">
      <w:bodyDiv w:val="1"/>
      <w:marLeft w:val="0"/>
      <w:marRight w:val="0"/>
      <w:marTop w:val="0"/>
      <w:marBottom w:val="0"/>
      <w:divBdr>
        <w:top w:val="none" w:sz="0" w:space="0" w:color="auto"/>
        <w:left w:val="none" w:sz="0" w:space="0" w:color="auto"/>
        <w:bottom w:val="none" w:sz="0" w:space="0" w:color="auto"/>
        <w:right w:val="none" w:sz="0" w:space="0" w:color="auto"/>
      </w:divBdr>
    </w:div>
    <w:div w:id="791480479">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6336528">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799566329">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057424">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2600539">
      <w:bodyDiv w:val="1"/>
      <w:marLeft w:val="0"/>
      <w:marRight w:val="0"/>
      <w:marTop w:val="0"/>
      <w:marBottom w:val="0"/>
      <w:divBdr>
        <w:top w:val="none" w:sz="0" w:space="0" w:color="auto"/>
        <w:left w:val="none" w:sz="0" w:space="0" w:color="auto"/>
        <w:bottom w:val="none" w:sz="0" w:space="0" w:color="auto"/>
        <w:right w:val="none" w:sz="0" w:space="0" w:color="auto"/>
      </w:divBdr>
    </w:div>
    <w:div w:id="813137842">
      <w:bodyDiv w:val="1"/>
      <w:marLeft w:val="0"/>
      <w:marRight w:val="0"/>
      <w:marTop w:val="0"/>
      <w:marBottom w:val="0"/>
      <w:divBdr>
        <w:top w:val="none" w:sz="0" w:space="0" w:color="auto"/>
        <w:left w:val="none" w:sz="0" w:space="0" w:color="auto"/>
        <w:bottom w:val="none" w:sz="0" w:space="0" w:color="auto"/>
        <w:right w:val="none" w:sz="0" w:space="0" w:color="auto"/>
      </w:divBdr>
    </w:div>
    <w:div w:id="813334027">
      <w:bodyDiv w:val="1"/>
      <w:marLeft w:val="0"/>
      <w:marRight w:val="0"/>
      <w:marTop w:val="0"/>
      <w:marBottom w:val="0"/>
      <w:divBdr>
        <w:top w:val="none" w:sz="0" w:space="0" w:color="auto"/>
        <w:left w:val="none" w:sz="0" w:space="0" w:color="auto"/>
        <w:bottom w:val="none" w:sz="0" w:space="0" w:color="auto"/>
        <w:right w:val="none" w:sz="0" w:space="0" w:color="auto"/>
      </w:divBdr>
    </w:div>
    <w:div w:id="815534227">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0073185">
      <w:bodyDiv w:val="1"/>
      <w:marLeft w:val="0"/>
      <w:marRight w:val="0"/>
      <w:marTop w:val="0"/>
      <w:marBottom w:val="0"/>
      <w:divBdr>
        <w:top w:val="none" w:sz="0" w:space="0" w:color="auto"/>
        <w:left w:val="none" w:sz="0" w:space="0" w:color="auto"/>
        <w:bottom w:val="none" w:sz="0" w:space="0" w:color="auto"/>
        <w:right w:val="none" w:sz="0" w:space="0" w:color="auto"/>
      </w:divBdr>
    </w:div>
    <w:div w:id="820464677">
      <w:bodyDiv w:val="1"/>
      <w:marLeft w:val="0"/>
      <w:marRight w:val="0"/>
      <w:marTop w:val="0"/>
      <w:marBottom w:val="0"/>
      <w:divBdr>
        <w:top w:val="none" w:sz="0" w:space="0" w:color="auto"/>
        <w:left w:val="none" w:sz="0" w:space="0" w:color="auto"/>
        <w:bottom w:val="none" w:sz="0" w:space="0" w:color="auto"/>
        <w:right w:val="none" w:sz="0" w:space="0" w:color="auto"/>
      </w:divBdr>
    </w:div>
    <w:div w:id="821238406">
      <w:bodyDiv w:val="1"/>
      <w:marLeft w:val="0"/>
      <w:marRight w:val="0"/>
      <w:marTop w:val="0"/>
      <w:marBottom w:val="0"/>
      <w:divBdr>
        <w:top w:val="none" w:sz="0" w:space="0" w:color="auto"/>
        <w:left w:val="none" w:sz="0" w:space="0" w:color="auto"/>
        <w:bottom w:val="none" w:sz="0" w:space="0" w:color="auto"/>
        <w:right w:val="none" w:sz="0" w:space="0" w:color="auto"/>
      </w:divBdr>
    </w:div>
    <w:div w:id="825979810">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099642">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452370">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42668989">
      <w:bodyDiv w:val="1"/>
      <w:marLeft w:val="0"/>
      <w:marRight w:val="0"/>
      <w:marTop w:val="0"/>
      <w:marBottom w:val="0"/>
      <w:divBdr>
        <w:top w:val="none" w:sz="0" w:space="0" w:color="auto"/>
        <w:left w:val="none" w:sz="0" w:space="0" w:color="auto"/>
        <w:bottom w:val="none" w:sz="0" w:space="0" w:color="auto"/>
        <w:right w:val="none" w:sz="0" w:space="0" w:color="auto"/>
      </w:divBdr>
    </w:div>
    <w:div w:id="843663074">
      <w:bodyDiv w:val="1"/>
      <w:marLeft w:val="0"/>
      <w:marRight w:val="0"/>
      <w:marTop w:val="0"/>
      <w:marBottom w:val="0"/>
      <w:divBdr>
        <w:top w:val="none" w:sz="0" w:space="0" w:color="auto"/>
        <w:left w:val="none" w:sz="0" w:space="0" w:color="auto"/>
        <w:bottom w:val="none" w:sz="0" w:space="0" w:color="auto"/>
        <w:right w:val="none" w:sz="0" w:space="0" w:color="auto"/>
      </w:divBdr>
    </w:div>
    <w:div w:id="844172196">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0947740">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4418920">
      <w:bodyDiv w:val="1"/>
      <w:marLeft w:val="0"/>
      <w:marRight w:val="0"/>
      <w:marTop w:val="0"/>
      <w:marBottom w:val="0"/>
      <w:divBdr>
        <w:top w:val="none" w:sz="0" w:space="0" w:color="auto"/>
        <w:left w:val="none" w:sz="0" w:space="0" w:color="auto"/>
        <w:bottom w:val="none" w:sz="0" w:space="0" w:color="auto"/>
        <w:right w:val="none" w:sz="0" w:space="0" w:color="auto"/>
      </w:divBdr>
    </w:div>
    <w:div w:id="854463474">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6311462">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5142739">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67329164">
      <w:bodyDiv w:val="1"/>
      <w:marLeft w:val="0"/>
      <w:marRight w:val="0"/>
      <w:marTop w:val="0"/>
      <w:marBottom w:val="0"/>
      <w:divBdr>
        <w:top w:val="none" w:sz="0" w:space="0" w:color="auto"/>
        <w:left w:val="none" w:sz="0" w:space="0" w:color="auto"/>
        <w:bottom w:val="none" w:sz="0" w:space="0" w:color="auto"/>
        <w:right w:val="none" w:sz="0" w:space="0" w:color="auto"/>
      </w:divBdr>
    </w:div>
    <w:div w:id="871503009">
      <w:bodyDiv w:val="1"/>
      <w:marLeft w:val="0"/>
      <w:marRight w:val="0"/>
      <w:marTop w:val="0"/>
      <w:marBottom w:val="0"/>
      <w:divBdr>
        <w:top w:val="none" w:sz="0" w:space="0" w:color="auto"/>
        <w:left w:val="none" w:sz="0" w:space="0" w:color="auto"/>
        <w:bottom w:val="none" w:sz="0" w:space="0" w:color="auto"/>
        <w:right w:val="none" w:sz="0" w:space="0" w:color="auto"/>
      </w:divBdr>
    </w:div>
    <w:div w:id="872497978">
      <w:bodyDiv w:val="1"/>
      <w:marLeft w:val="0"/>
      <w:marRight w:val="0"/>
      <w:marTop w:val="0"/>
      <w:marBottom w:val="0"/>
      <w:divBdr>
        <w:top w:val="none" w:sz="0" w:space="0" w:color="auto"/>
        <w:left w:val="none" w:sz="0" w:space="0" w:color="auto"/>
        <w:bottom w:val="none" w:sz="0" w:space="0" w:color="auto"/>
        <w:right w:val="none" w:sz="0" w:space="0" w:color="auto"/>
      </w:divBdr>
    </w:div>
    <w:div w:id="877396145">
      <w:bodyDiv w:val="1"/>
      <w:marLeft w:val="0"/>
      <w:marRight w:val="0"/>
      <w:marTop w:val="0"/>
      <w:marBottom w:val="0"/>
      <w:divBdr>
        <w:top w:val="none" w:sz="0" w:space="0" w:color="auto"/>
        <w:left w:val="none" w:sz="0" w:space="0" w:color="auto"/>
        <w:bottom w:val="none" w:sz="0" w:space="0" w:color="auto"/>
        <w:right w:val="none" w:sz="0" w:space="0" w:color="auto"/>
      </w:divBdr>
    </w:div>
    <w:div w:id="879636373">
      <w:bodyDiv w:val="1"/>
      <w:marLeft w:val="0"/>
      <w:marRight w:val="0"/>
      <w:marTop w:val="0"/>
      <w:marBottom w:val="0"/>
      <w:divBdr>
        <w:top w:val="none" w:sz="0" w:space="0" w:color="auto"/>
        <w:left w:val="none" w:sz="0" w:space="0" w:color="auto"/>
        <w:bottom w:val="none" w:sz="0" w:space="0" w:color="auto"/>
        <w:right w:val="none" w:sz="0" w:space="0" w:color="auto"/>
      </w:divBdr>
    </w:div>
    <w:div w:id="881095587">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3522681">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2035006">
      <w:bodyDiv w:val="1"/>
      <w:marLeft w:val="0"/>
      <w:marRight w:val="0"/>
      <w:marTop w:val="0"/>
      <w:marBottom w:val="0"/>
      <w:divBdr>
        <w:top w:val="none" w:sz="0" w:space="0" w:color="auto"/>
        <w:left w:val="none" w:sz="0" w:space="0" w:color="auto"/>
        <w:bottom w:val="none" w:sz="0" w:space="0" w:color="auto"/>
        <w:right w:val="none" w:sz="0" w:space="0" w:color="auto"/>
      </w:divBdr>
    </w:div>
    <w:div w:id="893005043">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182065">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28394808">
      <w:bodyDiv w:val="1"/>
      <w:marLeft w:val="0"/>
      <w:marRight w:val="0"/>
      <w:marTop w:val="0"/>
      <w:marBottom w:val="0"/>
      <w:divBdr>
        <w:top w:val="none" w:sz="0" w:space="0" w:color="auto"/>
        <w:left w:val="none" w:sz="0" w:space="0" w:color="auto"/>
        <w:bottom w:val="none" w:sz="0" w:space="0" w:color="auto"/>
        <w:right w:val="none" w:sz="0" w:space="0" w:color="auto"/>
      </w:divBdr>
    </w:div>
    <w:div w:id="932586249">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4554883">
      <w:bodyDiv w:val="1"/>
      <w:marLeft w:val="0"/>
      <w:marRight w:val="0"/>
      <w:marTop w:val="0"/>
      <w:marBottom w:val="0"/>
      <w:divBdr>
        <w:top w:val="none" w:sz="0" w:space="0" w:color="auto"/>
        <w:left w:val="none" w:sz="0" w:space="0" w:color="auto"/>
        <w:bottom w:val="none" w:sz="0" w:space="0" w:color="auto"/>
        <w:right w:val="none" w:sz="0" w:space="0" w:color="auto"/>
      </w:divBdr>
    </w:div>
    <w:div w:id="934557615">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4654387">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0237200">
      <w:bodyDiv w:val="1"/>
      <w:marLeft w:val="0"/>
      <w:marRight w:val="0"/>
      <w:marTop w:val="0"/>
      <w:marBottom w:val="0"/>
      <w:divBdr>
        <w:top w:val="none" w:sz="0" w:space="0" w:color="auto"/>
        <w:left w:val="none" w:sz="0" w:space="0" w:color="auto"/>
        <w:bottom w:val="none" w:sz="0" w:space="0" w:color="auto"/>
        <w:right w:val="none" w:sz="0" w:space="0" w:color="auto"/>
      </w:divBdr>
    </w:div>
    <w:div w:id="951671300">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027205">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0404324">
      <w:bodyDiv w:val="1"/>
      <w:marLeft w:val="0"/>
      <w:marRight w:val="0"/>
      <w:marTop w:val="0"/>
      <w:marBottom w:val="0"/>
      <w:divBdr>
        <w:top w:val="none" w:sz="0" w:space="0" w:color="auto"/>
        <w:left w:val="none" w:sz="0" w:space="0" w:color="auto"/>
        <w:bottom w:val="none" w:sz="0" w:space="0" w:color="auto"/>
        <w:right w:val="none" w:sz="0" w:space="0" w:color="auto"/>
      </w:divBdr>
      <w:divsChild>
        <w:div w:id="1289051901">
          <w:marLeft w:val="0"/>
          <w:marRight w:val="0"/>
          <w:marTop w:val="0"/>
          <w:marBottom w:val="0"/>
          <w:divBdr>
            <w:top w:val="none" w:sz="0" w:space="0" w:color="auto"/>
            <w:left w:val="none" w:sz="0" w:space="0" w:color="auto"/>
            <w:bottom w:val="none" w:sz="0" w:space="0" w:color="auto"/>
            <w:right w:val="none" w:sz="0" w:space="0" w:color="auto"/>
          </w:divBdr>
          <w:divsChild>
            <w:div w:id="260531829">
              <w:marLeft w:val="0"/>
              <w:marRight w:val="0"/>
              <w:marTop w:val="0"/>
              <w:marBottom w:val="0"/>
              <w:divBdr>
                <w:top w:val="none" w:sz="0" w:space="0" w:color="auto"/>
                <w:left w:val="none" w:sz="0" w:space="0" w:color="auto"/>
                <w:bottom w:val="none" w:sz="0" w:space="0" w:color="auto"/>
                <w:right w:val="none" w:sz="0" w:space="0" w:color="auto"/>
              </w:divBdr>
              <w:divsChild>
                <w:div w:id="568423426">
                  <w:marLeft w:val="0"/>
                  <w:marRight w:val="0"/>
                  <w:marTop w:val="0"/>
                  <w:marBottom w:val="0"/>
                  <w:divBdr>
                    <w:top w:val="none" w:sz="0" w:space="0" w:color="auto"/>
                    <w:left w:val="none" w:sz="0" w:space="0" w:color="auto"/>
                    <w:bottom w:val="none" w:sz="0" w:space="0" w:color="auto"/>
                    <w:right w:val="none" w:sz="0" w:space="0" w:color="auto"/>
                  </w:divBdr>
                </w:div>
              </w:divsChild>
            </w:div>
            <w:div w:id="296422243">
              <w:marLeft w:val="0"/>
              <w:marRight w:val="0"/>
              <w:marTop w:val="0"/>
              <w:marBottom w:val="0"/>
              <w:divBdr>
                <w:top w:val="none" w:sz="0" w:space="0" w:color="auto"/>
                <w:left w:val="none" w:sz="0" w:space="0" w:color="auto"/>
                <w:bottom w:val="none" w:sz="0" w:space="0" w:color="auto"/>
                <w:right w:val="none" w:sz="0" w:space="0" w:color="auto"/>
              </w:divBdr>
              <w:divsChild>
                <w:div w:id="1497068275">
                  <w:marLeft w:val="0"/>
                  <w:marRight w:val="0"/>
                  <w:marTop w:val="0"/>
                  <w:marBottom w:val="0"/>
                  <w:divBdr>
                    <w:top w:val="none" w:sz="0" w:space="0" w:color="auto"/>
                    <w:left w:val="none" w:sz="0" w:space="0" w:color="auto"/>
                    <w:bottom w:val="none" w:sz="0" w:space="0" w:color="auto"/>
                    <w:right w:val="none" w:sz="0" w:space="0" w:color="auto"/>
                  </w:divBdr>
                  <w:divsChild>
                    <w:div w:id="1554003891">
                      <w:marLeft w:val="0"/>
                      <w:marRight w:val="0"/>
                      <w:marTop w:val="0"/>
                      <w:marBottom w:val="0"/>
                      <w:divBdr>
                        <w:top w:val="none" w:sz="0" w:space="0" w:color="auto"/>
                        <w:left w:val="none" w:sz="0" w:space="0" w:color="auto"/>
                        <w:bottom w:val="none" w:sz="0" w:space="0" w:color="auto"/>
                        <w:right w:val="none" w:sz="0" w:space="0" w:color="auto"/>
                      </w:divBdr>
                      <w:divsChild>
                        <w:div w:id="1156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7717">
              <w:marLeft w:val="0"/>
              <w:marRight w:val="0"/>
              <w:marTop w:val="0"/>
              <w:marBottom w:val="0"/>
              <w:divBdr>
                <w:top w:val="none" w:sz="0" w:space="0" w:color="auto"/>
                <w:left w:val="none" w:sz="0" w:space="0" w:color="auto"/>
                <w:bottom w:val="none" w:sz="0" w:space="0" w:color="auto"/>
                <w:right w:val="none" w:sz="0" w:space="0" w:color="auto"/>
              </w:divBdr>
              <w:divsChild>
                <w:div w:id="1179658203">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735539854">
                          <w:marLeft w:val="0"/>
                          <w:marRight w:val="0"/>
                          <w:marTop w:val="0"/>
                          <w:marBottom w:val="0"/>
                          <w:divBdr>
                            <w:top w:val="none" w:sz="0" w:space="0" w:color="auto"/>
                            <w:left w:val="none" w:sz="0" w:space="0" w:color="auto"/>
                            <w:bottom w:val="none" w:sz="0" w:space="0" w:color="auto"/>
                            <w:right w:val="none" w:sz="0" w:space="0" w:color="auto"/>
                          </w:divBdr>
                          <w:divsChild>
                            <w:div w:id="643195967">
                              <w:marLeft w:val="0"/>
                              <w:marRight w:val="0"/>
                              <w:marTop w:val="0"/>
                              <w:marBottom w:val="0"/>
                              <w:divBdr>
                                <w:top w:val="none" w:sz="0" w:space="0" w:color="auto"/>
                                <w:left w:val="none" w:sz="0" w:space="0" w:color="auto"/>
                                <w:bottom w:val="none" w:sz="0" w:space="0" w:color="auto"/>
                                <w:right w:val="none" w:sz="0" w:space="0" w:color="auto"/>
                              </w:divBdr>
                            </w:div>
                            <w:div w:id="1199705714">
                              <w:marLeft w:val="0"/>
                              <w:marRight w:val="0"/>
                              <w:marTop w:val="0"/>
                              <w:marBottom w:val="0"/>
                              <w:divBdr>
                                <w:top w:val="none" w:sz="0" w:space="0" w:color="auto"/>
                                <w:left w:val="none" w:sz="0" w:space="0" w:color="auto"/>
                                <w:bottom w:val="none" w:sz="0" w:space="0" w:color="auto"/>
                                <w:right w:val="none" w:sz="0" w:space="0" w:color="auto"/>
                              </w:divBdr>
                            </w:div>
                            <w:div w:id="1483352072">
                              <w:marLeft w:val="0"/>
                              <w:marRight w:val="0"/>
                              <w:marTop w:val="0"/>
                              <w:marBottom w:val="0"/>
                              <w:divBdr>
                                <w:top w:val="none" w:sz="0" w:space="0" w:color="auto"/>
                                <w:left w:val="none" w:sz="0" w:space="0" w:color="auto"/>
                                <w:bottom w:val="none" w:sz="0" w:space="0" w:color="auto"/>
                                <w:right w:val="none" w:sz="0" w:space="0" w:color="auto"/>
                              </w:divBdr>
                            </w:div>
                            <w:div w:id="2073890072">
                              <w:marLeft w:val="0"/>
                              <w:marRight w:val="0"/>
                              <w:marTop w:val="0"/>
                              <w:marBottom w:val="0"/>
                              <w:divBdr>
                                <w:top w:val="none" w:sz="0" w:space="0" w:color="auto"/>
                                <w:left w:val="none" w:sz="0" w:space="0" w:color="auto"/>
                                <w:bottom w:val="none" w:sz="0" w:space="0" w:color="auto"/>
                                <w:right w:val="none" w:sz="0" w:space="0" w:color="auto"/>
                              </w:divBdr>
                            </w:div>
                          </w:divsChild>
                        </w:div>
                        <w:div w:id="2052151563">
                          <w:marLeft w:val="0"/>
                          <w:marRight w:val="0"/>
                          <w:marTop w:val="0"/>
                          <w:marBottom w:val="0"/>
                          <w:divBdr>
                            <w:top w:val="none" w:sz="0" w:space="0" w:color="auto"/>
                            <w:left w:val="none" w:sz="0" w:space="0" w:color="auto"/>
                            <w:bottom w:val="none" w:sz="0" w:space="0" w:color="auto"/>
                            <w:right w:val="none" w:sz="0" w:space="0" w:color="auto"/>
                          </w:divBdr>
                          <w:divsChild>
                            <w:div w:id="311716588">
                              <w:marLeft w:val="0"/>
                              <w:marRight w:val="0"/>
                              <w:marTop w:val="0"/>
                              <w:marBottom w:val="0"/>
                              <w:divBdr>
                                <w:top w:val="none" w:sz="0" w:space="0" w:color="auto"/>
                                <w:left w:val="none" w:sz="0" w:space="0" w:color="auto"/>
                                <w:bottom w:val="none" w:sz="0" w:space="0" w:color="auto"/>
                                <w:right w:val="none" w:sz="0" w:space="0" w:color="auto"/>
                              </w:divBdr>
                            </w:div>
                            <w:div w:id="721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117">
                      <w:marLeft w:val="0"/>
                      <w:marRight w:val="0"/>
                      <w:marTop w:val="0"/>
                      <w:marBottom w:val="0"/>
                      <w:divBdr>
                        <w:top w:val="none" w:sz="0" w:space="0" w:color="auto"/>
                        <w:left w:val="none" w:sz="0" w:space="0" w:color="auto"/>
                        <w:bottom w:val="none" w:sz="0" w:space="0" w:color="auto"/>
                        <w:right w:val="none" w:sz="0" w:space="0" w:color="auto"/>
                      </w:divBdr>
                      <w:divsChild>
                        <w:div w:id="121312119">
                          <w:marLeft w:val="0"/>
                          <w:marRight w:val="0"/>
                          <w:marTop w:val="0"/>
                          <w:marBottom w:val="0"/>
                          <w:divBdr>
                            <w:top w:val="none" w:sz="0" w:space="0" w:color="auto"/>
                            <w:left w:val="none" w:sz="0" w:space="0" w:color="auto"/>
                            <w:bottom w:val="none" w:sz="0" w:space="0" w:color="auto"/>
                            <w:right w:val="none" w:sz="0" w:space="0" w:color="auto"/>
                          </w:divBdr>
                          <w:divsChild>
                            <w:div w:id="1072583152">
                              <w:marLeft w:val="0"/>
                              <w:marRight w:val="0"/>
                              <w:marTop w:val="0"/>
                              <w:marBottom w:val="0"/>
                              <w:divBdr>
                                <w:top w:val="none" w:sz="0" w:space="0" w:color="auto"/>
                                <w:left w:val="none" w:sz="0" w:space="0" w:color="auto"/>
                                <w:bottom w:val="none" w:sz="0" w:space="0" w:color="auto"/>
                                <w:right w:val="none" w:sz="0" w:space="0" w:color="auto"/>
                              </w:divBdr>
                              <w:divsChild>
                                <w:div w:id="1300377031">
                                  <w:marLeft w:val="0"/>
                                  <w:marRight w:val="0"/>
                                  <w:marTop w:val="0"/>
                                  <w:marBottom w:val="0"/>
                                  <w:divBdr>
                                    <w:top w:val="none" w:sz="0" w:space="0" w:color="auto"/>
                                    <w:left w:val="none" w:sz="0" w:space="0" w:color="auto"/>
                                    <w:bottom w:val="none" w:sz="0" w:space="0" w:color="auto"/>
                                    <w:right w:val="none" w:sz="0" w:space="0" w:color="auto"/>
                                  </w:divBdr>
                                </w:div>
                                <w:div w:id="1549339140">
                                  <w:marLeft w:val="0"/>
                                  <w:marRight w:val="0"/>
                                  <w:marTop w:val="0"/>
                                  <w:marBottom w:val="0"/>
                                  <w:divBdr>
                                    <w:top w:val="none" w:sz="0" w:space="0" w:color="auto"/>
                                    <w:left w:val="none" w:sz="0" w:space="0" w:color="auto"/>
                                    <w:bottom w:val="none" w:sz="0" w:space="0" w:color="auto"/>
                                    <w:right w:val="none" w:sz="0" w:space="0" w:color="auto"/>
                                  </w:divBdr>
                                </w:div>
                                <w:div w:id="1949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454">
                          <w:marLeft w:val="0"/>
                          <w:marRight w:val="0"/>
                          <w:marTop w:val="0"/>
                          <w:marBottom w:val="0"/>
                          <w:divBdr>
                            <w:top w:val="none" w:sz="0" w:space="0" w:color="auto"/>
                            <w:left w:val="none" w:sz="0" w:space="0" w:color="auto"/>
                            <w:bottom w:val="none" w:sz="0" w:space="0" w:color="auto"/>
                            <w:right w:val="none" w:sz="0" w:space="0" w:color="auto"/>
                          </w:divBdr>
                          <w:divsChild>
                            <w:div w:id="641034426">
                              <w:marLeft w:val="0"/>
                              <w:marRight w:val="0"/>
                              <w:marTop w:val="0"/>
                              <w:marBottom w:val="0"/>
                              <w:divBdr>
                                <w:top w:val="none" w:sz="0" w:space="0" w:color="auto"/>
                                <w:left w:val="none" w:sz="0" w:space="0" w:color="auto"/>
                                <w:bottom w:val="none" w:sz="0" w:space="0" w:color="auto"/>
                                <w:right w:val="none" w:sz="0" w:space="0" w:color="auto"/>
                              </w:divBdr>
                            </w:div>
                            <w:div w:id="1203666120">
                              <w:marLeft w:val="0"/>
                              <w:marRight w:val="0"/>
                              <w:marTop w:val="0"/>
                              <w:marBottom w:val="0"/>
                              <w:divBdr>
                                <w:top w:val="none" w:sz="0" w:space="0" w:color="auto"/>
                                <w:left w:val="none" w:sz="0" w:space="0" w:color="auto"/>
                                <w:bottom w:val="none" w:sz="0" w:space="0" w:color="auto"/>
                                <w:right w:val="none" w:sz="0" w:space="0" w:color="auto"/>
                              </w:divBdr>
                            </w:div>
                            <w:div w:id="1571890604">
                              <w:marLeft w:val="240"/>
                              <w:marRight w:val="0"/>
                              <w:marTop w:val="0"/>
                              <w:marBottom w:val="0"/>
                              <w:divBdr>
                                <w:top w:val="none" w:sz="0" w:space="0" w:color="auto"/>
                                <w:left w:val="none" w:sz="0" w:space="0" w:color="auto"/>
                                <w:bottom w:val="none" w:sz="0" w:space="0" w:color="auto"/>
                                <w:right w:val="none" w:sz="0" w:space="0" w:color="auto"/>
                              </w:divBdr>
                              <w:divsChild>
                                <w:div w:id="1621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7485">
                      <w:marLeft w:val="0"/>
                      <w:marRight w:val="0"/>
                      <w:marTop w:val="0"/>
                      <w:marBottom w:val="0"/>
                      <w:divBdr>
                        <w:top w:val="none" w:sz="0" w:space="0" w:color="auto"/>
                        <w:left w:val="none" w:sz="0" w:space="0" w:color="auto"/>
                        <w:bottom w:val="none" w:sz="0" w:space="0" w:color="auto"/>
                        <w:right w:val="none" w:sz="0" w:space="0" w:color="auto"/>
                      </w:divBdr>
                      <w:divsChild>
                        <w:div w:id="1083457859">
                          <w:marLeft w:val="0"/>
                          <w:marRight w:val="0"/>
                          <w:marTop w:val="0"/>
                          <w:marBottom w:val="0"/>
                          <w:divBdr>
                            <w:top w:val="none" w:sz="0" w:space="0" w:color="auto"/>
                            <w:left w:val="none" w:sz="0" w:space="0" w:color="auto"/>
                            <w:bottom w:val="none" w:sz="0" w:space="0" w:color="auto"/>
                            <w:right w:val="none" w:sz="0" w:space="0" w:color="auto"/>
                          </w:divBdr>
                          <w:divsChild>
                            <w:div w:id="167214236">
                              <w:marLeft w:val="0"/>
                              <w:marRight w:val="0"/>
                              <w:marTop w:val="0"/>
                              <w:marBottom w:val="0"/>
                              <w:divBdr>
                                <w:top w:val="none" w:sz="0" w:space="0" w:color="auto"/>
                                <w:left w:val="none" w:sz="0" w:space="0" w:color="auto"/>
                                <w:bottom w:val="none" w:sz="0" w:space="0" w:color="auto"/>
                                <w:right w:val="none" w:sz="0" w:space="0" w:color="auto"/>
                              </w:divBdr>
                            </w:div>
                            <w:div w:id="176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836">
                      <w:marLeft w:val="0"/>
                      <w:marRight w:val="0"/>
                      <w:marTop w:val="0"/>
                      <w:marBottom w:val="0"/>
                      <w:divBdr>
                        <w:top w:val="none" w:sz="0" w:space="0" w:color="auto"/>
                        <w:left w:val="none" w:sz="0" w:space="0" w:color="auto"/>
                        <w:bottom w:val="none" w:sz="0" w:space="0" w:color="auto"/>
                        <w:right w:val="none" w:sz="0" w:space="0" w:color="auto"/>
                      </w:divBdr>
                      <w:divsChild>
                        <w:div w:id="1622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659">
              <w:marLeft w:val="0"/>
              <w:marRight w:val="0"/>
              <w:marTop w:val="0"/>
              <w:marBottom w:val="0"/>
              <w:divBdr>
                <w:top w:val="none" w:sz="0" w:space="0" w:color="auto"/>
                <w:left w:val="none" w:sz="0" w:space="0" w:color="auto"/>
                <w:bottom w:val="none" w:sz="0" w:space="0" w:color="auto"/>
                <w:right w:val="none" w:sz="0" w:space="0" w:color="auto"/>
              </w:divBdr>
              <w:divsChild>
                <w:div w:id="163127558">
                  <w:marLeft w:val="0"/>
                  <w:marRight w:val="0"/>
                  <w:marTop w:val="0"/>
                  <w:marBottom w:val="0"/>
                  <w:divBdr>
                    <w:top w:val="none" w:sz="0" w:space="0" w:color="auto"/>
                    <w:left w:val="none" w:sz="0" w:space="0" w:color="auto"/>
                    <w:bottom w:val="none" w:sz="0" w:space="0" w:color="auto"/>
                    <w:right w:val="none" w:sz="0" w:space="0" w:color="auto"/>
                  </w:divBdr>
                  <w:divsChild>
                    <w:div w:id="719330850">
                      <w:marLeft w:val="0"/>
                      <w:marRight w:val="0"/>
                      <w:marTop w:val="0"/>
                      <w:marBottom w:val="0"/>
                      <w:divBdr>
                        <w:top w:val="none" w:sz="0" w:space="0" w:color="auto"/>
                        <w:left w:val="none" w:sz="0" w:space="0" w:color="auto"/>
                        <w:bottom w:val="none" w:sz="0" w:space="0" w:color="auto"/>
                        <w:right w:val="none" w:sz="0" w:space="0" w:color="auto"/>
                      </w:divBdr>
                      <w:divsChild>
                        <w:div w:id="1965883857">
                          <w:marLeft w:val="0"/>
                          <w:marRight w:val="0"/>
                          <w:marTop w:val="0"/>
                          <w:marBottom w:val="0"/>
                          <w:divBdr>
                            <w:top w:val="none" w:sz="0" w:space="0" w:color="auto"/>
                            <w:left w:val="none" w:sz="0" w:space="0" w:color="auto"/>
                            <w:bottom w:val="none" w:sz="0" w:space="0" w:color="auto"/>
                            <w:right w:val="none" w:sz="0" w:space="0" w:color="auto"/>
                          </w:divBdr>
                          <w:divsChild>
                            <w:div w:id="1247687149">
                              <w:marLeft w:val="0"/>
                              <w:marRight w:val="0"/>
                              <w:marTop w:val="0"/>
                              <w:marBottom w:val="0"/>
                              <w:divBdr>
                                <w:top w:val="none" w:sz="0" w:space="0" w:color="auto"/>
                                <w:left w:val="none" w:sz="0" w:space="0" w:color="auto"/>
                                <w:bottom w:val="none" w:sz="0" w:space="0" w:color="auto"/>
                                <w:right w:val="none" w:sz="0" w:space="0" w:color="auto"/>
                              </w:divBdr>
                            </w:div>
                            <w:div w:id="1264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900">
                  <w:marLeft w:val="0"/>
                  <w:marRight w:val="0"/>
                  <w:marTop w:val="0"/>
                  <w:marBottom w:val="0"/>
                  <w:divBdr>
                    <w:top w:val="none" w:sz="0" w:space="0" w:color="auto"/>
                    <w:left w:val="none" w:sz="0" w:space="0" w:color="auto"/>
                    <w:bottom w:val="none" w:sz="0" w:space="0" w:color="auto"/>
                    <w:right w:val="none" w:sz="0" w:space="0" w:color="auto"/>
                  </w:divBdr>
                  <w:divsChild>
                    <w:div w:id="1274747083">
                      <w:marLeft w:val="0"/>
                      <w:marRight w:val="0"/>
                      <w:marTop w:val="0"/>
                      <w:marBottom w:val="0"/>
                      <w:divBdr>
                        <w:top w:val="none" w:sz="0" w:space="0" w:color="auto"/>
                        <w:left w:val="none" w:sz="0" w:space="0" w:color="auto"/>
                        <w:bottom w:val="none" w:sz="0" w:space="0" w:color="auto"/>
                        <w:right w:val="none" w:sz="0" w:space="0" w:color="auto"/>
                      </w:divBdr>
                      <w:divsChild>
                        <w:div w:id="573322516">
                          <w:marLeft w:val="0"/>
                          <w:marRight w:val="0"/>
                          <w:marTop w:val="0"/>
                          <w:marBottom w:val="0"/>
                          <w:divBdr>
                            <w:top w:val="none" w:sz="0" w:space="0" w:color="auto"/>
                            <w:left w:val="none" w:sz="0" w:space="0" w:color="auto"/>
                            <w:bottom w:val="none" w:sz="0" w:space="0" w:color="auto"/>
                            <w:right w:val="none" w:sz="0" w:space="0" w:color="auto"/>
                          </w:divBdr>
                          <w:divsChild>
                            <w:div w:id="1111315744">
                              <w:marLeft w:val="0"/>
                              <w:marRight w:val="0"/>
                              <w:marTop w:val="0"/>
                              <w:marBottom w:val="0"/>
                              <w:divBdr>
                                <w:top w:val="none" w:sz="0" w:space="0" w:color="auto"/>
                                <w:left w:val="none" w:sz="0" w:space="0" w:color="auto"/>
                                <w:bottom w:val="none" w:sz="0" w:space="0" w:color="auto"/>
                                <w:right w:val="none" w:sz="0" w:space="0" w:color="auto"/>
                              </w:divBdr>
                            </w:div>
                            <w:div w:id="1257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00381">
                  <w:marLeft w:val="0"/>
                  <w:marRight w:val="0"/>
                  <w:marTop w:val="0"/>
                  <w:marBottom w:val="0"/>
                  <w:divBdr>
                    <w:top w:val="none" w:sz="0" w:space="0" w:color="auto"/>
                    <w:left w:val="none" w:sz="0" w:space="0" w:color="auto"/>
                    <w:bottom w:val="none" w:sz="0" w:space="0" w:color="auto"/>
                    <w:right w:val="none" w:sz="0" w:space="0" w:color="auto"/>
                  </w:divBdr>
                </w:div>
                <w:div w:id="1531991041">
                  <w:marLeft w:val="0"/>
                  <w:marRight w:val="0"/>
                  <w:marTop w:val="0"/>
                  <w:marBottom w:val="0"/>
                  <w:divBdr>
                    <w:top w:val="none" w:sz="0" w:space="0" w:color="auto"/>
                    <w:left w:val="none" w:sz="0" w:space="0" w:color="auto"/>
                    <w:bottom w:val="none" w:sz="0" w:space="0" w:color="auto"/>
                    <w:right w:val="none" w:sz="0" w:space="0" w:color="auto"/>
                  </w:divBdr>
                  <w:divsChild>
                    <w:div w:id="1439374934">
                      <w:marLeft w:val="0"/>
                      <w:marRight w:val="0"/>
                      <w:marTop w:val="0"/>
                      <w:marBottom w:val="0"/>
                      <w:divBdr>
                        <w:top w:val="none" w:sz="0" w:space="0" w:color="auto"/>
                        <w:left w:val="none" w:sz="0" w:space="0" w:color="auto"/>
                        <w:bottom w:val="none" w:sz="0" w:space="0" w:color="auto"/>
                        <w:right w:val="none" w:sz="0" w:space="0" w:color="auto"/>
                      </w:divBdr>
                      <w:divsChild>
                        <w:div w:id="1642686003">
                          <w:marLeft w:val="0"/>
                          <w:marRight w:val="0"/>
                          <w:marTop w:val="0"/>
                          <w:marBottom w:val="0"/>
                          <w:divBdr>
                            <w:top w:val="none" w:sz="0" w:space="0" w:color="auto"/>
                            <w:left w:val="none" w:sz="0" w:space="0" w:color="auto"/>
                            <w:bottom w:val="none" w:sz="0" w:space="0" w:color="auto"/>
                            <w:right w:val="none" w:sz="0" w:space="0" w:color="auto"/>
                          </w:divBdr>
                          <w:divsChild>
                            <w:div w:id="955674194">
                              <w:marLeft w:val="0"/>
                              <w:marRight w:val="0"/>
                              <w:marTop w:val="0"/>
                              <w:marBottom w:val="0"/>
                              <w:divBdr>
                                <w:top w:val="none" w:sz="0" w:space="0" w:color="auto"/>
                                <w:left w:val="none" w:sz="0" w:space="0" w:color="auto"/>
                                <w:bottom w:val="none" w:sz="0" w:space="0" w:color="auto"/>
                                <w:right w:val="none" w:sz="0" w:space="0" w:color="auto"/>
                              </w:divBdr>
                            </w:div>
                            <w:div w:id="1817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6046">
              <w:marLeft w:val="0"/>
              <w:marRight w:val="0"/>
              <w:marTop w:val="0"/>
              <w:marBottom w:val="0"/>
              <w:divBdr>
                <w:top w:val="none" w:sz="0" w:space="0" w:color="auto"/>
                <w:left w:val="none" w:sz="0" w:space="0" w:color="auto"/>
                <w:bottom w:val="none" w:sz="0" w:space="0" w:color="auto"/>
                <w:right w:val="none" w:sz="0" w:space="0" w:color="auto"/>
              </w:divBdr>
              <w:divsChild>
                <w:div w:id="1511989828">
                  <w:marLeft w:val="0"/>
                  <w:marRight w:val="0"/>
                  <w:marTop w:val="0"/>
                  <w:marBottom w:val="0"/>
                  <w:divBdr>
                    <w:top w:val="none" w:sz="0" w:space="0" w:color="auto"/>
                    <w:left w:val="none" w:sz="0" w:space="0" w:color="auto"/>
                    <w:bottom w:val="none" w:sz="0" w:space="0" w:color="auto"/>
                    <w:right w:val="none" w:sz="0" w:space="0" w:color="auto"/>
                  </w:divBdr>
                </w:div>
              </w:divsChild>
            </w:div>
            <w:div w:id="577137169">
              <w:marLeft w:val="0"/>
              <w:marRight w:val="0"/>
              <w:marTop w:val="0"/>
              <w:marBottom w:val="0"/>
              <w:divBdr>
                <w:top w:val="none" w:sz="0" w:space="0" w:color="auto"/>
                <w:left w:val="none" w:sz="0" w:space="0" w:color="auto"/>
                <w:bottom w:val="none" w:sz="0" w:space="0" w:color="auto"/>
                <w:right w:val="none" w:sz="0" w:space="0" w:color="auto"/>
              </w:divBdr>
            </w:div>
            <w:div w:id="599678122">
              <w:marLeft w:val="0"/>
              <w:marRight w:val="0"/>
              <w:marTop w:val="0"/>
              <w:marBottom w:val="0"/>
              <w:divBdr>
                <w:top w:val="none" w:sz="0" w:space="0" w:color="auto"/>
                <w:left w:val="none" w:sz="0" w:space="0" w:color="auto"/>
                <w:bottom w:val="none" w:sz="0" w:space="0" w:color="auto"/>
                <w:right w:val="none" w:sz="0" w:space="0" w:color="auto"/>
              </w:divBdr>
              <w:divsChild>
                <w:div w:id="1123038813">
                  <w:marLeft w:val="0"/>
                  <w:marRight w:val="0"/>
                  <w:marTop w:val="0"/>
                  <w:marBottom w:val="0"/>
                  <w:divBdr>
                    <w:top w:val="none" w:sz="0" w:space="0" w:color="auto"/>
                    <w:left w:val="none" w:sz="0" w:space="0" w:color="auto"/>
                    <w:bottom w:val="none" w:sz="0" w:space="0" w:color="auto"/>
                    <w:right w:val="none" w:sz="0" w:space="0" w:color="auto"/>
                  </w:divBdr>
                </w:div>
                <w:div w:id="1494563259">
                  <w:marLeft w:val="0"/>
                  <w:marRight w:val="0"/>
                  <w:marTop w:val="0"/>
                  <w:marBottom w:val="0"/>
                  <w:divBdr>
                    <w:top w:val="none" w:sz="0" w:space="0" w:color="auto"/>
                    <w:left w:val="none" w:sz="0" w:space="0" w:color="auto"/>
                    <w:bottom w:val="none" w:sz="0" w:space="0" w:color="auto"/>
                    <w:right w:val="none" w:sz="0" w:space="0" w:color="auto"/>
                  </w:divBdr>
                </w:div>
                <w:div w:id="1585143576">
                  <w:marLeft w:val="0"/>
                  <w:marRight w:val="0"/>
                  <w:marTop w:val="0"/>
                  <w:marBottom w:val="0"/>
                  <w:divBdr>
                    <w:top w:val="none" w:sz="0" w:space="0" w:color="auto"/>
                    <w:left w:val="none" w:sz="0" w:space="0" w:color="auto"/>
                    <w:bottom w:val="none" w:sz="0" w:space="0" w:color="auto"/>
                    <w:right w:val="none" w:sz="0" w:space="0" w:color="auto"/>
                  </w:divBdr>
                </w:div>
              </w:divsChild>
            </w:div>
            <w:div w:id="715010313">
              <w:marLeft w:val="0"/>
              <w:marRight w:val="0"/>
              <w:marTop w:val="0"/>
              <w:marBottom w:val="0"/>
              <w:divBdr>
                <w:top w:val="none" w:sz="0" w:space="0" w:color="auto"/>
                <w:left w:val="none" w:sz="0" w:space="0" w:color="auto"/>
                <w:bottom w:val="none" w:sz="0" w:space="0" w:color="auto"/>
                <w:right w:val="none" w:sz="0" w:space="0" w:color="auto"/>
              </w:divBdr>
            </w:div>
            <w:div w:id="1046178752">
              <w:marLeft w:val="0"/>
              <w:marRight w:val="0"/>
              <w:marTop w:val="0"/>
              <w:marBottom w:val="0"/>
              <w:divBdr>
                <w:top w:val="none" w:sz="0" w:space="0" w:color="auto"/>
                <w:left w:val="none" w:sz="0" w:space="0" w:color="auto"/>
                <w:bottom w:val="none" w:sz="0" w:space="0" w:color="auto"/>
                <w:right w:val="none" w:sz="0" w:space="0" w:color="auto"/>
              </w:divBdr>
              <w:divsChild>
                <w:div w:id="2077313808">
                  <w:marLeft w:val="0"/>
                  <w:marRight w:val="0"/>
                  <w:marTop w:val="0"/>
                  <w:marBottom w:val="0"/>
                  <w:divBdr>
                    <w:top w:val="none" w:sz="0" w:space="0" w:color="auto"/>
                    <w:left w:val="none" w:sz="0" w:space="0" w:color="auto"/>
                    <w:bottom w:val="none" w:sz="0" w:space="0" w:color="auto"/>
                    <w:right w:val="none" w:sz="0" w:space="0" w:color="auto"/>
                  </w:divBdr>
                  <w:divsChild>
                    <w:div w:id="854424224">
                      <w:marLeft w:val="0"/>
                      <w:marRight w:val="0"/>
                      <w:marTop w:val="0"/>
                      <w:marBottom w:val="0"/>
                      <w:divBdr>
                        <w:top w:val="none" w:sz="0" w:space="0" w:color="auto"/>
                        <w:left w:val="none" w:sz="0" w:space="0" w:color="auto"/>
                        <w:bottom w:val="none" w:sz="0" w:space="0" w:color="auto"/>
                        <w:right w:val="none" w:sz="0" w:space="0" w:color="auto"/>
                      </w:divBdr>
                      <w:divsChild>
                        <w:div w:id="1170172271">
                          <w:marLeft w:val="0"/>
                          <w:marRight w:val="0"/>
                          <w:marTop w:val="0"/>
                          <w:marBottom w:val="0"/>
                          <w:divBdr>
                            <w:top w:val="none" w:sz="0" w:space="0" w:color="auto"/>
                            <w:left w:val="none" w:sz="0" w:space="0" w:color="auto"/>
                            <w:bottom w:val="none" w:sz="0" w:space="0" w:color="auto"/>
                            <w:right w:val="none" w:sz="0" w:space="0" w:color="auto"/>
                          </w:divBdr>
                        </w:div>
                        <w:div w:id="17055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279">
              <w:marLeft w:val="0"/>
              <w:marRight w:val="0"/>
              <w:marTop w:val="0"/>
              <w:marBottom w:val="0"/>
              <w:divBdr>
                <w:top w:val="none" w:sz="0" w:space="0" w:color="auto"/>
                <w:left w:val="none" w:sz="0" w:space="0" w:color="auto"/>
                <w:bottom w:val="none" w:sz="0" w:space="0" w:color="auto"/>
                <w:right w:val="none" w:sz="0" w:space="0" w:color="auto"/>
              </w:divBdr>
              <w:divsChild>
                <w:div w:id="626739941">
                  <w:marLeft w:val="0"/>
                  <w:marRight w:val="0"/>
                  <w:marTop w:val="0"/>
                  <w:marBottom w:val="0"/>
                  <w:divBdr>
                    <w:top w:val="none" w:sz="0" w:space="0" w:color="auto"/>
                    <w:left w:val="none" w:sz="0" w:space="0" w:color="auto"/>
                    <w:bottom w:val="none" w:sz="0" w:space="0" w:color="auto"/>
                    <w:right w:val="none" w:sz="0" w:space="0" w:color="auto"/>
                  </w:divBdr>
                </w:div>
              </w:divsChild>
            </w:div>
            <w:div w:id="1226259277">
              <w:marLeft w:val="0"/>
              <w:marRight w:val="0"/>
              <w:marTop w:val="0"/>
              <w:marBottom w:val="0"/>
              <w:divBdr>
                <w:top w:val="none" w:sz="0" w:space="0" w:color="auto"/>
                <w:left w:val="none" w:sz="0" w:space="0" w:color="auto"/>
                <w:bottom w:val="none" w:sz="0" w:space="0" w:color="auto"/>
                <w:right w:val="none" w:sz="0" w:space="0" w:color="auto"/>
              </w:divBdr>
              <w:divsChild>
                <w:div w:id="126288957">
                  <w:marLeft w:val="0"/>
                  <w:marRight w:val="0"/>
                  <w:marTop w:val="0"/>
                  <w:marBottom w:val="0"/>
                  <w:divBdr>
                    <w:top w:val="none" w:sz="0" w:space="0" w:color="auto"/>
                    <w:left w:val="none" w:sz="0" w:space="0" w:color="auto"/>
                    <w:bottom w:val="none" w:sz="0" w:space="0" w:color="auto"/>
                    <w:right w:val="none" w:sz="0" w:space="0" w:color="auto"/>
                  </w:divBdr>
                </w:div>
                <w:div w:id="473377563">
                  <w:marLeft w:val="0"/>
                  <w:marRight w:val="0"/>
                  <w:marTop w:val="0"/>
                  <w:marBottom w:val="0"/>
                  <w:divBdr>
                    <w:top w:val="none" w:sz="0" w:space="0" w:color="auto"/>
                    <w:left w:val="none" w:sz="0" w:space="0" w:color="auto"/>
                    <w:bottom w:val="none" w:sz="0" w:space="0" w:color="auto"/>
                    <w:right w:val="none" w:sz="0" w:space="0" w:color="auto"/>
                  </w:divBdr>
                </w:div>
                <w:div w:id="531109021">
                  <w:marLeft w:val="0"/>
                  <w:marRight w:val="0"/>
                  <w:marTop w:val="0"/>
                  <w:marBottom w:val="0"/>
                  <w:divBdr>
                    <w:top w:val="none" w:sz="0" w:space="0" w:color="auto"/>
                    <w:left w:val="none" w:sz="0" w:space="0" w:color="auto"/>
                    <w:bottom w:val="none" w:sz="0" w:space="0" w:color="auto"/>
                    <w:right w:val="none" w:sz="0" w:space="0" w:color="auto"/>
                  </w:divBdr>
                  <w:divsChild>
                    <w:div w:id="439883415">
                      <w:marLeft w:val="0"/>
                      <w:marRight w:val="0"/>
                      <w:marTop w:val="0"/>
                      <w:marBottom w:val="0"/>
                      <w:divBdr>
                        <w:top w:val="none" w:sz="0" w:space="0" w:color="auto"/>
                        <w:left w:val="none" w:sz="0" w:space="0" w:color="auto"/>
                        <w:bottom w:val="none" w:sz="0" w:space="0" w:color="auto"/>
                        <w:right w:val="none" w:sz="0" w:space="0" w:color="auto"/>
                      </w:divBdr>
                      <w:divsChild>
                        <w:div w:id="792292453">
                          <w:marLeft w:val="0"/>
                          <w:marRight w:val="0"/>
                          <w:marTop w:val="0"/>
                          <w:marBottom w:val="0"/>
                          <w:divBdr>
                            <w:top w:val="none" w:sz="0" w:space="0" w:color="auto"/>
                            <w:left w:val="none" w:sz="0" w:space="0" w:color="auto"/>
                            <w:bottom w:val="none" w:sz="0" w:space="0" w:color="auto"/>
                            <w:right w:val="none" w:sz="0" w:space="0" w:color="auto"/>
                          </w:divBdr>
                          <w:divsChild>
                            <w:div w:id="275598005">
                              <w:marLeft w:val="0"/>
                              <w:marRight w:val="0"/>
                              <w:marTop w:val="0"/>
                              <w:marBottom w:val="0"/>
                              <w:divBdr>
                                <w:top w:val="none" w:sz="0" w:space="0" w:color="auto"/>
                                <w:left w:val="none" w:sz="0" w:space="0" w:color="auto"/>
                                <w:bottom w:val="none" w:sz="0" w:space="0" w:color="auto"/>
                                <w:right w:val="none" w:sz="0" w:space="0" w:color="auto"/>
                              </w:divBdr>
                            </w:div>
                            <w:div w:id="956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154">
                      <w:marLeft w:val="0"/>
                      <w:marRight w:val="0"/>
                      <w:marTop w:val="0"/>
                      <w:marBottom w:val="0"/>
                      <w:divBdr>
                        <w:top w:val="none" w:sz="0" w:space="0" w:color="auto"/>
                        <w:left w:val="none" w:sz="0" w:space="0" w:color="auto"/>
                        <w:bottom w:val="none" w:sz="0" w:space="0" w:color="auto"/>
                        <w:right w:val="none" w:sz="0" w:space="0" w:color="auto"/>
                      </w:divBdr>
                      <w:divsChild>
                        <w:div w:id="1091387071">
                          <w:marLeft w:val="0"/>
                          <w:marRight w:val="0"/>
                          <w:marTop w:val="0"/>
                          <w:marBottom w:val="0"/>
                          <w:divBdr>
                            <w:top w:val="none" w:sz="0" w:space="0" w:color="auto"/>
                            <w:left w:val="none" w:sz="0" w:space="0" w:color="auto"/>
                            <w:bottom w:val="none" w:sz="0" w:space="0" w:color="auto"/>
                            <w:right w:val="none" w:sz="0" w:space="0" w:color="auto"/>
                          </w:divBdr>
                          <w:divsChild>
                            <w:div w:id="244150732">
                              <w:marLeft w:val="0"/>
                              <w:marRight w:val="0"/>
                              <w:marTop w:val="0"/>
                              <w:marBottom w:val="0"/>
                              <w:divBdr>
                                <w:top w:val="none" w:sz="0" w:space="0" w:color="auto"/>
                                <w:left w:val="none" w:sz="0" w:space="0" w:color="auto"/>
                                <w:bottom w:val="none" w:sz="0" w:space="0" w:color="auto"/>
                                <w:right w:val="none" w:sz="0" w:space="0" w:color="auto"/>
                              </w:divBdr>
                            </w:div>
                            <w:div w:id="5784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6851">
                  <w:marLeft w:val="0"/>
                  <w:marRight w:val="0"/>
                  <w:marTop w:val="0"/>
                  <w:marBottom w:val="0"/>
                  <w:divBdr>
                    <w:top w:val="none" w:sz="0" w:space="0" w:color="auto"/>
                    <w:left w:val="none" w:sz="0" w:space="0" w:color="auto"/>
                    <w:bottom w:val="none" w:sz="0" w:space="0" w:color="auto"/>
                    <w:right w:val="none" w:sz="0" w:space="0" w:color="auto"/>
                  </w:divBdr>
                  <w:divsChild>
                    <w:div w:id="417482711">
                      <w:marLeft w:val="0"/>
                      <w:marRight w:val="0"/>
                      <w:marTop w:val="0"/>
                      <w:marBottom w:val="0"/>
                      <w:divBdr>
                        <w:top w:val="none" w:sz="0" w:space="0" w:color="auto"/>
                        <w:left w:val="none" w:sz="0" w:space="0" w:color="auto"/>
                        <w:bottom w:val="none" w:sz="0" w:space="0" w:color="auto"/>
                        <w:right w:val="none" w:sz="0" w:space="0" w:color="auto"/>
                      </w:divBdr>
                      <w:divsChild>
                        <w:div w:id="869491966">
                          <w:marLeft w:val="0"/>
                          <w:marRight w:val="0"/>
                          <w:marTop w:val="0"/>
                          <w:marBottom w:val="0"/>
                          <w:divBdr>
                            <w:top w:val="none" w:sz="0" w:space="0" w:color="auto"/>
                            <w:left w:val="none" w:sz="0" w:space="0" w:color="auto"/>
                            <w:bottom w:val="none" w:sz="0" w:space="0" w:color="auto"/>
                            <w:right w:val="none" w:sz="0" w:space="0" w:color="auto"/>
                          </w:divBdr>
                          <w:divsChild>
                            <w:div w:id="1612011639">
                              <w:marLeft w:val="0"/>
                              <w:marRight w:val="0"/>
                              <w:marTop w:val="0"/>
                              <w:marBottom w:val="0"/>
                              <w:divBdr>
                                <w:top w:val="none" w:sz="0" w:space="0" w:color="auto"/>
                                <w:left w:val="none" w:sz="0" w:space="0" w:color="auto"/>
                                <w:bottom w:val="none" w:sz="0" w:space="0" w:color="auto"/>
                                <w:right w:val="none" w:sz="0" w:space="0" w:color="auto"/>
                              </w:divBdr>
                            </w:div>
                            <w:div w:id="2124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013">
                  <w:marLeft w:val="0"/>
                  <w:marRight w:val="0"/>
                  <w:marTop w:val="0"/>
                  <w:marBottom w:val="0"/>
                  <w:divBdr>
                    <w:top w:val="none" w:sz="0" w:space="0" w:color="auto"/>
                    <w:left w:val="none" w:sz="0" w:space="0" w:color="auto"/>
                    <w:bottom w:val="none" w:sz="0" w:space="0" w:color="auto"/>
                    <w:right w:val="none" w:sz="0" w:space="0" w:color="auto"/>
                  </w:divBdr>
                </w:div>
                <w:div w:id="2130513467">
                  <w:marLeft w:val="0"/>
                  <w:marRight w:val="0"/>
                  <w:marTop w:val="0"/>
                  <w:marBottom w:val="0"/>
                  <w:divBdr>
                    <w:top w:val="none" w:sz="0" w:space="0" w:color="auto"/>
                    <w:left w:val="none" w:sz="0" w:space="0" w:color="auto"/>
                    <w:bottom w:val="none" w:sz="0" w:space="0" w:color="auto"/>
                    <w:right w:val="none" w:sz="0" w:space="0" w:color="auto"/>
                  </w:divBdr>
                </w:div>
              </w:divsChild>
            </w:div>
            <w:div w:id="1456175203">
              <w:marLeft w:val="0"/>
              <w:marRight w:val="0"/>
              <w:marTop w:val="0"/>
              <w:marBottom w:val="0"/>
              <w:divBdr>
                <w:top w:val="none" w:sz="0" w:space="0" w:color="auto"/>
                <w:left w:val="none" w:sz="0" w:space="0" w:color="auto"/>
                <w:bottom w:val="none" w:sz="0" w:space="0" w:color="auto"/>
                <w:right w:val="none" w:sz="0" w:space="0" w:color="auto"/>
              </w:divBdr>
              <w:divsChild>
                <w:div w:id="1941790168">
                  <w:marLeft w:val="0"/>
                  <w:marRight w:val="0"/>
                  <w:marTop w:val="0"/>
                  <w:marBottom w:val="0"/>
                  <w:divBdr>
                    <w:top w:val="none" w:sz="0" w:space="0" w:color="auto"/>
                    <w:left w:val="none" w:sz="0" w:space="0" w:color="auto"/>
                    <w:bottom w:val="none" w:sz="0" w:space="0" w:color="auto"/>
                    <w:right w:val="none" w:sz="0" w:space="0" w:color="auto"/>
                  </w:divBdr>
                </w:div>
                <w:div w:id="2093039316">
                  <w:marLeft w:val="0"/>
                  <w:marRight w:val="0"/>
                  <w:marTop w:val="0"/>
                  <w:marBottom w:val="0"/>
                  <w:divBdr>
                    <w:top w:val="none" w:sz="0" w:space="0" w:color="auto"/>
                    <w:left w:val="none" w:sz="0" w:space="0" w:color="auto"/>
                    <w:bottom w:val="none" w:sz="0" w:space="0" w:color="auto"/>
                    <w:right w:val="none" w:sz="0" w:space="0" w:color="auto"/>
                  </w:divBdr>
                </w:div>
              </w:divsChild>
            </w:div>
            <w:div w:id="1827476266">
              <w:marLeft w:val="0"/>
              <w:marRight w:val="0"/>
              <w:marTop w:val="0"/>
              <w:marBottom w:val="0"/>
              <w:divBdr>
                <w:top w:val="none" w:sz="0" w:space="0" w:color="auto"/>
                <w:left w:val="none" w:sz="0" w:space="0" w:color="auto"/>
                <w:bottom w:val="none" w:sz="0" w:space="0" w:color="auto"/>
                <w:right w:val="none" w:sz="0" w:space="0" w:color="auto"/>
              </w:divBdr>
              <w:divsChild>
                <w:div w:id="195585539">
                  <w:marLeft w:val="0"/>
                  <w:marRight w:val="0"/>
                  <w:marTop w:val="0"/>
                  <w:marBottom w:val="0"/>
                  <w:divBdr>
                    <w:top w:val="none" w:sz="0" w:space="0" w:color="auto"/>
                    <w:left w:val="none" w:sz="0" w:space="0" w:color="auto"/>
                    <w:bottom w:val="none" w:sz="0" w:space="0" w:color="auto"/>
                    <w:right w:val="none" w:sz="0" w:space="0" w:color="auto"/>
                  </w:divBdr>
                  <w:divsChild>
                    <w:div w:id="1208682830">
                      <w:marLeft w:val="0"/>
                      <w:marRight w:val="0"/>
                      <w:marTop w:val="0"/>
                      <w:marBottom w:val="0"/>
                      <w:divBdr>
                        <w:top w:val="none" w:sz="0" w:space="0" w:color="auto"/>
                        <w:left w:val="none" w:sz="0" w:space="0" w:color="auto"/>
                        <w:bottom w:val="none" w:sz="0" w:space="0" w:color="auto"/>
                        <w:right w:val="none" w:sz="0" w:space="0" w:color="auto"/>
                      </w:divBdr>
                      <w:divsChild>
                        <w:div w:id="211037675">
                          <w:marLeft w:val="0"/>
                          <w:marRight w:val="0"/>
                          <w:marTop w:val="0"/>
                          <w:marBottom w:val="0"/>
                          <w:divBdr>
                            <w:top w:val="none" w:sz="0" w:space="0" w:color="auto"/>
                            <w:left w:val="none" w:sz="0" w:space="0" w:color="auto"/>
                            <w:bottom w:val="none" w:sz="0" w:space="0" w:color="auto"/>
                            <w:right w:val="none" w:sz="0" w:space="0" w:color="auto"/>
                          </w:divBdr>
                        </w:div>
                        <w:div w:id="339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815">
                  <w:marLeft w:val="0"/>
                  <w:marRight w:val="0"/>
                  <w:marTop w:val="0"/>
                  <w:marBottom w:val="0"/>
                  <w:divBdr>
                    <w:top w:val="none" w:sz="0" w:space="0" w:color="auto"/>
                    <w:left w:val="none" w:sz="0" w:space="0" w:color="auto"/>
                    <w:bottom w:val="none" w:sz="0" w:space="0" w:color="auto"/>
                    <w:right w:val="none" w:sz="0" w:space="0" w:color="auto"/>
                  </w:divBdr>
                  <w:divsChild>
                    <w:div w:id="1828281248">
                      <w:marLeft w:val="0"/>
                      <w:marRight w:val="0"/>
                      <w:marTop w:val="0"/>
                      <w:marBottom w:val="0"/>
                      <w:divBdr>
                        <w:top w:val="none" w:sz="0" w:space="0" w:color="auto"/>
                        <w:left w:val="none" w:sz="0" w:space="0" w:color="auto"/>
                        <w:bottom w:val="none" w:sz="0" w:space="0" w:color="auto"/>
                        <w:right w:val="none" w:sz="0" w:space="0" w:color="auto"/>
                      </w:divBdr>
                      <w:divsChild>
                        <w:div w:id="650136020">
                          <w:marLeft w:val="0"/>
                          <w:marRight w:val="0"/>
                          <w:marTop w:val="0"/>
                          <w:marBottom w:val="0"/>
                          <w:divBdr>
                            <w:top w:val="none" w:sz="0" w:space="0" w:color="auto"/>
                            <w:left w:val="none" w:sz="0" w:space="0" w:color="auto"/>
                            <w:bottom w:val="none" w:sz="0" w:space="0" w:color="auto"/>
                            <w:right w:val="none" w:sz="0" w:space="0" w:color="auto"/>
                          </w:divBdr>
                        </w:div>
                        <w:div w:id="1836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1173">
                  <w:marLeft w:val="0"/>
                  <w:marRight w:val="0"/>
                  <w:marTop w:val="0"/>
                  <w:marBottom w:val="0"/>
                  <w:divBdr>
                    <w:top w:val="none" w:sz="0" w:space="0" w:color="auto"/>
                    <w:left w:val="none" w:sz="0" w:space="0" w:color="auto"/>
                    <w:bottom w:val="none" w:sz="0" w:space="0" w:color="auto"/>
                    <w:right w:val="none" w:sz="0" w:space="0" w:color="auto"/>
                  </w:divBdr>
                  <w:divsChild>
                    <w:div w:id="1055159128">
                      <w:marLeft w:val="0"/>
                      <w:marRight w:val="0"/>
                      <w:marTop w:val="0"/>
                      <w:marBottom w:val="0"/>
                      <w:divBdr>
                        <w:top w:val="none" w:sz="0" w:space="0" w:color="auto"/>
                        <w:left w:val="none" w:sz="0" w:space="0" w:color="auto"/>
                        <w:bottom w:val="none" w:sz="0" w:space="0" w:color="auto"/>
                        <w:right w:val="none" w:sz="0" w:space="0" w:color="auto"/>
                      </w:divBdr>
                      <w:divsChild>
                        <w:div w:id="738988206">
                          <w:marLeft w:val="0"/>
                          <w:marRight w:val="0"/>
                          <w:marTop w:val="0"/>
                          <w:marBottom w:val="0"/>
                          <w:divBdr>
                            <w:top w:val="none" w:sz="0" w:space="0" w:color="auto"/>
                            <w:left w:val="none" w:sz="0" w:space="0" w:color="auto"/>
                            <w:bottom w:val="none" w:sz="0" w:space="0" w:color="auto"/>
                            <w:right w:val="none" w:sz="0" w:space="0" w:color="auto"/>
                          </w:divBdr>
                        </w:div>
                        <w:div w:id="1619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4273">
                  <w:marLeft w:val="0"/>
                  <w:marRight w:val="0"/>
                  <w:marTop w:val="0"/>
                  <w:marBottom w:val="0"/>
                  <w:divBdr>
                    <w:top w:val="none" w:sz="0" w:space="0" w:color="auto"/>
                    <w:left w:val="none" w:sz="0" w:space="0" w:color="auto"/>
                    <w:bottom w:val="none" w:sz="0" w:space="0" w:color="auto"/>
                    <w:right w:val="none" w:sz="0" w:space="0" w:color="auto"/>
                  </w:divBdr>
                  <w:divsChild>
                    <w:div w:id="1775399393">
                      <w:marLeft w:val="0"/>
                      <w:marRight w:val="0"/>
                      <w:marTop w:val="0"/>
                      <w:marBottom w:val="0"/>
                      <w:divBdr>
                        <w:top w:val="none" w:sz="0" w:space="0" w:color="auto"/>
                        <w:left w:val="none" w:sz="0" w:space="0" w:color="auto"/>
                        <w:bottom w:val="none" w:sz="0" w:space="0" w:color="auto"/>
                        <w:right w:val="none" w:sz="0" w:space="0" w:color="auto"/>
                      </w:divBdr>
                      <w:divsChild>
                        <w:div w:id="244532221">
                          <w:marLeft w:val="0"/>
                          <w:marRight w:val="0"/>
                          <w:marTop w:val="0"/>
                          <w:marBottom w:val="0"/>
                          <w:divBdr>
                            <w:top w:val="none" w:sz="0" w:space="0" w:color="auto"/>
                            <w:left w:val="none" w:sz="0" w:space="0" w:color="auto"/>
                            <w:bottom w:val="none" w:sz="0" w:space="0" w:color="auto"/>
                            <w:right w:val="none" w:sz="0" w:space="0" w:color="auto"/>
                          </w:divBdr>
                        </w:div>
                        <w:div w:id="16904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8832">
                  <w:marLeft w:val="0"/>
                  <w:marRight w:val="0"/>
                  <w:marTop w:val="0"/>
                  <w:marBottom w:val="0"/>
                  <w:divBdr>
                    <w:top w:val="none" w:sz="0" w:space="0" w:color="auto"/>
                    <w:left w:val="none" w:sz="0" w:space="0" w:color="auto"/>
                    <w:bottom w:val="none" w:sz="0" w:space="0" w:color="auto"/>
                    <w:right w:val="none" w:sz="0" w:space="0" w:color="auto"/>
                  </w:divBdr>
                  <w:divsChild>
                    <w:div w:id="1221675837">
                      <w:marLeft w:val="0"/>
                      <w:marRight w:val="0"/>
                      <w:marTop w:val="0"/>
                      <w:marBottom w:val="0"/>
                      <w:divBdr>
                        <w:top w:val="none" w:sz="0" w:space="0" w:color="auto"/>
                        <w:left w:val="none" w:sz="0" w:space="0" w:color="auto"/>
                        <w:bottom w:val="none" w:sz="0" w:space="0" w:color="auto"/>
                        <w:right w:val="none" w:sz="0" w:space="0" w:color="auto"/>
                      </w:divBdr>
                      <w:divsChild>
                        <w:div w:id="330842125">
                          <w:marLeft w:val="0"/>
                          <w:marRight w:val="0"/>
                          <w:marTop w:val="0"/>
                          <w:marBottom w:val="0"/>
                          <w:divBdr>
                            <w:top w:val="none" w:sz="0" w:space="0" w:color="auto"/>
                            <w:left w:val="none" w:sz="0" w:space="0" w:color="auto"/>
                            <w:bottom w:val="none" w:sz="0" w:space="0" w:color="auto"/>
                            <w:right w:val="none" w:sz="0" w:space="0" w:color="auto"/>
                          </w:divBdr>
                        </w:div>
                        <w:div w:id="2134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9456">
      <w:bodyDiv w:val="1"/>
      <w:marLeft w:val="0"/>
      <w:marRight w:val="0"/>
      <w:marTop w:val="0"/>
      <w:marBottom w:val="0"/>
      <w:divBdr>
        <w:top w:val="none" w:sz="0" w:space="0" w:color="auto"/>
        <w:left w:val="none" w:sz="0" w:space="0" w:color="auto"/>
        <w:bottom w:val="none" w:sz="0" w:space="0" w:color="auto"/>
        <w:right w:val="none" w:sz="0" w:space="0" w:color="auto"/>
      </w:divBdr>
    </w:div>
    <w:div w:id="974598973">
      <w:bodyDiv w:val="1"/>
      <w:marLeft w:val="0"/>
      <w:marRight w:val="0"/>
      <w:marTop w:val="0"/>
      <w:marBottom w:val="0"/>
      <w:divBdr>
        <w:top w:val="none" w:sz="0" w:space="0" w:color="auto"/>
        <w:left w:val="none" w:sz="0" w:space="0" w:color="auto"/>
        <w:bottom w:val="none" w:sz="0" w:space="0" w:color="auto"/>
        <w:right w:val="none" w:sz="0" w:space="0" w:color="auto"/>
      </w:divBdr>
    </w:div>
    <w:div w:id="976765698">
      <w:bodyDiv w:val="1"/>
      <w:marLeft w:val="0"/>
      <w:marRight w:val="0"/>
      <w:marTop w:val="0"/>
      <w:marBottom w:val="0"/>
      <w:divBdr>
        <w:top w:val="none" w:sz="0" w:space="0" w:color="auto"/>
        <w:left w:val="none" w:sz="0" w:space="0" w:color="auto"/>
        <w:bottom w:val="none" w:sz="0" w:space="0" w:color="auto"/>
        <w:right w:val="none" w:sz="0" w:space="0" w:color="auto"/>
      </w:divBdr>
    </w:div>
    <w:div w:id="978342325">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1346859">
      <w:bodyDiv w:val="1"/>
      <w:marLeft w:val="0"/>
      <w:marRight w:val="0"/>
      <w:marTop w:val="0"/>
      <w:marBottom w:val="0"/>
      <w:divBdr>
        <w:top w:val="none" w:sz="0" w:space="0" w:color="auto"/>
        <w:left w:val="none" w:sz="0" w:space="0" w:color="auto"/>
        <w:bottom w:val="none" w:sz="0" w:space="0" w:color="auto"/>
        <w:right w:val="none" w:sz="0" w:space="0" w:color="auto"/>
      </w:divBdr>
    </w:div>
    <w:div w:id="982007657">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999115806">
      <w:bodyDiv w:val="1"/>
      <w:marLeft w:val="0"/>
      <w:marRight w:val="0"/>
      <w:marTop w:val="0"/>
      <w:marBottom w:val="0"/>
      <w:divBdr>
        <w:top w:val="none" w:sz="0" w:space="0" w:color="auto"/>
        <w:left w:val="none" w:sz="0" w:space="0" w:color="auto"/>
        <w:bottom w:val="none" w:sz="0" w:space="0" w:color="auto"/>
        <w:right w:val="none" w:sz="0" w:space="0" w:color="auto"/>
      </w:divBdr>
    </w:div>
    <w:div w:id="1006716006">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7631118">
      <w:bodyDiv w:val="1"/>
      <w:marLeft w:val="0"/>
      <w:marRight w:val="0"/>
      <w:marTop w:val="0"/>
      <w:marBottom w:val="0"/>
      <w:divBdr>
        <w:top w:val="none" w:sz="0" w:space="0" w:color="auto"/>
        <w:left w:val="none" w:sz="0" w:space="0" w:color="auto"/>
        <w:bottom w:val="none" w:sz="0" w:space="0" w:color="auto"/>
        <w:right w:val="none" w:sz="0" w:space="0" w:color="auto"/>
      </w:divBdr>
    </w:div>
    <w:div w:id="1009600680">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5304482">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2169773">
      <w:bodyDiv w:val="1"/>
      <w:marLeft w:val="0"/>
      <w:marRight w:val="0"/>
      <w:marTop w:val="0"/>
      <w:marBottom w:val="0"/>
      <w:divBdr>
        <w:top w:val="none" w:sz="0" w:space="0" w:color="auto"/>
        <w:left w:val="none" w:sz="0" w:space="0" w:color="auto"/>
        <w:bottom w:val="none" w:sz="0" w:space="0" w:color="auto"/>
        <w:right w:val="none" w:sz="0" w:space="0" w:color="auto"/>
      </w:divBdr>
    </w:div>
    <w:div w:id="1027219987">
      <w:bodyDiv w:val="1"/>
      <w:marLeft w:val="0"/>
      <w:marRight w:val="0"/>
      <w:marTop w:val="0"/>
      <w:marBottom w:val="0"/>
      <w:divBdr>
        <w:top w:val="none" w:sz="0" w:space="0" w:color="auto"/>
        <w:left w:val="none" w:sz="0" w:space="0" w:color="auto"/>
        <w:bottom w:val="none" w:sz="0" w:space="0" w:color="auto"/>
        <w:right w:val="none" w:sz="0" w:space="0" w:color="auto"/>
      </w:divBdr>
    </w:div>
    <w:div w:id="1027757341">
      <w:bodyDiv w:val="1"/>
      <w:marLeft w:val="0"/>
      <w:marRight w:val="0"/>
      <w:marTop w:val="0"/>
      <w:marBottom w:val="0"/>
      <w:divBdr>
        <w:top w:val="none" w:sz="0" w:space="0" w:color="auto"/>
        <w:left w:val="none" w:sz="0" w:space="0" w:color="auto"/>
        <w:bottom w:val="none" w:sz="0" w:space="0" w:color="auto"/>
        <w:right w:val="none" w:sz="0" w:space="0" w:color="auto"/>
      </w:divBdr>
    </w:div>
    <w:div w:id="1028025675">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6541214">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2558982">
      <w:bodyDiv w:val="1"/>
      <w:marLeft w:val="0"/>
      <w:marRight w:val="0"/>
      <w:marTop w:val="0"/>
      <w:marBottom w:val="0"/>
      <w:divBdr>
        <w:top w:val="none" w:sz="0" w:space="0" w:color="auto"/>
        <w:left w:val="none" w:sz="0" w:space="0" w:color="auto"/>
        <w:bottom w:val="none" w:sz="0" w:space="0" w:color="auto"/>
        <w:right w:val="none" w:sz="0" w:space="0" w:color="auto"/>
      </w:divBdr>
    </w:div>
    <w:div w:id="104401866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48382075">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58044023">
      <w:bodyDiv w:val="1"/>
      <w:marLeft w:val="0"/>
      <w:marRight w:val="0"/>
      <w:marTop w:val="0"/>
      <w:marBottom w:val="0"/>
      <w:divBdr>
        <w:top w:val="none" w:sz="0" w:space="0" w:color="auto"/>
        <w:left w:val="none" w:sz="0" w:space="0" w:color="auto"/>
        <w:bottom w:val="none" w:sz="0" w:space="0" w:color="auto"/>
        <w:right w:val="none" w:sz="0" w:space="0" w:color="auto"/>
      </w:divBdr>
    </w:div>
    <w:div w:id="1060904458">
      <w:bodyDiv w:val="1"/>
      <w:marLeft w:val="0"/>
      <w:marRight w:val="0"/>
      <w:marTop w:val="0"/>
      <w:marBottom w:val="0"/>
      <w:divBdr>
        <w:top w:val="none" w:sz="0" w:space="0" w:color="auto"/>
        <w:left w:val="none" w:sz="0" w:space="0" w:color="auto"/>
        <w:bottom w:val="none" w:sz="0" w:space="0" w:color="auto"/>
        <w:right w:val="none" w:sz="0" w:space="0" w:color="auto"/>
      </w:divBdr>
    </w:div>
    <w:div w:id="1061056160">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2389971">
      <w:bodyDiv w:val="1"/>
      <w:marLeft w:val="0"/>
      <w:marRight w:val="0"/>
      <w:marTop w:val="0"/>
      <w:marBottom w:val="0"/>
      <w:divBdr>
        <w:top w:val="none" w:sz="0" w:space="0" w:color="auto"/>
        <w:left w:val="none" w:sz="0" w:space="0" w:color="auto"/>
        <w:bottom w:val="none" w:sz="0" w:space="0" w:color="auto"/>
        <w:right w:val="none" w:sz="0" w:space="0" w:color="auto"/>
      </w:divBdr>
    </w:div>
    <w:div w:id="1072774752">
      <w:bodyDiv w:val="1"/>
      <w:marLeft w:val="0"/>
      <w:marRight w:val="0"/>
      <w:marTop w:val="0"/>
      <w:marBottom w:val="0"/>
      <w:divBdr>
        <w:top w:val="none" w:sz="0" w:space="0" w:color="auto"/>
        <w:left w:val="none" w:sz="0" w:space="0" w:color="auto"/>
        <w:bottom w:val="none" w:sz="0" w:space="0" w:color="auto"/>
        <w:right w:val="none" w:sz="0" w:space="0" w:color="auto"/>
      </w:divBdr>
    </w:div>
    <w:div w:id="1074744858">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77947097">
      <w:bodyDiv w:val="1"/>
      <w:marLeft w:val="0"/>
      <w:marRight w:val="0"/>
      <w:marTop w:val="0"/>
      <w:marBottom w:val="0"/>
      <w:divBdr>
        <w:top w:val="none" w:sz="0" w:space="0" w:color="auto"/>
        <w:left w:val="none" w:sz="0" w:space="0" w:color="auto"/>
        <w:bottom w:val="none" w:sz="0" w:space="0" w:color="auto"/>
        <w:right w:val="none" w:sz="0" w:space="0" w:color="auto"/>
      </w:divBdr>
    </w:div>
    <w:div w:id="1079446149">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1680263">
      <w:bodyDiv w:val="1"/>
      <w:marLeft w:val="0"/>
      <w:marRight w:val="0"/>
      <w:marTop w:val="0"/>
      <w:marBottom w:val="0"/>
      <w:divBdr>
        <w:top w:val="none" w:sz="0" w:space="0" w:color="auto"/>
        <w:left w:val="none" w:sz="0" w:space="0" w:color="auto"/>
        <w:bottom w:val="none" w:sz="0" w:space="0" w:color="auto"/>
        <w:right w:val="none" w:sz="0" w:space="0" w:color="auto"/>
      </w:divBdr>
    </w:div>
    <w:div w:id="1082412038">
      <w:bodyDiv w:val="1"/>
      <w:marLeft w:val="0"/>
      <w:marRight w:val="0"/>
      <w:marTop w:val="0"/>
      <w:marBottom w:val="0"/>
      <w:divBdr>
        <w:top w:val="none" w:sz="0" w:space="0" w:color="auto"/>
        <w:left w:val="none" w:sz="0" w:space="0" w:color="auto"/>
        <w:bottom w:val="none" w:sz="0" w:space="0" w:color="auto"/>
        <w:right w:val="none" w:sz="0" w:space="0" w:color="auto"/>
      </w:divBdr>
    </w:div>
    <w:div w:id="1083648486">
      <w:bodyDiv w:val="1"/>
      <w:marLeft w:val="0"/>
      <w:marRight w:val="0"/>
      <w:marTop w:val="0"/>
      <w:marBottom w:val="0"/>
      <w:divBdr>
        <w:top w:val="none" w:sz="0" w:space="0" w:color="auto"/>
        <w:left w:val="none" w:sz="0" w:space="0" w:color="auto"/>
        <w:bottom w:val="none" w:sz="0" w:space="0" w:color="auto"/>
        <w:right w:val="none" w:sz="0" w:space="0" w:color="auto"/>
      </w:divBdr>
    </w:div>
    <w:div w:id="1084957464">
      <w:bodyDiv w:val="1"/>
      <w:marLeft w:val="0"/>
      <w:marRight w:val="0"/>
      <w:marTop w:val="0"/>
      <w:marBottom w:val="0"/>
      <w:divBdr>
        <w:top w:val="none" w:sz="0" w:space="0" w:color="auto"/>
        <w:left w:val="none" w:sz="0" w:space="0" w:color="auto"/>
        <w:bottom w:val="none" w:sz="0" w:space="0" w:color="auto"/>
        <w:right w:val="none" w:sz="0" w:space="0" w:color="auto"/>
      </w:divBdr>
    </w:div>
    <w:div w:id="1085107238">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537521">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2821098">
      <w:bodyDiv w:val="1"/>
      <w:marLeft w:val="0"/>
      <w:marRight w:val="0"/>
      <w:marTop w:val="0"/>
      <w:marBottom w:val="0"/>
      <w:divBdr>
        <w:top w:val="none" w:sz="0" w:space="0" w:color="auto"/>
        <w:left w:val="none" w:sz="0" w:space="0" w:color="auto"/>
        <w:bottom w:val="none" w:sz="0" w:space="0" w:color="auto"/>
        <w:right w:val="none" w:sz="0" w:space="0" w:color="auto"/>
      </w:divBdr>
    </w:div>
    <w:div w:id="1093480169">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252476">
      <w:bodyDiv w:val="1"/>
      <w:marLeft w:val="0"/>
      <w:marRight w:val="0"/>
      <w:marTop w:val="0"/>
      <w:marBottom w:val="0"/>
      <w:divBdr>
        <w:top w:val="none" w:sz="0" w:space="0" w:color="auto"/>
        <w:left w:val="none" w:sz="0" w:space="0" w:color="auto"/>
        <w:bottom w:val="none" w:sz="0" w:space="0" w:color="auto"/>
        <w:right w:val="none" w:sz="0" w:space="0" w:color="auto"/>
      </w:divBdr>
      <w:divsChild>
        <w:div w:id="1077247765">
          <w:marLeft w:val="0"/>
          <w:marRight w:val="0"/>
          <w:marTop w:val="0"/>
          <w:marBottom w:val="0"/>
          <w:divBdr>
            <w:top w:val="none" w:sz="0" w:space="0" w:color="auto"/>
            <w:left w:val="none" w:sz="0" w:space="0" w:color="auto"/>
            <w:bottom w:val="none" w:sz="0" w:space="0" w:color="auto"/>
            <w:right w:val="none" w:sz="0" w:space="0" w:color="auto"/>
          </w:divBdr>
        </w:div>
      </w:divsChild>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0225269">
      <w:bodyDiv w:val="1"/>
      <w:marLeft w:val="0"/>
      <w:marRight w:val="0"/>
      <w:marTop w:val="0"/>
      <w:marBottom w:val="0"/>
      <w:divBdr>
        <w:top w:val="none" w:sz="0" w:space="0" w:color="auto"/>
        <w:left w:val="none" w:sz="0" w:space="0" w:color="auto"/>
        <w:bottom w:val="none" w:sz="0" w:space="0" w:color="auto"/>
        <w:right w:val="none" w:sz="0" w:space="0" w:color="auto"/>
      </w:divBdr>
    </w:div>
    <w:div w:id="110107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94077">
          <w:marLeft w:val="0"/>
          <w:marRight w:val="0"/>
          <w:marTop w:val="0"/>
          <w:marBottom w:val="0"/>
          <w:divBdr>
            <w:top w:val="none" w:sz="0" w:space="0" w:color="auto"/>
            <w:left w:val="none" w:sz="0" w:space="0" w:color="auto"/>
            <w:bottom w:val="none" w:sz="0" w:space="0" w:color="auto"/>
            <w:right w:val="none" w:sz="0" w:space="0" w:color="auto"/>
          </w:divBdr>
        </w:div>
      </w:divsChild>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5735684">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0202137">
      <w:bodyDiv w:val="1"/>
      <w:marLeft w:val="0"/>
      <w:marRight w:val="0"/>
      <w:marTop w:val="0"/>
      <w:marBottom w:val="0"/>
      <w:divBdr>
        <w:top w:val="none" w:sz="0" w:space="0" w:color="auto"/>
        <w:left w:val="none" w:sz="0" w:space="0" w:color="auto"/>
        <w:bottom w:val="none" w:sz="0" w:space="0" w:color="auto"/>
        <w:right w:val="none" w:sz="0" w:space="0" w:color="auto"/>
      </w:divBdr>
    </w:div>
    <w:div w:id="1111434336">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14399107">
      <w:bodyDiv w:val="1"/>
      <w:marLeft w:val="0"/>
      <w:marRight w:val="0"/>
      <w:marTop w:val="0"/>
      <w:marBottom w:val="0"/>
      <w:divBdr>
        <w:top w:val="none" w:sz="0" w:space="0" w:color="auto"/>
        <w:left w:val="none" w:sz="0" w:space="0" w:color="auto"/>
        <w:bottom w:val="none" w:sz="0" w:space="0" w:color="auto"/>
        <w:right w:val="none" w:sz="0" w:space="0" w:color="auto"/>
      </w:divBdr>
    </w:div>
    <w:div w:id="1117141550">
      <w:bodyDiv w:val="1"/>
      <w:marLeft w:val="0"/>
      <w:marRight w:val="0"/>
      <w:marTop w:val="0"/>
      <w:marBottom w:val="0"/>
      <w:divBdr>
        <w:top w:val="none" w:sz="0" w:space="0" w:color="auto"/>
        <w:left w:val="none" w:sz="0" w:space="0" w:color="auto"/>
        <w:bottom w:val="none" w:sz="0" w:space="0" w:color="auto"/>
        <w:right w:val="none" w:sz="0" w:space="0" w:color="auto"/>
      </w:divBdr>
    </w:div>
    <w:div w:id="1124273700">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25545659">
      <w:bodyDiv w:val="1"/>
      <w:marLeft w:val="0"/>
      <w:marRight w:val="0"/>
      <w:marTop w:val="0"/>
      <w:marBottom w:val="0"/>
      <w:divBdr>
        <w:top w:val="none" w:sz="0" w:space="0" w:color="auto"/>
        <w:left w:val="none" w:sz="0" w:space="0" w:color="auto"/>
        <w:bottom w:val="none" w:sz="0" w:space="0" w:color="auto"/>
        <w:right w:val="none" w:sz="0" w:space="0" w:color="auto"/>
      </w:divBdr>
    </w:div>
    <w:div w:id="1127628042">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0437914">
      <w:bodyDiv w:val="1"/>
      <w:marLeft w:val="0"/>
      <w:marRight w:val="0"/>
      <w:marTop w:val="0"/>
      <w:marBottom w:val="0"/>
      <w:divBdr>
        <w:top w:val="none" w:sz="0" w:space="0" w:color="auto"/>
        <w:left w:val="none" w:sz="0" w:space="0" w:color="auto"/>
        <w:bottom w:val="none" w:sz="0" w:space="0" w:color="auto"/>
        <w:right w:val="none" w:sz="0" w:space="0" w:color="auto"/>
      </w:divBdr>
    </w:div>
    <w:div w:id="1131052214">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3251145">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37726510">
      <w:bodyDiv w:val="1"/>
      <w:marLeft w:val="0"/>
      <w:marRight w:val="0"/>
      <w:marTop w:val="0"/>
      <w:marBottom w:val="0"/>
      <w:divBdr>
        <w:top w:val="none" w:sz="0" w:space="0" w:color="auto"/>
        <w:left w:val="none" w:sz="0" w:space="0" w:color="auto"/>
        <w:bottom w:val="none" w:sz="0" w:space="0" w:color="auto"/>
        <w:right w:val="none" w:sz="0" w:space="0" w:color="auto"/>
      </w:divBdr>
    </w:div>
    <w:div w:id="1138037053">
      <w:bodyDiv w:val="1"/>
      <w:marLeft w:val="0"/>
      <w:marRight w:val="0"/>
      <w:marTop w:val="0"/>
      <w:marBottom w:val="0"/>
      <w:divBdr>
        <w:top w:val="none" w:sz="0" w:space="0" w:color="auto"/>
        <w:left w:val="none" w:sz="0" w:space="0" w:color="auto"/>
        <w:bottom w:val="none" w:sz="0" w:space="0" w:color="auto"/>
        <w:right w:val="none" w:sz="0" w:space="0" w:color="auto"/>
      </w:divBdr>
    </w:div>
    <w:div w:id="114212051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3497632">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49709546">
      <w:bodyDiv w:val="1"/>
      <w:marLeft w:val="0"/>
      <w:marRight w:val="0"/>
      <w:marTop w:val="0"/>
      <w:marBottom w:val="0"/>
      <w:divBdr>
        <w:top w:val="none" w:sz="0" w:space="0" w:color="auto"/>
        <w:left w:val="none" w:sz="0" w:space="0" w:color="auto"/>
        <w:bottom w:val="none" w:sz="0" w:space="0" w:color="auto"/>
        <w:right w:val="none" w:sz="0" w:space="0" w:color="auto"/>
      </w:divBdr>
    </w:div>
    <w:div w:id="1150099992">
      <w:bodyDiv w:val="1"/>
      <w:marLeft w:val="0"/>
      <w:marRight w:val="0"/>
      <w:marTop w:val="0"/>
      <w:marBottom w:val="0"/>
      <w:divBdr>
        <w:top w:val="none" w:sz="0" w:space="0" w:color="auto"/>
        <w:left w:val="none" w:sz="0" w:space="0" w:color="auto"/>
        <w:bottom w:val="none" w:sz="0" w:space="0" w:color="auto"/>
        <w:right w:val="none" w:sz="0" w:space="0" w:color="auto"/>
      </w:divBdr>
    </w:div>
    <w:div w:id="1151367543">
      <w:bodyDiv w:val="1"/>
      <w:marLeft w:val="0"/>
      <w:marRight w:val="0"/>
      <w:marTop w:val="0"/>
      <w:marBottom w:val="0"/>
      <w:divBdr>
        <w:top w:val="none" w:sz="0" w:space="0" w:color="auto"/>
        <w:left w:val="none" w:sz="0" w:space="0" w:color="auto"/>
        <w:bottom w:val="none" w:sz="0" w:space="0" w:color="auto"/>
        <w:right w:val="none" w:sz="0" w:space="0" w:color="auto"/>
      </w:divBdr>
    </w:div>
    <w:div w:id="1151407822">
      <w:bodyDiv w:val="1"/>
      <w:marLeft w:val="0"/>
      <w:marRight w:val="0"/>
      <w:marTop w:val="0"/>
      <w:marBottom w:val="0"/>
      <w:divBdr>
        <w:top w:val="none" w:sz="0" w:space="0" w:color="auto"/>
        <w:left w:val="none" w:sz="0" w:space="0" w:color="auto"/>
        <w:bottom w:val="none" w:sz="0" w:space="0" w:color="auto"/>
        <w:right w:val="none" w:sz="0" w:space="0" w:color="auto"/>
      </w:divBdr>
    </w:div>
    <w:div w:id="1153958042">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6148260">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0077586">
      <w:bodyDiv w:val="1"/>
      <w:marLeft w:val="0"/>
      <w:marRight w:val="0"/>
      <w:marTop w:val="0"/>
      <w:marBottom w:val="0"/>
      <w:divBdr>
        <w:top w:val="none" w:sz="0" w:space="0" w:color="auto"/>
        <w:left w:val="none" w:sz="0" w:space="0" w:color="auto"/>
        <w:bottom w:val="none" w:sz="0" w:space="0" w:color="auto"/>
        <w:right w:val="none" w:sz="0" w:space="0" w:color="auto"/>
      </w:divBdr>
    </w:div>
    <w:div w:id="1160316168">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51063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0605296">
      <w:bodyDiv w:val="1"/>
      <w:marLeft w:val="0"/>
      <w:marRight w:val="0"/>
      <w:marTop w:val="0"/>
      <w:marBottom w:val="0"/>
      <w:divBdr>
        <w:top w:val="none" w:sz="0" w:space="0" w:color="auto"/>
        <w:left w:val="none" w:sz="0" w:space="0" w:color="auto"/>
        <w:bottom w:val="none" w:sz="0" w:space="0" w:color="auto"/>
        <w:right w:val="none" w:sz="0" w:space="0" w:color="auto"/>
      </w:divBdr>
    </w:div>
    <w:div w:id="1170826546">
      <w:bodyDiv w:val="1"/>
      <w:marLeft w:val="0"/>
      <w:marRight w:val="0"/>
      <w:marTop w:val="0"/>
      <w:marBottom w:val="0"/>
      <w:divBdr>
        <w:top w:val="none" w:sz="0" w:space="0" w:color="auto"/>
        <w:left w:val="none" w:sz="0" w:space="0" w:color="auto"/>
        <w:bottom w:val="none" w:sz="0" w:space="0" w:color="auto"/>
        <w:right w:val="none" w:sz="0" w:space="0" w:color="auto"/>
      </w:divBdr>
    </w:div>
    <w:div w:id="1171456215">
      <w:bodyDiv w:val="1"/>
      <w:marLeft w:val="0"/>
      <w:marRight w:val="0"/>
      <w:marTop w:val="0"/>
      <w:marBottom w:val="0"/>
      <w:divBdr>
        <w:top w:val="none" w:sz="0" w:space="0" w:color="auto"/>
        <w:left w:val="none" w:sz="0" w:space="0" w:color="auto"/>
        <w:bottom w:val="none" w:sz="0" w:space="0" w:color="auto"/>
        <w:right w:val="none" w:sz="0" w:space="0" w:color="auto"/>
      </w:divBdr>
    </w:div>
    <w:div w:id="1173496797">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5266623">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1318569">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89030156">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06452404">
      <w:bodyDiv w:val="1"/>
      <w:marLeft w:val="0"/>
      <w:marRight w:val="0"/>
      <w:marTop w:val="0"/>
      <w:marBottom w:val="0"/>
      <w:divBdr>
        <w:top w:val="none" w:sz="0" w:space="0" w:color="auto"/>
        <w:left w:val="none" w:sz="0" w:space="0" w:color="auto"/>
        <w:bottom w:val="none" w:sz="0" w:space="0" w:color="auto"/>
        <w:right w:val="none" w:sz="0" w:space="0" w:color="auto"/>
      </w:divBdr>
    </w:div>
    <w:div w:id="1208762328">
      <w:bodyDiv w:val="1"/>
      <w:marLeft w:val="0"/>
      <w:marRight w:val="0"/>
      <w:marTop w:val="0"/>
      <w:marBottom w:val="0"/>
      <w:divBdr>
        <w:top w:val="none" w:sz="0" w:space="0" w:color="auto"/>
        <w:left w:val="none" w:sz="0" w:space="0" w:color="auto"/>
        <w:bottom w:val="none" w:sz="0" w:space="0" w:color="auto"/>
        <w:right w:val="none" w:sz="0" w:space="0" w:color="auto"/>
      </w:divBdr>
    </w:div>
    <w:div w:id="1211068662">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3618544">
      <w:bodyDiv w:val="1"/>
      <w:marLeft w:val="0"/>
      <w:marRight w:val="0"/>
      <w:marTop w:val="0"/>
      <w:marBottom w:val="0"/>
      <w:divBdr>
        <w:top w:val="none" w:sz="0" w:space="0" w:color="auto"/>
        <w:left w:val="none" w:sz="0" w:space="0" w:color="auto"/>
        <w:bottom w:val="none" w:sz="0" w:space="0" w:color="auto"/>
        <w:right w:val="none" w:sz="0" w:space="0" w:color="auto"/>
      </w:divBdr>
    </w:div>
    <w:div w:id="1215234058">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2248305">
      <w:bodyDiv w:val="1"/>
      <w:marLeft w:val="0"/>
      <w:marRight w:val="0"/>
      <w:marTop w:val="0"/>
      <w:marBottom w:val="0"/>
      <w:divBdr>
        <w:top w:val="none" w:sz="0" w:space="0" w:color="auto"/>
        <w:left w:val="none" w:sz="0" w:space="0" w:color="auto"/>
        <w:bottom w:val="none" w:sz="0" w:space="0" w:color="auto"/>
        <w:right w:val="none" w:sz="0" w:space="0" w:color="auto"/>
      </w:divBdr>
    </w:div>
    <w:div w:id="1223250420">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5411802">
      <w:bodyDiv w:val="1"/>
      <w:marLeft w:val="0"/>
      <w:marRight w:val="0"/>
      <w:marTop w:val="0"/>
      <w:marBottom w:val="0"/>
      <w:divBdr>
        <w:top w:val="none" w:sz="0" w:space="0" w:color="auto"/>
        <w:left w:val="none" w:sz="0" w:space="0" w:color="auto"/>
        <w:bottom w:val="none" w:sz="0" w:space="0" w:color="auto"/>
        <w:right w:val="none" w:sz="0" w:space="0" w:color="auto"/>
      </w:divBdr>
    </w:div>
    <w:div w:id="122991992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151480">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4195839">
      <w:bodyDiv w:val="1"/>
      <w:marLeft w:val="0"/>
      <w:marRight w:val="0"/>
      <w:marTop w:val="0"/>
      <w:marBottom w:val="0"/>
      <w:divBdr>
        <w:top w:val="none" w:sz="0" w:space="0" w:color="auto"/>
        <w:left w:val="none" w:sz="0" w:space="0" w:color="auto"/>
        <w:bottom w:val="none" w:sz="0" w:space="0" w:color="auto"/>
        <w:right w:val="none" w:sz="0" w:space="0" w:color="auto"/>
      </w:divBdr>
    </w:div>
    <w:div w:id="1236235827">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3023220">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48071827">
      <w:bodyDiv w:val="1"/>
      <w:marLeft w:val="0"/>
      <w:marRight w:val="0"/>
      <w:marTop w:val="0"/>
      <w:marBottom w:val="0"/>
      <w:divBdr>
        <w:top w:val="none" w:sz="0" w:space="0" w:color="auto"/>
        <w:left w:val="none" w:sz="0" w:space="0" w:color="auto"/>
        <w:bottom w:val="none" w:sz="0" w:space="0" w:color="auto"/>
        <w:right w:val="none" w:sz="0" w:space="0" w:color="auto"/>
      </w:divBdr>
    </w:div>
    <w:div w:id="1250777263">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57667874">
      <w:bodyDiv w:val="1"/>
      <w:marLeft w:val="0"/>
      <w:marRight w:val="0"/>
      <w:marTop w:val="0"/>
      <w:marBottom w:val="0"/>
      <w:divBdr>
        <w:top w:val="none" w:sz="0" w:space="0" w:color="auto"/>
        <w:left w:val="none" w:sz="0" w:space="0" w:color="auto"/>
        <w:bottom w:val="none" w:sz="0" w:space="0" w:color="auto"/>
        <w:right w:val="none" w:sz="0" w:space="0" w:color="auto"/>
      </w:divBdr>
    </w:div>
    <w:div w:id="1258520370">
      <w:bodyDiv w:val="1"/>
      <w:marLeft w:val="0"/>
      <w:marRight w:val="0"/>
      <w:marTop w:val="0"/>
      <w:marBottom w:val="0"/>
      <w:divBdr>
        <w:top w:val="none" w:sz="0" w:space="0" w:color="auto"/>
        <w:left w:val="none" w:sz="0" w:space="0" w:color="auto"/>
        <w:bottom w:val="none" w:sz="0" w:space="0" w:color="auto"/>
        <w:right w:val="none" w:sz="0" w:space="0" w:color="auto"/>
      </w:divBdr>
    </w:div>
    <w:div w:id="1259873792">
      <w:bodyDiv w:val="1"/>
      <w:marLeft w:val="0"/>
      <w:marRight w:val="0"/>
      <w:marTop w:val="0"/>
      <w:marBottom w:val="0"/>
      <w:divBdr>
        <w:top w:val="none" w:sz="0" w:space="0" w:color="auto"/>
        <w:left w:val="none" w:sz="0" w:space="0" w:color="auto"/>
        <w:bottom w:val="none" w:sz="0" w:space="0" w:color="auto"/>
        <w:right w:val="none" w:sz="0" w:space="0" w:color="auto"/>
      </w:divBdr>
    </w:div>
    <w:div w:id="1262494546">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768924">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66692184">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78835128">
      <w:bodyDiv w:val="1"/>
      <w:marLeft w:val="0"/>
      <w:marRight w:val="0"/>
      <w:marTop w:val="0"/>
      <w:marBottom w:val="0"/>
      <w:divBdr>
        <w:top w:val="none" w:sz="0" w:space="0" w:color="auto"/>
        <w:left w:val="none" w:sz="0" w:space="0" w:color="auto"/>
        <w:bottom w:val="none" w:sz="0" w:space="0" w:color="auto"/>
        <w:right w:val="none" w:sz="0" w:space="0" w:color="auto"/>
      </w:divBdr>
    </w:div>
    <w:div w:id="1280264370">
      <w:bodyDiv w:val="1"/>
      <w:marLeft w:val="0"/>
      <w:marRight w:val="0"/>
      <w:marTop w:val="0"/>
      <w:marBottom w:val="0"/>
      <w:divBdr>
        <w:top w:val="none" w:sz="0" w:space="0" w:color="auto"/>
        <w:left w:val="none" w:sz="0" w:space="0" w:color="auto"/>
        <w:bottom w:val="none" w:sz="0" w:space="0" w:color="auto"/>
        <w:right w:val="none" w:sz="0" w:space="0" w:color="auto"/>
      </w:divBdr>
    </w:div>
    <w:div w:id="1283153743">
      <w:bodyDiv w:val="1"/>
      <w:marLeft w:val="0"/>
      <w:marRight w:val="0"/>
      <w:marTop w:val="0"/>
      <w:marBottom w:val="0"/>
      <w:divBdr>
        <w:top w:val="none" w:sz="0" w:space="0" w:color="auto"/>
        <w:left w:val="none" w:sz="0" w:space="0" w:color="auto"/>
        <w:bottom w:val="none" w:sz="0" w:space="0" w:color="auto"/>
        <w:right w:val="none" w:sz="0" w:space="0" w:color="auto"/>
      </w:divBdr>
    </w:div>
    <w:div w:id="1285116830">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2440174">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297562930">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1157428">
      <w:bodyDiv w:val="1"/>
      <w:marLeft w:val="0"/>
      <w:marRight w:val="0"/>
      <w:marTop w:val="0"/>
      <w:marBottom w:val="0"/>
      <w:divBdr>
        <w:top w:val="none" w:sz="0" w:space="0" w:color="auto"/>
        <w:left w:val="none" w:sz="0" w:space="0" w:color="auto"/>
        <w:bottom w:val="none" w:sz="0" w:space="0" w:color="auto"/>
        <w:right w:val="none" w:sz="0" w:space="0" w:color="auto"/>
      </w:divBdr>
    </w:div>
    <w:div w:id="1305086396">
      <w:bodyDiv w:val="1"/>
      <w:marLeft w:val="0"/>
      <w:marRight w:val="0"/>
      <w:marTop w:val="0"/>
      <w:marBottom w:val="0"/>
      <w:divBdr>
        <w:top w:val="none" w:sz="0" w:space="0" w:color="auto"/>
        <w:left w:val="none" w:sz="0" w:space="0" w:color="auto"/>
        <w:bottom w:val="none" w:sz="0" w:space="0" w:color="auto"/>
        <w:right w:val="none" w:sz="0" w:space="0" w:color="auto"/>
      </w:divBdr>
      <w:divsChild>
        <w:div w:id="1992363901">
          <w:marLeft w:val="0"/>
          <w:marRight w:val="0"/>
          <w:marTop w:val="0"/>
          <w:marBottom w:val="0"/>
          <w:divBdr>
            <w:top w:val="none" w:sz="0" w:space="0" w:color="auto"/>
            <w:left w:val="none" w:sz="0" w:space="0" w:color="auto"/>
            <w:bottom w:val="none" w:sz="0" w:space="0" w:color="auto"/>
            <w:right w:val="none" w:sz="0" w:space="0" w:color="auto"/>
          </w:divBdr>
          <w:divsChild>
            <w:div w:id="1329363432">
              <w:marLeft w:val="0"/>
              <w:marRight w:val="0"/>
              <w:marTop w:val="0"/>
              <w:marBottom w:val="0"/>
              <w:divBdr>
                <w:top w:val="none" w:sz="0" w:space="0" w:color="auto"/>
                <w:left w:val="none" w:sz="0" w:space="0" w:color="auto"/>
                <w:bottom w:val="none" w:sz="0" w:space="0" w:color="auto"/>
                <w:right w:val="none" w:sz="0" w:space="0" w:color="auto"/>
              </w:divBdr>
              <w:divsChild>
                <w:div w:id="1849101828">
                  <w:marLeft w:val="0"/>
                  <w:marRight w:val="0"/>
                  <w:marTop w:val="0"/>
                  <w:marBottom w:val="0"/>
                  <w:divBdr>
                    <w:top w:val="none" w:sz="0" w:space="0" w:color="auto"/>
                    <w:left w:val="none" w:sz="0" w:space="0" w:color="auto"/>
                    <w:bottom w:val="none" w:sz="0" w:space="0" w:color="auto"/>
                    <w:right w:val="none" w:sz="0" w:space="0" w:color="auto"/>
                  </w:divBdr>
                </w:div>
                <w:div w:id="8286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11519331">
      <w:bodyDiv w:val="1"/>
      <w:marLeft w:val="0"/>
      <w:marRight w:val="0"/>
      <w:marTop w:val="0"/>
      <w:marBottom w:val="0"/>
      <w:divBdr>
        <w:top w:val="none" w:sz="0" w:space="0" w:color="auto"/>
        <w:left w:val="none" w:sz="0" w:space="0" w:color="auto"/>
        <w:bottom w:val="none" w:sz="0" w:space="0" w:color="auto"/>
        <w:right w:val="none" w:sz="0" w:space="0" w:color="auto"/>
      </w:divBdr>
    </w:div>
    <w:div w:id="1312634486">
      <w:bodyDiv w:val="1"/>
      <w:marLeft w:val="0"/>
      <w:marRight w:val="0"/>
      <w:marTop w:val="0"/>
      <w:marBottom w:val="0"/>
      <w:divBdr>
        <w:top w:val="none" w:sz="0" w:space="0" w:color="auto"/>
        <w:left w:val="none" w:sz="0" w:space="0" w:color="auto"/>
        <w:bottom w:val="none" w:sz="0" w:space="0" w:color="auto"/>
        <w:right w:val="none" w:sz="0" w:space="0" w:color="auto"/>
      </w:divBdr>
    </w:div>
    <w:div w:id="1315179312">
      <w:bodyDiv w:val="1"/>
      <w:marLeft w:val="0"/>
      <w:marRight w:val="0"/>
      <w:marTop w:val="0"/>
      <w:marBottom w:val="0"/>
      <w:divBdr>
        <w:top w:val="none" w:sz="0" w:space="0" w:color="auto"/>
        <w:left w:val="none" w:sz="0" w:space="0" w:color="auto"/>
        <w:bottom w:val="none" w:sz="0" w:space="0" w:color="auto"/>
        <w:right w:val="none" w:sz="0" w:space="0" w:color="auto"/>
      </w:divBdr>
    </w:div>
    <w:div w:id="1320617313">
      <w:bodyDiv w:val="1"/>
      <w:marLeft w:val="0"/>
      <w:marRight w:val="0"/>
      <w:marTop w:val="0"/>
      <w:marBottom w:val="0"/>
      <w:divBdr>
        <w:top w:val="none" w:sz="0" w:space="0" w:color="auto"/>
        <w:left w:val="none" w:sz="0" w:space="0" w:color="auto"/>
        <w:bottom w:val="none" w:sz="0" w:space="0" w:color="auto"/>
        <w:right w:val="none" w:sz="0" w:space="0" w:color="auto"/>
      </w:divBdr>
    </w:div>
    <w:div w:id="1321039257">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442137">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5765301">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1729">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2702560">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6832285">
      <w:bodyDiv w:val="1"/>
      <w:marLeft w:val="0"/>
      <w:marRight w:val="0"/>
      <w:marTop w:val="0"/>
      <w:marBottom w:val="0"/>
      <w:divBdr>
        <w:top w:val="none" w:sz="0" w:space="0" w:color="auto"/>
        <w:left w:val="none" w:sz="0" w:space="0" w:color="auto"/>
        <w:bottom w:val="none" w:sz="0" w:space="0" w:color="auto"/>
        <w:right w:val="none" w:sz="0" w:space="0" w:color="auto"/>
      </w:divBdr>
      <w:divsChild>
        <w:div w:id="175046761">
          <w:marLeft w:val="0"/>
          <w:marRight w:val="0"/>
          <w:marTop w:val="0"/>
          <w:marBottom w:val="0"/>
          <w:divBdr>
            <w:top w:val="none" w:sz="0" w:space="0" w:color="auto"/>
            <w:left w:val="none" w:sz="0" w:space="0" w:color="auto"/>
            <w:bottom w:val="none" w:sz="0" w:space="0" w:color="auto"/>
            <w:right w:val="none" w:sz="0" w:space="0" w:color="auto"/>
          </w:divBdr>
        </w:div>
      </w:divsChild>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49796641">
      <w:bodyDiv w:val="1"/>
      <w:marLeft w:val="0"/>
      <w:marRight w:val="0"/>
      <w:marTop w:val="0"/>
      <w:marBottom w:val="0"/>
      <w:divBdr>
        <w:top w:val="none" w:sz="0" w:space="0" w:color="auto"/>
        <w:left w:val="none" w:sz="0" w:space="0" w:color="auto"/>
        <w:bottom w:val="none" w:sz="0" w:space="0" w:color="auto"/>
        <w:right w:val="none" w:sz="0" w:space="0" w:color="auto"/>
      </w:divBdr>
    </w:div>
    <w:div w:id="1349872032">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031722">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57348055">
      <w:bodyDiv w:val="1"/>
      <w:marLeft w:val="0"/>
      <w:marRight w:val="0"/>
      <w:marTop w:val="0"/>
      <w:marBottom w:val="0"/>
      <w:divBdr>
        <w:top w:val="none" w:sz="0" w:space="0" w:color="auto"/>
        <w:left w:val="none" w:sz="0" w:space="0" w:color="auto"/>
        <w:bottom w:val="none" w:sz="0" w:space="0" w:color="auto"/>
        <w:right w:val="none" w:sz="0" w:space="0" w:color="auto"/>
      </w:divBdr>
    </w:div>
    <w:div w:id="1360938209">
      <w:bodyDiv w:val="1"/>
      <w:marLeft w:val="0"/>
      <w:marRight w:val="0"/>
      <w:marTop w:val="0"/>
      <w:marBottom w:val="0"/>
      <w:divBdr>
        <w:top w:val="none" w:sz="0" w:space="0" w:color="auto"/>
        <w:left w:val="none" w:sz="0" w:space="0" w:color="auto"/>
        <w:bottom w:val="none" w:sz="0" w:space="0" w:color="auto"/>
        <w:right w:val="none" w:sz="0" w:space="0" w:color="auto"/>
      </w:divBdr>
    </w:div>
    <w:div w:id="1361541905">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67951894">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75620307">
      <w:bodyDiv w:val="1"/>
      <w:marLeft w:val="0"/>
      <w:marRight w:val="0"/>
      <w:marTop w:val="0"/>
      <w:marBottom w:val="0"/>
      <w:divBdr>
        <w:top w:val="none" w:sz="0" w:space="0" w:color="auto"/>
        <w:left w:val="none" w:sz="0" w:space="0" w:color="auto"/>
        <w:bottom w:val="none" w:sz="0" w:space="0" w:color="auto"/>
        <w:right w:val="none" w:sz="0" w:space="0" w:color="auto"/>
      </w:divBdr>
    </w:div>
    <w:div w:id="1380665054">
      <w:bodyDiv w:val="1"/>
      <w:marLeft w:val="0"/>
      <w:marRight w:val="0"/>
      <w:marTop w:val="0"/>
      <w:marBottom w:val="0"/>
      <w:divBdr>
        <w:top w:val="none" w:sz="0" w:space="0" w:color="auto"/>
        <w:left w:val="none" w:sz="0" w:space="0" w:color="auto"/>
        <w:bottom w:val="none" w:sz="0" w:space="0" w:color="auto"/>
        <w:right w:val="none" w:sz="0" w:space="0" w:color="auto"/>
      </w:divBdr>
    </w:div>
    <w:div w:id="1380668364">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2824819">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833446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1613080">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397435916">
      <w:bodyDiv w:val="1"/>
      <w:marLeft w:val="0"/>
      <w:marRight w:val="0"/>
      <w:marTop w:val="0"/>
      <w:marBottom w:val="0"/>
      <w:divBdr>
        <w:top w:val="none" w:sz="0" w:space="0" w:color="auto"/>
        <w:left w:val="none" w:sz="0" w:space="0" w:color="auto"/>
        <w:bottom w:val="none" w:sz="0" w:space="0" w:color="auto"/>
        <w:right w:val="none" w:sz="0" w:space="0" w:color="auto"/>
      </w:divBdr>
    </w:div>
    <w:div w:id="1397707639">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3872912">
      <w:bodyDiv w:val="1"/>
      <w:marLeft w:val="0"/>
      <w:marRight w:val="0"/>
      <w:marTop w:val="0"/>
      <w:marBottom w:val="0"/>
      <w:divBdr>
        <w:top w:val="none" w:sz="0" w:space="0" w:color="auto"/>
        <w:left w:val="none" w:sz="0" w:space="0" w:color="auto"/>
        <w:bottom w:val="none" w:sz="0" w:space="0" w:color="auto"/>
        <w:right w:val="none" w:sz="0" w:space="0" w:color="auto"/>
      </w:divBdr>
    </w:div>
    <w:div w:id="1404985487">
      <w:bodyDiv w:val="1"/>
      <w:marLeft w:val="0"/>
      <w:marRight w:val="0"/>
      <w:marTop w:val="0"/>
      <w:marBottom w:val="0"/>
      <w:divBdr>
        <w:top w:val="none" w:sz="0" w:space="0" w:color="auto"/>
        <w:left w:val="none" w:sz="0" w:space="0" w:color="auto"/>
        <w:bottom w:val="none" w:sz="0" w:space="0" w:color="auto"/>
        <w:right w:val="none" w:sz="0" w:space="0" w:color="auto"/>
      </w:divBdr>
    </w:div>
    <w:div w:id="1407218975">
      <w:bodyDiv w:val="1"/>
      <w:marLeft w:val="0"/>
      <w:marRight w:val="0"/>
      <w:marTop w:val="0"/>
      <w:marBottom w:val="0"/>
      <w:divBdr>
        <w:top w:val="none" w:sz="0" w:space="0" w:color="auto"/>
        <w:left w:val="none" w:sz="0" w:space="0" w:color="auto"/>
        <w:bottom w:val="none" w:sz="0" w:space="0" w:color="auto"/>
        <w:right w:val="none" w:sz="0" w:space="0" w:color="auto"/>
      </w:divBdr>
    </w:div>
    <w:div w:id="1408114857">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10730223">
      <w:bodyDiv w:val="1"/>
      <w:marLeft w:val="0"/>
      <w:marRight w:val="0"/>
      <w:marTop w:val="0"/>
      <w:marBottom w:val="0"/>
      <w:divBdr>
        <w:top w:val="none" w:sz="0" w:space="0" w:color="auto"/>
        <w:left w:val="none" w:sz="0" w:space="0" w:color="auto"/>
        <w:bottom w:val="none" w:sz="0" w:space="0" w:color="auto"/>
        <w:right w:val="none" w:sz="0" w:space="0" w:color="auto"/>
      </w:divBdr>
    </w:div>
    <w:div w:id="1412463945">
      <w:bodyDiv w:val="1"/>
      <w:marLeft w:val="0"/>
      <w:marRight w:val="0"/>
      <w:marTop w:val="0"/>
      <w:marBottom w:val="0"/>
      <w:divBdr>
        <w:top w:val="none" w:sz="0" w:space="0" w:color="auto"/>
        <w:left w:val="none" w:sz="0" w:space="0" w:color="auto"/>
        <w:bottom w:val="none" w:sz="0" w:space="0" w:color="auto"/>
        <w:right w:val="none" w:sz="0" w:space="0" w:color="auto"/>
      </w:divBdr>
    </w:div>
    <w:div w:id="1415736549">
      <w:bodyDiv w:val="1"/>
      <w:marLeft w:val="0"/>
      <w:marRight w:val="0"/>
      <w:marTop w:val="0"/>
      <w:marBottom w:val="0"/>
      <w:divBdr>
        <w:top w:val="none" w:sz="0" w:space="0" w:color="auto"/>
        <w:left w:val="none" w:sz="0" w:space="0" w:color="auto"/>
        <w:bottom w:val="none" w:sz="0" w:space="0" w:color="auto"/>
        <w:right w:val="none" w:sz="0" w:space="0" w:color="auto"/>
      </w:divBdr>
    </w:div>
    <w:div w:id="1420717266">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25804949">
      <w:bodyDiv w:val="1"/>
      <w:marLeft w:val="0"/>
      <w:marRight w:val="0"/>
      <w:marTop w:val="0"/>
      <w:marBottom w:val="0"/>
      <w:divBdr>
        <w:top w:val="none" w:sz="0" w:space="0" w:color="auto"/>
        <w:left w:val="none" w:sz="0" w:space="0" w:color="auto"/>
        <w:bottom w:val="none" w:sz="0" w:space="0" w:color="auto"/>
        <w:right w:val="none" w:sz="0" w:space="0" w:color="auto"/>
      </w:divBdr>
    </w:div>
    <w:div w:id="1427340249">
      <w:bodyDiv w:val="1"/>
      <w:marLeft w:val="0"/>
      <w:marRight w:val="0"/>
      <w:marTop w:val="0"/>
      <w:marBottom w:val="0"/>
      <w:divBdr>
        <w:top w:val="none" w:sz="0" w:space="0" w:color="auto"/>
        <w:left w:val="none" w:sz="0" w:space="0" w:color="auto"/>
        <w:bottom w:val="none" w:sz="0" w:space="0" w:color="auto"/>
        <w:right w:val="none" w:sz="0" w:space="0" w:color="auto"/>
      </w:divBdr>
    </w:div>
    <w:div w:id="1432773793">
      <w:bodyDiv w:val="1"/>
      <w:marLeft w:val="0"/>
      <w:marRight w:val="0"/>
      <w:marTop w:val="0"/>
      <w:marBottom w:val="0"/>
      <w:divBdr>
        <w:top w:val="none" w:sz="0" w:space="0" w:color="auto"/>
        <w:left w:val="none" w:sz="0" w:space="0" w:color="auto"/>
        <w:bottom w:val="none" w:sz="0" w:space="0" w:color="auto"/>
        <w:right w:val="none" w:sz="0" w:space="0" w:color="auto"/>
      </w:divBdr>
    </w:div>
    <w:div w:id="1433933967">
      <w:bodyDiv w:val="1"/>
      <w:marLeft w:val="0"/>
      <w:marRight w:val="0"/>
      <w:marTop w:val="0"/>
      <w:marBottom w:val="0"/>
      <w:divBdr>
        <w:top w:val="none" w:sz="0" w:space="0" w:color="auto"/>
        <w:left w:val="none" w:sz="0" w:space="0" w:color="auto"/>
        <w:bottom w:val="none" w:sz="0" w:space="0" w:color="auto"/>
        <w:right w:val="none" w:sz="0" w:space="0" w:color="auto"/>
      </w:divBdr>
    </w:div>
    <w:div w:id="1438407937">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0293887">
      <w:bodyDiv w:val="1"/>
      <w:marLeft w:val="0"/>
      <w:marRight w:val="0"/>
      <w:marTop w:val="0"/>
      <w:marBottom w:val="0"/>
      <w:divBdr>
        <w:top w:val="none" w:sz="0" w:space="0" w:color="auto"/>
        <w:left w:val="none" w:sz="0" w:space="0" w:color="auto"/>
        <w:bottom w:val="none" w:sz="0" w:space="0" w:color="auto"/>
        <w:right w:val="none" w:sz="0" w:space="0" w:color="auto"/>
      </w:divBdr>
    </w:div>
    <w:div w:id="1441677398">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53331017">
      <w:bodyDiv w:val="1"/>
      <w:marLeft w:val="0"/>
      <w:marRight w:val="0"/>
      <w:marTop w:val="0"/>
      <w:marBottom w:val="0"/>
      <w:divBdr>
        <w:top w:val="none" w:sz="0" w:space="0" w:color="auto"/>
        <w:left w:val="none" w:sz="0" w:space="0" w:color="auto"/>
        <w:bottom w:val="none" w:sz="0" w:space="0" w:color="auto"/>
        <w:right w:val="none" w:sz="0" w:space="0" w:color="auto"/>
      </w:divBdr>
    </w:div>
    <w:div w:id="1455247242">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67433135">
      <w:bodyDiv w:val="1"/>
      <w:marLeft w:val="0"/>
      <w:marRight w:val="0"/>
      <w:marTop w:val="0"/>
      <w:marBottom w:val="0"/>
      <w:divBdr>
        <w:top w:val="none" w:sz="0" w:space="0" w:color="auto"/>
        <w:left w:val="none" w:sz="0" w:space="0" w:color="auto"/>
        <w:bottom w:val="none" w:sz="0" w:space="0" w:color="auto"/>
        <w:right w:val="none" w:sz="0" w:space="0" w:color="auto"/>
      </w:divBdr>
    </w:div>
    <w:div w:id="1468670611">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79803826">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09443552">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37546163">
      <w:bodyDiv w:val="1"/>
      <w:marLeft w:val="0"/>
      <w:marRight w:val="0"/>
      <w:marTop w:val="0"/>
      <w:marBottom w:val="0"/>
      <w:divBdr>
        <w:top w:val="none" w:sz="0" w:space="0" w:color="auto"/>
        <w:left w:val="none" w:sz="0" w:space="0" w:color="auto"/>
        <w:bottom w:val="none" w:sz="0" w:space="0" w:color="auto"/>
        <w:right w:val="none" w:sz="0" w:space="0" w:color="auto"/>
      </w:divBdr>
    </w:div>
    <w:div w:id="1539050305">
      <w:bodyDiv w:val="1"/>
      <w:marLeft w:val="0"/>
      <w:marRight w:val="0"/>
      <w:marTop w:val="0"/>
      <w:marBottom w:val="0"/>
      <w:divBdr>
        <w:top w:val="none" w:sz="0" w:space="0" w:color="auto"/>
        <w:left w:val="none" w:sz="0" w:space="0" w:color="auto"/>
        <w:bottom w:val="none" w:sz="0" w:space="0" w:color="auto"/>
        <w:right w:val="none" w:sz="0" w:space="0" w:color="auto"/>
      </w:divBdr>
    </w:div>
    <w:div w:id="1541823942">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49148193">
      <w:bodyDiv w:val="1"/>
      <w:marLeft w:val="0"/>
      <w:marRight w:val="0"/>
      <w:marTop w:val="0"/>
      <w:marBottom w:val="0"/>
      <w:divBdr>
        <w:top w:val="none" w:sz="0" w:space="0" w:color="auto"/>
        <w:left w:val="none" w:sz="0" w:space="0" w:color="auto"/>
        <w:bottom w:val="none" w:sz="0" w:space="0" w:color="auto"/>
        <w:right w:val="none" w:sz="0" w:space="0" w:color="auto"/>
      </w:divBdr>
    </w:div>
    <w:div w:id="1551914212">
      <w:bodyDiv w:val="1"/>
      <w:marLeft w:val="0"/>
      <w:marRight w:val="0"/>
      <w:marTop w:val="0"/>
      <w:marBottom w:val="0"/>
      <w:divBdr>
        <w:top w:val="none" w:sz="0" w:space="0" w:color="auto"/>
        <w:left w:val="none" w:sz="0" w:space="0" w:color="auto"/>
        <w:bottom w:val="none" w:sz="0" w:space="0" w:color="auto"/>
        <w:right w:val="none" w:sz="0" w:space="0" w:color="auto"/>
      </w:divBdr>
    </w:div>
    <w:div w:id="1554192416">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56087124">
      <w:bodyDiv w:val="1"/>
      <w:marLeft w:val="0"/>
      <w:marRight w:val="0"/>
      <w:marTop w:val="0"/>
      <w:marBottom w:val="0"/>
      <w:divBdr>
        <w:top w:val="none" w:sz="0" w:space="0" w:color="auto"/>
        <w:left w:val="none" w:sz="0" w:space="0" w:color="auto"/>
        <w:bottom w:val="none" w:sz="0" w:space="0" w:color="auto"/>
        <w:right w:val="none" w:sz="0" w:space="0" w:color="auto"/>
      </w:divBdr>
    </w:div>
    <w:div w:id="1556426668">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14236">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72695220">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4195159">
      <w:bodyDiv w:val="1"/>
      <w:marLeft w:val="0"/>
      <w:marRight w:val="0"/>
      <w:marTop w:val="0"/>
      <w:marBottom w:val="0"/>
      <w:divBdr>
        <w:top w:val="none" w:sz="0" w:space="0" w:color="auto"/>
        <w:left w:val="none" w:sz="0" w:space="0" w:color="auto"/>
        <w:bottom w:val="none" w:sz="0" w:space="0" w:color="auto"/>
        <w:right w:val="none" w:sz="0" w:space="0" w:color="auto"/>
      </w:divBdr>
    </w:div>
    <w:div w:id="1575121317">
      <w:bodyDiv w:val="1"/>
      <w:marLeft w:val="0"/>
      <w:marRight w:val="0"/>
      <w:marTop w:val="0"/>
      <w:marBottom w:val="0"/>
      <w:divBdr>
        <w:top w:val="none" w:sz="0" w:space="0" w:color="auto"/>
        <w:left w:val="none" w:sz="0" w:space="0" w:color="auto"/>
        <w:bottom w:val="none" w:sz="0" w:space="0" w:color="auto"/>
        <w:right w:val="none" w:sz="0" w:space="0" w:color="auto"/>
      </w:divBdr>
    </w:div>
    <w:div w:id="1576085925">
      <w:bodyDiv w:val="1"/>
      <w:marLeft w:val="0"/>
      <w:marRight w:val="0"/>
      <w:marTop w:val="0"/>
      <w:marBottom w:val="0"/>
      <w:divBdr>
        <w:top w:val="none" w:sz="0" w:space="0" w:color="auto"/>
        <w:left w:val="none" w:sz="0" w:space="0" w:color="auto"/>
        <w:bottom w:val="none" w:sz="0" w:space="0" w:color="auto"/>
        <w:right w:val="none" w:sz="0" w:space="0" w:color="auto"/>
      </w:divBdr>
    </w:div>
    <w:div w:id="1576428670">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175613">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7761585">
      <w:bodyDiv w:val="1"/>
      <w:marLeft w:val="0"/>
      <w:marRight w:val="0"/>
      <w:marTop w:val="0"/>
      <w:marBottom w:val="0"/>
      <w:divBdr>
        <w:top w:val="none" w:sz="0" w:space="0" w:color="auto"/>
        <w:left w:val="none" w:sz="0" w:space="0" w:color="auto"/>
        <w:bottom w:val="none" w:sz="0" w:space="0" w:color="auto"/>
        <w:right w:val="none" w:sz="0" w:space="0" w:color="auto"/>
      </w:divBdr>
    </w:div>
    <w:div w:id="1588617703">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591424081">
      <w:bodyDiv w:val="1"/>
      <w:marLeft w:val="0"/>
      <w:marRight w:val="0"/>
      <w:marTop w:val="0"/>
      <w:marBottom w:val="0"/>
      <w:divBdr>
        <w:top w:val="none" w:sz="0" w:space="0" w:color="auto"/>
        <w:left w:val="none" w:sz="0" w:space="0" w:color="auto"/>
        <w:bottom w:val="none" w:sz="0" w:space="0" w:color="auto"/>
        <w:right w:val="none" w:sz="0" w:space="0" w:color="auto"/>
      </w:divBdr>
    </w:div>
    <w:div w:id="1594896823">
      <w:bodyDiv w:val="1"/>
      <w:marLeft w:val="0"/>
      <w:marRight w:val="0"/>
      <w:marTop w:val="0"/>
      <w:marBottom w:val="0"/>
      <w:divBdr>
        <w:top w:val="none" w:sz="0" w:space="0" w:color="auto"/>
        <w:left w:val="none" w:sz="0" w:space="0" w:color="auto"/>
        <w:bottom w:val="none" w:sz="0" w:space="0" w:color="auto"/>
        <w:right w:val="none" w:sz="0" w:space="0" w:color="auto"/>
      </w:divBdr>
    </w:div>
    <w:div w:id="1601839827">
      <w:bodyDiv w:val="1"/>
      <w:marLeft w:val="0"/>
      <w:marRight w:val="0"/>
      <w:marTop w:val="0"/>
      <w:marBottom w:val="0"/>
      <w:divBdr>
        <w:top w:val="none" w:sz="0" w:space="0" w:color="auto"/>
        <w:left w:val="none" w:sz="0" w:space="0" w:color="auto"/>
        <w:bottom w:val="none" w:sz="0" w:space="0" w:color="auto"/>
        <w:right w:val="none" w:sz="0" w:space="0" w:color="auto"/>
      </w:divBdr>
    </w:div>
    <w:div w:id="1605722201">
      <w:bodyDiv w:val="1"/>
      <w:marLeft w:val="0"/>
      <w:marRight w:val="0"/>
      <w:marTop w:val="0"/>
      <w:marBottom w:val="0"/>
      <w:divBdr>
        <w:top w:val="none" w:sz="0" w:space="0" w:color="auto"/>
        <w:left w:val="none" w:sz="0" w:space="0" w:color="auto"/>
        <w:bottom w:val="none" w:sz="0" w:space="0" w:color="auto"/>
        <w:right w:val="none" w:sz="0" w:space="0" w:color="auto"/>
      </w:divBdr>
    </w:div>
    <w:div w:id="1607808566">
      <w:bodyDiv w:val="1"/>
      <w:marLeft w:val="0"/>
      <w:marRight w:val="0"/>
      <w:marTop w:val="0"/>
      <w:marBottom w:val="0"/>
      <w:divBdr>
        <w:top w:val="none" w:sz="0" w:space="0" w:color="auto"/>
        <w:left w:val="none" w:sz="0" w:space="0" w:color="auto"/>
        <w:bottom w:val="none" w:sz="0" w:space="0" w:color="auto"/>
        <w:right w:val="none" w:sz="0" w:space="0" w:color="auto"/>
      </w:divBdr>
    </w:div>
    <w:div w:id="1613318422">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1751838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30549913">
      <w:bodyDiv w:val="1"/>
      <w:marLeft w:val="0"/>
      <w:marRight w:val="0"/>
      <w:marTop w:val="0"/>
      <w:marBottom w:val="0"/>
      <w:divBdr>
        <w:top w:val="none" w:sz="0" w:space="0" w:color="auto"/>
        <w:left w:val="none" w:sz="0" w:space="0" w:color="auto"/>
        <w:bottom w:val="none" w:sz="0" w:space="0" w:color="auto"/>
        <w:right w:val="none" w:sz="0" w:space="0" w:color="auto"/>
      </w:divBdr>
    </w:div>
    <w:div w:id="1631009629">
      <w:bodyDiv w:val="1"/>
      <w:marLeft w:val="0"/>
      <w:marRight w:val="0"/>
      <w:marTop w:val="0"/>
      <w:marBottom w:val="0"/>
      <w:divBdr>
        <w:top w:val="none" w:sz="0" w:space="0" w:color="auto"/>
        <w:left w:val="none" w:sz="0" w:space="0" w:color="auto"/>
        <w:bottom w:val="none" w:sz="0" w:space="0" w:color="auto"/>
        <w:right w:val="none" w:sz="0" w:space="0" w:color="auto"/>
      </w:divBdr>
    </w:div>
    <w:div w:id="1637102493">
      <w:bodyDiv w:val="1"/>
      <w:marLeft w:val="0"/>
      <w:marRight w:val="0"/>
      <w:marTop w:val="0"/>
      <w:marBottom w:val="0"/>
      <w:divBdr>
        <w:top w:val="none" w:sz="0" w:space="0" w:color="auto"/>
        <w:left w:val="none" w:sz="0" w:space="0" w:color="auto"/>
        <w:bottom w:val="none" w:sz="0" w:space="0" w:color="auto"/>
        <w:right w:val="none" w:sz="0" w:space="0" w:color="auto"/>
      </w:divBdr>
    </w:div>
    <w:div w:id="1640301917">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46621704">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57416419">
      <w:bodyDiv w:val="1"/>
      <w:marLeft w:val="0"/>
      <w:marRight w:val="0"/>
      <w:marTop w:val="0"/>
      <w:marBottom w:val="0"/>
      <w:divBdr>
        <w:top w:val="none" w:sz="0" w:space="0" w:color="auto"/>
        <w:left w:val="none" w:sz="0" w:space="0" w:color="auto"/>
        <w:bottom w:val="none" w:sz="0" w:space="0" w:color="auto"/>
        <w:right w:val="none" w:sz="0" w:space="0" w:color="auto"/>
      </w:divBdr>
    </w:div>
    <w:div w:id="16606935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3656049">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79698938">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0428469">
      <w:bodyDiv w:val="1"/>
      <w:marLeft w:val="0"/>
      <w:marRight w:val="0"/>
      <w:marTop w:val="0"/>
      <w:marBottom w:val="0"/>
      <w:divBdr>
        <w:top w:val="none" w:sz="0" w:space="0" w:color="auto"/>
        <w:left w:val="none" w:sz="0" w:space="0" w:color="auto"/>
        <w:bottom w:val="none" w:sz="0" w:space="0" w:color="auto"/>
        <w:right w:val="none" w:sz="0" w:space="0" w:color="auto"/>
      </w:divBdr>
    </w:div>
    <w:div w:id="1684041777">
      <w:bodyDiv w:val="1"/>
      <w:marLeft w:val="0"/>
      <w:marRight w:val="0"/>
      <w:marTop w:val="0"/>
      <w:marBottom w:val="0"/>
      <w:divBdr>
        <w:top w:val="none" w:sz="0" w:space="0" w:color="auto"/>
        <w:left w:val="none" w:sz="0" w:space="0" w:color="auto"/>
        <w:bottom w:val="none" w:sz="0" w:space="0" w:color="auto"/>
        <w:right w:val="none" w:sz="0" w:space="0" w:color="auto"/>
      </w:divBdr>
    </w:div>
    <w:div w:id="1684431496">
      <w:bodyDiv w:val="1"/>
      <w:marLeft w:val="0"/>
      <w:marRight w:val="0"/>
      <w:marTop w:val="0"/>
      <w:marBottom w:val="0"/>
      <w:divBdr>
        <w:top w:val="none" w:sz="0" w:space="0" w:color="auto"/>
        <w:left w:val="none" w:sz="0" w:space="0" w:color="auto"/>
        <w:bottom w:val="none" w:sz="0" w:space="0" w:color="auto"/>
        <w:right w:val="none" w:sz="0" w:space="0" w:color="auto"/>
      </w:divBdr>
    </w:div>
    <w:div w:id="1685402257">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24183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5761657">
      <w:bodyDiv w:val="1"/>
      <w:marLeft w:val="0"/>
      <w:marRight w:val="0"/>
      <w:marTop w:val="0"/>
      <w:marBottom w:val="0"/>
      <w:divBdr>
        <w:top w:val="none" w:sz="0" w:space="0" w:color="auto"/>
        <w:left w:val="none" w:sz="0" w:space="0" w:color="auto"/>
        <w:bottom w:val="none" w:sz="0" w:space="0" w:color="auto"/>
        <w:right w:val="none" w:sz="0" w:space="0" w:color="auto"/>
      </w:divBdr>
    </w:div>
    <w:div w:id="1697387390">
      <w:bodyDiv w:val="1"/>
      <w:marLeft w:val="0"/>
      <w:marRight w:val="0"/>
      <w:marTop w:val="0"/>
      <w:marBottom w:val="0"/>
      <w:divBdr>
        <w:top w:val="none" w:sz="0" w:space="0" w:color="auto"/>
        <w:left w:val="none" w:sz="0" w:space="0" w:color="auto"/>
        <w:bottom w:val="none" w:sz="0" w:space="0" w:color="auto"/>
        <w:right w:val="none" w:sz="0" w:space="0" w:color="auto"/>
      </w:divBdr>
    </w:div>
    <w:div w:id="1698237659">
      <w:bodyDiv w:val="1"/>
      <w:marLeft w:val="0"/>
      <w:marRight w:val="0"/>
      <w:marTop w:val="0"/>
      <w:marBottom w:val="0"/>
      <w:divBdr>
        <w:top w:val="none" w:sz="0" w:space="0" w:color="auto"/>
        <w:left w:val="none" w:sz="0" w:space="0" w:color="auto"/>
        <w:bottom w:val="none" w:sz="0" w:space="0" w:color="auto"/>
        <w:right w:val="none" w:sz="0" w:space="0" w:color="auto"/>
      </w:divBdr>
    </w:div>
    <w:div w:id="1699307875">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04930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04403935">
      <w:bodyDiv w:val="1"/>
      <w:marLeft w:val="0"/>
      <w:marRight w:val="0"/>
      <w:marTop w:val="0"/>
      <w:marBottom w:val="0"/>
      <w:divBdr>
        <w:top w:val="none" w:sz="0" w:space="0" w:color="auto"/>
        <w:left w:val="none" w:sz="0" w:space="0" w:color="auto"/>
        <w:bottom w:val="none" w:sz="0" w:space="0" w:color="auto"/>
        <w:right w:val="none" w:sz="0" w:space="0" w:color="auto"/>
      </w:divBdr>
    </w:div>
    <w:div w:id="1709915901">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16462671">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7874674">
      <w:bodyDiv w:val="1"/>
      <w:marLeft w:val="0"/>
      <w:marRight w:val="0"/>
      <w:marTop w:val="0"/>
      <w:marBottom w:val="0"/>
      <w:divBdr>
        <w:top w:val="none" w:sz="0" w:space="0" w:color="auto"/>
        <w:left w:val="none" w:sz="0" w:space="0" w:color="auto"/>
        <w:bottom w:val="none" w:sz="0" w:space="0" w:color="auto"/>
        <w:right w:val="none" w:sz="0" w:space="0" w:color="auto"/>
      </w:divBdr>
    </w:div>
    <w:div w:id="1729113142">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1150576">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4812885">
      <w:bodyDiv w:val="1"/>
      <w:marLeft w:val="0"/>
      <w:marRight w:val="0"/>
      <w:marTop w:val="0"/>
      <w:marBottom w:val="0"/>
      <w:divBdr>
        <w:top w:val="none" w:sz="0" w:space="0" w:color="auto"/>
        <w:left w:val="none" w:sz="0" w:space="0" w:color="auto"/>
        <w:bottom w:val="none" w:sz="0" w:space="0" w:color="auto"/>
        <w:right w:val="none" w:sz="0" w:space="0" w:color="auto"/>
      </w:divBdr>
    </w:div>
    <w:div w:id="1735349400">
      <w:bodyDiv w:val="1"/>
      <w:marLeft w:val="0"/>
      <w:marRight w:val="0"/>
      <w:marTop w:val="0"/>
      <w:marBottom w:val="0"/>
      <w:divBdr>
        <w:top w:val="none" w:sz="0" w:space="0" w:color="auto"/>
        <w:left w:val="none" w:sz="0" w:space="0" w:color="auto"/>
        <w:bottom w:val="none" w:sz="0" w:space="0" w:color="auto"/>
        <w:right w:val="none" w:sz="0" w:space="0" w:color="auto"/>
      </w:divBdr>
    </w:div>
    <w:div w:id="1737893369">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171344">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10991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5953546">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308932">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670430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59716522">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63183994">
      <w:bodyDiv w:val="1"/>
      <w:marLeft w:val="0"/>
      <w:marRight w:val="0"/>
      <w:marTop w:val="0"/>
      <w:marBottom w:val="0"/>
      <w:divBdr>
        <w:top w:val="none" w:sz="0" w:space="0" w:color="auto"/>
        <w:left w:val="none" w:sz="0" w:space="0" w:color="auto"/>
        <w:bottom w:val="none" w:sz="0" w:space="0" w:color="auto"/>
        <w:right w:val="none" w:sz="0" w:space="0" w:color="auto"/>
      </w:divBdr>
    </w:div>
    <w:div w:id="1775903489">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1678877">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86346471">
      <w:bodyDiv w:val="1"/>
      <w:marLeft w:val="0"/>
      <w:marRight w:val="0"/>
      <w:marTop w:val="0"/>
      <w:marBottom w:val="0"/>
      <w:divBdr>
        <w:top w:val="none" w:sz="0" w:space="0" w:color="auto"/>
        <w:left w:val="none" w:sz="0" w:space="0" w:color="auto"/>
        <w:bottom w:val="none" w:sz="0" w:space="0" w:color="auto"/>
        <w:right w:val="none" w:sz="0" w:space="0" w:color="auto"/>
      </w:divBdr>
    </w:div>
    <w:div w:id="1787382810">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4906838">
      <w:bodyDiv w:val="1"/>
      <w:marLeft w:val="0"/>
      <w:marRight w:val="0"/>
      <w:marTop w:val="0"/>
      <w:marBottom w:val="0"/>
      <w:divBdr>
        <w:top w:val="none" w:sz="0" w:space="0" w:color="auto"/>
        <w:left w:val="none" w:sz="0" w:space="0" w:color="auto"/>
        <w:bottom w:val="none" w:sz="0" w:space="0" w:color="auto"/>
        <w:right w:val="none" w:sz="0" w:space="0" w:color="auto"/>
      </w:divBdr>
    </w:div>
    <w:div w:id="1795060442">
      <w:bodyDiv w:val="1"/>
      <w:marLeft w:val="0"/>
      <w:marRight w:val="0"/>
      <w:marTop w:val="0"/>
      <w:marBottom w:val="0"/>
      <w:divBdr>
        <w:top w:val="none" w:sz="0" w:space="0" w:color="auto"/>
        <w:left w:val="none" w:sz="0" w:space="0" w:color="auto"/>
        <w:bottom w:val="none" w:sz="0" w:space="0" w:color="auto"/>
        <w:right w:val="none" w:sz="0" w:space="0" w:color="auto"/>
      </w:divBdr>
    </w:div>
    <w:div w:id="1796486163">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50740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10633602">
      <w:bodyDiv w:val="1"/>
      <w:marLeft w:val="0"/>
      <w:marRight w:val="0"/>
      <w:marTop w:val="0"/>
      <w:marBottom w:val="0"/>
      <w:divBdr>
        <w:top w:val="none" w:sz="0" w:space="0" w:color="auto"/>
        <w:left w:val="none" w:sz="0" w:space="0" w:color="auto"/>
        <w:bottom w:val="none" w:sz="0" w:space="0" w:color="auto"/>
        <w:right w:val="none" w:sz="0" w:space="0" w:color="auto"/>
      </w:divBdr>
    </w:div>
    <w:div w:id="1814299273">
      <w:bodyDiv w:val="1"/>
      <w:marLeft w:val="0"/>
      <w:marRight w:val="0"/>
      <w:marTop w:val="0"/>
      <w:marBottom w:val="0"/>
      <w:divBdr>
        <w:top w:val="none" w:sz="0" w:space="0" w:color="auto"/>
        <w:left w:val="none" w:sz="0" w:space="0" w:color="auto"/>
        <w:bottom w:val="none" w:sz="0" w:space="0" w:color="auto"/>
        <w:right w:val="none" w:sz="0" w:space="0" w:color="auto"/>
      </w:divBdr>
    </w:div>
    <w:div w:id="1814515682">
      <w:bodyDiv w:val="1"/>
      <w:marLeft w:val="0"/>
      <w:marRight w:val="0"/>
      <w:marTop w:val="0"/>
      <w:marBottom w:val="0"/>
      <w:divBdr>
        <w:top w:val="none" w:sz="0" w:space="0" w:color="auto"/>
        <w:left w:val="none" w:sz="0" w:space="0" w:color="auto"/>
        <w:bottom w:val="none" w:sz="0" w:space="0" w:color="auto"/>
        <w:right w:val="none" w:sz="0" w:space="0" w:color="auto"/>
      </w:divBdr>
    </w:div>
    <w:div w:id="1814826938">
      <w:bodyDiv w:val="1"/>
      <w:marLeft w:val="0"/>
      <w:marRight w:val="0"/>
      <w:marTop w:val="0"/>
      <w:marBottom w:val="0"/>
      <w:divBdr>
        <w:top w:val="none" w:sz="0" w:space="0" w:color="auto"/>
        <w:left w:val="none" w:sz="0" w:space="0" w:color="auto"/>
        <w:bottom w:val="none" w:sz="0" w:space="0" w:color="auto"/>
        <w:right w:val="none" w:sz="0" w:space="0" w:color="auto"/>
      </w:divBdr>
    </w:div>
    <w:div w:id="1815872321">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0804996">
      <w:bodyDiv w:val="1"/>
      <w:marLeft w:val="0"/>
      <w:marRight w:val="0"/>
      <w:marTop w:val="0"/>
      <w:marBottom w:val="0"/>
      <w:divBdr>
        <w:top w:val="none" w:sz="0" w:space="0" w:color="auto"/>
        <w:left w:val="none" w:sz="0" w:space="0" w:color="auto"/>
        <w:bottom w:val="none" w:sz="0" w:space="0" w:color="auto"/>
        <w:right w:val="none" w:sz="0" w:space="0" w:color="auto"/>
      </w:divBdr>
    </w:div>
    <w:div w:id="1820922623">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28937589">
      <w:bodyDiv w:val="1"/>
      <w:marLeft w:val="0"/>
      <w:marRight w:val="0"/>
      <w:marTop w:val="0"/>
      <w:marBottom w:val="0"/>
      <w:divBdr>
        <w:top w:val="none" w:sz="0" w:space="0" w:color="auto"/>
        <w:left w:val="none" w:sz="0" w:space="0" w:color="auto"/>
        <w:bottom w:val="none" w:sz="0" w:space="0" w:color="auto"/>
        <w:right w:val="none" w:sz="0" w:space="0" w:color="auto"/>
      </w:divBdr>
    </w:div>
    <w:div w:id="1830709099">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39493303">
      <w:bodyDiv w:val="1"/>
      <w:marLeft w:val="0"/>
      <w:marRight w:val="0"/>
      <w:marTop w:val="0"/>
      <w:marBottom w:val="0"/>
      <w:divBdr>
        <w:top w:val="none" w:sz="0" w:space="0" w:color="auto"/>
        <w:left w:val="none" w:sz="0" w:space="0" w:color="auto"/>
        <w:bottom w:val="none" w:sz="0" w:space="0" w:color="auto"/>
        <w:right w:val="none" w:sz="0" w:space="0" w:color="auto"/>
      </w:divBdr>
    </w:div>
    <w:div w:id="1844394427">
      <w:bodyDiv w:val="1"/>
      <w:marLeft w:val="0"/>
      <w:marRight w:val="0"/>
      <w:marTop w:val="0"/>
      <w:marBottom w:val="0"/>
      <w:divBdr>
        <w:top w:val="none" w:sz="0" w:space="0" w:color="auto"/>
        <w:left w:val="none" w:sz="0" w:space="0" w:color="auto"/>
        <w:bottom w:val="none" w:sz="0" w:space="0" w:color="auto"/>
        <w:right w:val="none" w:sz="0" w:space="0" w:color="auto"/>
      </w:divBdr>
    </w:div>
    <w:div w:id="1846480200">
      <w:bodyDiv w:val="1"/>
      <w:marLeft w:val="0"/>
      <w:marRight w:val="0"/>
      <w:marTop w:val="0"/>
      <w:marBottom w:val="0"/>
      <w:divBdr>
        <w:top w:val="none" w:sz="0" w:space="0" w:color="auto"/>
        <w:left w:val="none" w:sz="0" w:space="0" w:color="auto"/>
        <w:bottom w:val="none" w:sz="0" w:space="0" w:color="auto"/>
        <w:right w:val="none" w:sz="0" w:space="0" w:color="auto"/>
      </w:divBdr>
    </w:div>
    <w:div w:id="1847011703">
      <w:bodyDiv w:val="1"/>
      <w:marLeft w:val="0"/>
      <w:marRight w:val="0"/>
      <w:marTop w:val="0"/>
      <w:marBottom w:val="0"/>
      <w:divBdr>
        <w:top w:val="none" w:sz="0" w:space="0" w:color="auto"/>
        <w:left w:val="none" w:sz="0" w:space="0" w:color="auto"/>
        <w:bottom w:val="none" w:sz="0" w:space="0" w:color="auto"/>
        <w:right w:val="none" w:sz="0" w:space="0" w:color="auto"/>
      </w:divBdr>
    </w:div>
    <w:div w:id="1847088556">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447210">
      <w:bodyDiv w:val="1"/>
      <w:marLeft w:val="0"/>
      <w:marRight w:val="0"/>
      <w:marTop w:val="0"/>
      <w:marBottom w:val="0"/>
      <w:divBdr>
        <w:top w:val="none" w:sz="0" w:space="0" w:color="auto"/>
        <w:left w:val="none" w:sz="0" w:space="0" w:color="auto"/>
        <w:bottom w:val="none" w:sz="0" w:space="0" w:color="auto"/>
        <w:right w:val="none" w:sz="0" w:space="0" w:color="auto"/>
      </w:divBdr>
    </w:div>
    <w:div w:id="1849523076">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59004085">
      <w:bodyDiv w:val="1"/>
      <w:marLeft w:val="0"/>
      <w:marRight w:val="0"/>
      <w:marTop w:val="0"/>
      <w:marBottom w:val="0"/>
      <w:divBdr>
        <w:top w:val="none" w:sz="0" w:space="0" w:color="auto"/>
        <w:left w:val="none" w:sz="0" w:space="0" w:color="auto"/>
        <w:bottom w:val="none" w:sz="0" w:space="0" w:color="auto"/>
        <w:right w:val="none" w:sz="0" w:space="0" w:color="auto"/>
      </w:divBdr>
    </w:div>
    <w:div w:id="1860466775">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047389">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2816087">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64436765">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4946891">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899391953">
      <w:bodyDiv w:val="1"/>
      <w:marLeft w:val="0"/>
      <w:marRight w:val="0"/>
      <w:marTop w:val="0"/>
      <w:marBottom w:val="0"/>
      <w:divBdr>
        <w:top w:val="none" w:sz="0" w:space="0" w:color="auto"/>
        <w:left w:val="none" w:sz="0" w:space="0" w:color="auto"/>
        <w:bottom w:val="none" w:sz="0" w:space="0" w:color="auto"/>
        <w:right w:val="none" w:sz="0" w:space="0" w:color="auto"/>
      </w:divBdr>
    </w:div>
    <w:div w:id="1906186421">
      <w:bodyDiv w:val="1"/>
      <w:marLeft w:val="0"/>
      <w:marRight w:val="0"/>
      <w:marTop w:val="0"/>
      <w:marBottom w:val="0"/>
      <w:divBdr>
        <w:top w:val="none" w:sz="0" w:space="0" w:color="auto"/>
        <w:left w:val="none" w:sz="0" w:space="0" w:color="auto"/>
        <w:bottom w:val="none" w:sz="0" w:space="0" w:color="auto"/>
        <w:right w:val="none" w:sz="0" w:space="0" w:color="auto"/>
      </w:divBdr>
    </w:div>
    <w:div w:id="1909148374">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3656799">
      <w:bodyDiv w:val="1"/>
      <w:marLeft w:val="0"/>
      <w:marRight w:val="0"/>
      <w:marTop w:val="0"/>
      <w:marBottom w:val="0"/>
      <w:divBdr>
        <w:top w:val="none" w:sz="0" w:space="0" w:color="auto"/>
        <w:left w:val="none" w:sz="0" w:space="0" w:color="auto"/>
        <w:bottom w:val="none" w:sz="0" w:space="0" w:color="auto"/>
        <w:right w:val="none" w:sz="0" w:space="0" w:color="auto"/>
      </w:divBdr>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236888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49847195">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55088334">
      <w:bodyDiv w:val="1"/>
      <w:marLeft w:val="0"/>
      <w:marRight w:val="0"/>
      <w:marTop w:val="0"/>
      <w:marBottom w:val="0"/>
      <w:divBdr>
        <w:top w:val="none" w:sz="0" w:space="0" w:color="auto"/>
        <w:left w:val="none" w:sz="0" w:space="0" w:color="auto"/>
        <w:bottom w:val="none" w:sz="0" w:space="0" w:color="auto"/>
        <w:right w:val="none" w:sz="0" w:space="0" w:color="auto"/>
      </w:divBdr>
    </w:div>
    <w:div w:id="1958681114">
      <w:bodyDiv w:val="1"/>
      <w:marLeft w:val="0"/>
      <w:marRight w:val="0"/>
      <w:marTop w:val="0"/>
      <w:marBottom w:val="0"/>
      <w:divBdr>
        <w:top w:val="none" w:sz="0" w:space="0" w:color="auto"/>
        <w:left w:val="none" w:sz="0" w:space="0" w:color="auto"/>
        <w:bottom w:val="none" w:sz="0" w:space="0" w:color="auto"/>
        <w:right w:val="none" w:sz="0" w:space="0" w:color="auto"/>
      </w:divBdr>
    </w:div>
    <w:div w:id="1958683586">
      <w:bodyDiv w:val="1"/>
      <w:marLeft w:val="0"/>
      <w:marRight w:val="0"/>
      <w:marTop w:val="0"/>
      <w:marBottom w:val="0"/>
      <w:divBdr>
        <w:top w:val="none" w:sz="0" w:space="0" w:color="auto"/>
        <w:left w:val="none" w:sz="0" w:space="0" w:color="auto"/>
        <w:bottom w:val="none" w:sz="0" w:space="0" w:color="auto"/>
        <w:right w:val="none" w:sz="0" w:space="0" w:color="auto"/>
      </w:divBdr>
    </w:div>
    <w:div w:id="1962345683">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6815135">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2666117">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5678302">
      <w:bodyDiv w:val="1"/>
      <w:marLeft w:val="0"/>
      <w:marRight w:val="0"/>
      <w:marTop w:val="0"/>
      <w:marBottom w:val="0"/>
      <w:divBdr>
        <w:top w:val="none" w:sz="0" w:space="0" w:color="auto"/>
        <w:left w:val="none" w:sz="0" w:space="0" w:color="auto"/>
        <w:bottom w:val="none" w:sz="0" w:space="0" w:color="auto"/>
        <w:right w:val="none" w:sz="0" w:space="0" w:color="auto"/>
      </w:divBdr>
    </w:div>
    <w:div w:id="1975938222">
      <w:bodyDiv w:val="1"/>
      <w:marLeft w:val="0"/>
      <w:marRight w:val="0"/>
      <w:marTop w:val="0"/>
      <w:marBottom w:val="0"/>
      <w:divBdr>
        <w:top w:val="none" w:sz="0" w:space="0" w:color="auto"/>
        <w:left w:val="none" w:sz="0" w:space="0" w:color="auto"/>
        <w:bottom w:val="none" w:sz="0" w:space="0" w:color="auto"/>
        <w:right w:val="none" w:sz="0" w:space="0" w:color="auto"/>
      </w:divBdr>
    </w:div>
    <w:div w:id="1978099633">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5043703">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88976939">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1998923444">
      <w:bodyDiv w:val="1"/>
      <w:marLeft w:val="0"/>
      <w:marRight w:val="0"/>
      <w:marTop w:val="0"/>
      <w:marBottom w:val="0"/>
      <w:divBdr>
        <w:top w:val="none" w:sz="0" w:space="0" w:color="auto"/>
        <w:left w:val="none" w:sz="0" w:space="0" w:color="auto"/>
        <w:bottom w:val="none" w:sz="0" w:space="0" w:color="auto"/>
        <w:right w:val="none" w:sz="0" w:space="0" w:color="auto"/>
      </w:divBdr>
    </w:div>
    <w:div w:id="2001808983">
      <w:bodyDiv w:val="1"/>
      <w:marLeft w:val="0"/>
      <w:marRight w:val="0"/>
      <w:marTop w:val="0"/>
      <w:marBottom w:val="0"/>
      <w:divBdr>
        <w:top w:val="none" w:sz="0" w:space="0" w:color="auto"/>
        <w:left w:val="none" w:sz="0" w:space="0" w:color="auto"/>
        <w:bottom w:val="none" w:sz="0" w:space="0" w:color="auto"/>
        <w:right w:val="none" w:sz="0" w:space="0" w:color="auto"/>
      </w:divBdr>
    </w:div>
    <w:div w:id="2002998097">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07587174">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15719705">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4359179">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28483677">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3607914">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6687590">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1666225">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2855399">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5514476">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2873523">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3824441">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67021516">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3849985">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5107608">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6877956">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0271675">
      <w:bodyDiv w:val="1"/>
      <w:marLeft w:val="0"/>
      <w:marRight w:val="0"/>
      <w:marTop w:val="0"/>
      <w:marBottom w:val="0"/>
      <w:divBdr>
        <w:top w:val="none" w:sz="0" w:space="0" w:color="auto"/>
        <w:left w:val="none" w:sz="0" w:space="0" w:color="auto"/>
        <w:bottom w:val="none" w:sz="0" w:space="0" w:color="auto"/>
        <w:right w:val="none" w:sz="0" w:space="0" w:color="auto"/>
      </w:divBdr>
    </w:div>
    <w:div w:id="2091652650">
      <w:bodyDiv w:val="1"/>
      <w:marLeft w:val="0"/>
      <w:marRight w:val="0"/>
      <w:marTop w:val="0"/>
      <w:marBottom w:val="0"/>
      <w:divBdr>
        <w:top w:val="none" w:sz="0" w:space="0" w:color="auto"/>
        <w:left w:val="none" w:sz="0" w:space="0" w:color="auto"/>
        <w:bottom w:val="none" w:sz="0" w:space="0" w:color="auto"/>
        <w:right w:val="none" w:sz="0" w:space="0" w:color="auto"/>
      </w:divBdr>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097511543">
      <w:bodyDiv w:val="1"/>
      <w:marLeft w:val="0"/>
      <w:marRight w:val="0"/>
      <w:marTop w:val="0"/>
      <w:marBottom w:val="0"/>
      <w:divBdr>
        <w:top w:val="none" w:sz="0" w:space="0" w:color="auto"/>
        <w:left w:val="none" w:sz="0" w:space="0" w:color="auto"/>
        <w:bottom w:val="none" w:sz="0" w:space="0" w:color="auto"/>
        <w:right w:val="none" w:sz="0" w:space="0" w:color="auto"/>
      </w:divBdr>
    </w:div>
    <w:div w:id="2108571179">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5665230">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19058394">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606014">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4298512">
      <w:bodyDiv w:val="1"/>
      <w:marLeft w:val="0"/>
      <w:marRight w:val="0"/>
      <w:marTop w:val="0"/>
      <w:marBottom w:val="0"/>
      <w:divBdr>
        <w:top w:val="none" w:sz="0" w:space="0" w:color="auto"/>
        <w:left w:val="none" w:sz="0" w:space="0" w:color="auto"/>
        <w:bottom w:val="none" w:sz="0" w:space="0" w:color="auto"/>
        <w:right w:val="none" w:sz="0" w:space="0" w:color="auto"/>
      </w:divBdr>
    </w:div>
    <w:div w:id="2127772404">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3354412">
      <w:bodyDiv w:val="1"/>
      <w:marLeft w:val="0"/>
      <w:marRight w:val="0"/>
      <w:marTop w:val="0"/>
      <w:marBottom w:val="0"/>
      <w:divBdr>
        <w:top w:val="none" w:sz="0" w:space="0" w:color="auto"/>
        <w:left w:val="none" w:sz="0" w:space="0" w:color="auto"/>
        <w:bottom w:val="none" w:sz="0" w:space="0" w:color="auto"/>
        <w:right w:val="none" w:sz="0" w:space="0" w:color="auto"/>
      </w:divBdr>
    </w:div>
    <w:div w:id="2137485339">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405303">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 w:id="2143496709">
      <w:bodyDiv w:val="1"/>
      <w:marLeft w:val="0"/>
      <w:marRight w:val="0"/>
      <w:marTop w:val="0"/>
      <w:marBottom w:val="0"/>
      <w:divBdr>
        <w:top w:val="none" w:sz="0" w:space="0" w:color="auto"/>
        <w:left w:val="none" w:sz="0" w:space="0" w:color="auto"/>
        <w:bottom w:val="none" w:sz="0" w:space="0" w:color="auto"/>
        <w:right w:val="none" w:sz="0" w:space="0" w:color="auto"/>
      </w:divBdr>
    </w:div>
    <w:div w:id="2144156499">
      <w:bodyDiv w:val="1"/>
      <w:marLeft w:val="0"/>
      <w:marRight w:val="0"/>
      <w:marTop w:val="0"/>
      <w:marBottom w:val="0"/>
      <w:divBdr>
        <w:top w:val="none" w:sz="0" w:space="0" w:color="auto"/>
        <w:left w:val="none" w:sz="0" w:space="0" w:color="auto"/>
        <w:bottom w:val="none" w:sz="0" w:space="0" w:color="auto"/>
        <w:right w:val="none" w:sz="0" w:space="0" w:color="auto"/>
      </w:divBdr>
    </w:div>
    <w:div w:id="2144347630">
      <w:bodyDiv w:val="1"/>
      <w:marLeft w:val="0"/>
      <w:marRight w:val="0"/>
      <w:marTop w:val="0"/>
      <w:marBottom w:val="0"/>
      <w:divBdr>
        <w:top w:val="none" w:sz="0" w:space="0" w:color="auto"/>
        <w:left w:val="none" w:sz="0" w:space="0" w:color="auto"/>
        <w:bottom w:val="none" w:sz="0" w:space="0" w:color="auto"/>
        <w:right w:val="none" w:sz="0" w:space="0" w:color="auto"/>
      </w:divBdr>
    </w:div>
    <w:div w:id="2145613539">
      <w:bodyDiv w:val="1"/>
      <w:marLeft w:val="0"/>
      <w:marRight w:val="0"/>
      <w:marTop w:val="0"/>
      <w:marBottom w:val="0"/>
      <w:divBdr>
        <w:top w:val="none" w:sz="0" w:space="0" w:color="auto"/>
        <w:left w:val="none" w:sz="0" w:space="0" w:color="auto"/>
        <w:bottom w:val="none" w:sz="0" w:space="0" w:color="auto"/>
        <w:right w:val="none" w:sz="0" w:space="0" w:color="auto"/>
      </w:divBdr>
    </w:div>
    <w:div w:id="2146458741">
      <w:bodyDiv w:val="1"/>
      <w:marLeft w:val="0"/>
      <w:marRight w:val="0"/>
      <w:marTop w:val="0"/>
      <w:marBottom w:val="0"/>
      <w:divBdr>
        <w:top w:val="none" w:sz="0" w:space="0" w:color="auto"/>
        <w:left w:val="none" w:sz="0" w:space="0" w:color="auto"/>
        <w:bottom w:val="none" w:sz="0" w:space="0" w:color="auto"/>
        <w:right w:val="none" w:sz="0" w:space="0" w:color="auto"/>
      </w:divBdr>
      <w:divsChild>
        <w:div w:id="2138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otpuschennikova@rpharm.ru" TargetMode="External"/><Relationship Id="rId13" Type="http://schemas.openxmlformats.org/officeDocument/2006/relationships/chart" Target="charts/chart1.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oleObject" Target="embeddings/oleObject1.bin"/><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57;&#1072;&#1083;&#1100;&#1085;&#1080;&#1082;&#1086;&#1074;&#1072;\&#1051;&#1080;&#1085;&#1072;&#1075;&#1083;&#1080;&#1087;&#1090;&#1080;&#1085;\&#1058;&#1088;&#1072;&#1078;&#1077;&#1085;&#1090;&#1072;%20-%20&#1051;&#1080;&#1085;&#1086;&#1075;&#1083;&#1080;&#1087;&#1090;&#1080;&#1085;%20&#1058;&#1057;&#1050;&#105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57;&#1072;&#1083;&#1100;&#1085;&#1080;&#1082;&#1086;&#1074;&#1072;\&#1051;&#1080;&#1085;&#1072;&#1075;&#1083;&#1080;&#1087;&#1090;&#1080;&#1085;\&#1058;&#1088;&#1072;&#1078;&#1077;&#1085;&#1090;&#1072;%20-%20&#1051;&#1080;&#1085;&#1086;&#1075;&#1083;&#1080;&#1087;&#1090;&#1080;&#1085;%20&#1058;&#1057;&#1050;&#105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57;&#1072;&#1083;&#1100;&#1085;&#1080;&#1082;&#1086;&#1074;&#1072;\&#1051;&#1080;&#1085;&#1072;&#1075;&#1083;&#1080;&#1087;&#1090;&#1080;&#1085;\&#1058;&#1088;&#1072;&#1078;&#1077;&#1085;&#1090;&#1072;%20-%20&#1051;&#1080;&#1085;&#1086;&#1075;&#1083;&#1080;&#1087;&#1090;&#1080;&#1085;%20&#1058;&#1057;&#1050;&#105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79450164883233"/>
          <c:y val="4.8490191756667404E-2"/>
          <c:w val="0.80308584023150953"/>
          <c:h val="0.72110876149647196"/>
        </c:manualLayout>
      </c:layout>
      <c:scatterChart>
        <c:scatterStyle val="smoothMarker"/>
        <c:varyColors val="0"/>
        <c:ser>
          <c:idx val="0"/>
          <c:order val="0"/>
          <c:tx>
            <c:strRef>
              <c:f>'Линаглиптин 0,1 М HCl'!$C$23</c:f>
              <c:strCache>
                <c:ptCount val="1"/>
                <c:pt idx="0">
                  <c:v>ЛИНАГЛИПТИН,тппо, 5 мг, c. 10423</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'Линаглиптин 0,1 М HCl'!$B$24:$B$29</c:f>
              <c:numCache>
                <c:formatCode>General</c:formatCode>
                <c:ptCount val="6"/>
                <c:pt idx="0">
                  <c:v>0</c:v>
                </c:pt>
                <c:pt idx="1">
                  <c:v>10</c:v>
                </c:pt>
                <c:pt idx="2">
                  <c:v>15</c:v>
                </c:pt>
                <c:pt idx="3">
                  <c:v>20</c:v>
                </c:pt>
                <c:pt idx="4">
                  <c:v>30</c:v>
                </c:pt>
                <c:pt idx="5">
                  <c:v>45</c:v>
                </c:pt>
              </c:numCache>
            </c:numRef>
          </c:xVal>
          <c:yVal>
            <c:numRef>
              <c:f>'Линаглиптин 0,1 М HCl'!$C$24:$C$29</c:f>
              <c:numCache>
                <c:formatCode>0.0</c:formatCode>
                <c:ptCount val="6"/>
                <c:pt idx="0" formatCode="General">
                  <c:v>0</c:v>
                </c:pt>
                <c:pt idx="1">
                  <c:v>74.985680287337118</c:v>
                </c:pt>
                <c:pt idx="2">
                  <c:v>96.986121675761936</c:v>
                </c:pt>
                <c:pt idx="3">
                  <c:v>97.513208003860868</c:v>
                </c:pt>
                <c:pt idx="4">
                  <c:v>97.800046907970454</c:v>
                </c:pt>
                <c:pt idx="5">
                  <c:v>98.182230956676676</c:v>
                </c:pt>
              </c:numCache>
            </c:numRef>
          </c:yVal>
          <c:smooth val="1"/>
          <c:extLst>
            <c:ext xmlns:c16="http://schemas.microsoft.com/office/drawing/2014/chart" uri="{C3380CC4-5D6E-409C-BE32-E72D297353CC}">
              <c16:uniqueId val="{00000000-5A4E-4419-A22A-06D9EC89C84C}"/>
            </c:ext>
          </c:extLst>
        </c:ser>
        <c:ser>
          <c:idx val="1"/>
          <c:order val="1"/>
          <c:tx>
            <c:strRef>
              <c:f>'Линаглиптин 0,1 М HCl'!$D$23</c:f>
              <c:strCache>
                <c:ptCount val="1"/>
                <c:pt idx="0">
                  <c:v>Тражента, тппо, 5 мг, c. AB5207A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'Линаглиптин 0,1 М HCl'!$B$24:$B$29</c:f>
              <c:numCache>
                <c:formatCode>General</c:formatCode>
                <c:ptCount val="6"/>
                <c:pt idx="0">
                  <c:v>0</c:v>
                </c:pt>
                <c:pt idx="1">
                  <c:v>10</c:v>
                </c:pt>
                <c:pt idx="2">
                  <c:v>15</c:v>
                </c:pt>
                <c:pt idx="3">
                  <c:v>20</c:v>
                </c:pt>
                <c:pt idx="4">
                  <c:v>30</c:v>
                </c:pt>
                <c:pt idx="5">
                  <c:v>45</c:v>
                </c:pt>
              </c:numCache>
            </c:numRef>
          </c:xVal>
          <c:yVal>
            <c:numRef>
              <c:f>'Линаглиптин 0,1 М HCl'!$D$24:$D$29</c:f>
              <c:numCache>
                <c:formatCode>0.0</c:formatCode>
                <c:ptCount val="6"/>
                <c:pt idx="0" formatCode="General">
                  <c:v>0</c:v>
                </c:pt>
                <c:pt idx="1">
                  <c:v>73.521796558636822</c:v>
                </c:pt>
                <c:pt idx="2">
                  <c:v>100.58284676318816</c:v>
                </c:pt>
                <c:pt idx="3">
                  <c:v>100.82806198537325</c:v>
                </c:pt>
                <c:pt idx="4">
                  <c:v>101.0453517147418</c:v>
                </c:pt>
                <c:pt idx="5">
                  <c:v>101.3986108319412</c:v>
                </c:pt>
              </c:numCache>
            </c:numRef>
          </c:yVal>
          <c:smooth val="1"/>
          <c:extLst>
            <c:ext xmlns:c16="http://schemas.microsoft.com/office/drawing/2014/chart" uri="{C3380CC4-5D6E-409C-BE32-E72D297353CC}">
              <c16:uniqueId val="{00000001-5A4E-4419-A22A-06D9EC89C84C}"/>
            </c:ext>
          </c:extLst>
        </c:ser>
        <c:dLbls>
          <c:showLegendKey val="0"/>
          <c:showVal val="0"/>
          <c:showCatName val="0"/>
          <c:showSerName val="0"/>
          <c:showPercent val="0"/>
          <c:showBubbleSize val="0"/>
        </c:dLbls>
        <c:axId val="509460160"/>
        <c:axId val="509461336"/>
      </c:scatterChart>
      <c:valAx>
        <c:axId val="50946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09461336"/>
        <c:crosses val="autoZero"/>
        <c:crossBetween val="midCat"/>
      </c:valAx>
      <c:valAx>
        <c:axId val="50946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линаглиптина,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09460160"/>
        <c:crosses val="autoZero"/>
        <c:crossBetween val="midCat"/>
      </c:valAx>
      <c:spPr>
        <a:noFill/>
        <a:ln>
          <a:noFill/>
        </a:ln>
        <a:effectLst/>
      </c:spPr>
    </c:plotArea>
    <c:legend>
      <c:legendPos val="b"/>
      <c:layout>
        <c:manualLayout>
          <c:xMode val="edge"/>
          <c:yMode val="edge"/>
          <c:x val="0.39998065145702949"/>
          <c:y val="0.28205706708966866"/>
          <c:w val="0.54191887071808331"/>
          <c:h val="0.2127928096980544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75988067792517"/>
          <c:y val="4.4715447154471545E-2"/>
          <c:w val="0.78678064379240908"/>
          <c:h val="0.76162466178214205"/>
        </c:manualLayout>
      </c:layout>
      <c:scatterChart>
        <c:scatterStyle val="smoothMarker"/>
        <c:varyColors val="0"/>
        <c:ser>
          <c:idx val="0"/>
          <c:order val="0"/>
          <c:tx>
            <c:strRef>
              <c:f>'Линаглиптин рН 4,5'!$C$26</c:f>
              <c:strCache>
                <c:ptCount val="1"/>
                <c:pt idx="0">
                  <c:v>ЛИНАГЛИПТИН, тппо, 5 мг, с 10423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'Линаглиптин рН 4,5'!$B$27:$B$32</c:f>
              <c:numCache>
                <c:formatCode>General</c:formatCode>
                <c:ptCount val="6"/>
                <c:pt idx="0">
                  <c:v>0</c:v>
                </c:pt>
                <c:pt idx="1">
                  <c:v>10</c:v>
                </c:pt>
                <c:pt idx="2">
                  <c:v>15</c:v>
                </c:pt>
                <c:pt idx="3">
                  <c:v>20</c:v>
                </c:pt>
                <c:pt idx="4">
                  <c:v>30</c:v>
                </c:pt>
                <c:pt idx="5">
                  <c:v>45</c:v>
                </c:pt>
              </c:numCache>
            </c:numRef>
          </c:xVal>
          <c:yVal>
            <c:numRef>
              <c:f>'Линаглиптин рН 4,5'!$C$27:$C$32</c:f>
              <c:numCache>
                <c:formatCode>0.0</c:formatCode>
                <c:ptCount val="6"/>
                <c:pt idx="0" formatCode="General">
                  <c:v>0</c:v>
                </c:pt>
                <c:pt idx="1">
                  <c:v>81.883434474338273</c:v>
                </c:pt>
                <c:pt idx="2">
                  <c:v>96.302553261529951</c:v>
                </c:pt>
                <c:pt idx="3">
                  <c:v>98.828055869416673</c:v>
                </c:pt>
                <c:pt idx="4">
                  <c:v>99.062229296356023</c:v>
                </c:pt>
                <c:pt idx="5">
                  <c:v>99.288415353130105</c:v>
                </c:pt>
              </c:numCache>
            </c:numRef>
          </c:yVal>
          <c:smooth val="1"/>
          <c:extLst>
            <c:ext xmlns:c16="http://schemas.microsoft.com/office/drawing/2014/chart" uri="{C3380CC4-5D6E-409C-BE32-E72D297353CC}">
              <c16:uniqueId val="{00000000-C886-49B9-8E23-14404BE625DE}"/>
            </c:ext>
          </c:extLst>
        </c:ser>
        <c:ser>
          <c:idx val="1"/>
          <c:order val="1"/>
          <c:tx>
            <c:strRef>
              <c:f>'Линаглиптин рН 4,5'!$D$26</c:f>
              <c:strCache>
                <c:ptCount val="1"/>
                <c:pt idx="0">
                  <c:v>Тражента, тппо, 5 мг, с. АВ5207А</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'Линаглиптин рН 4,5'!$B$27:$B$32</c:f>
              <c:numCache>
                <c:formatCode>General</c:formatCode>
                <c:ptCount val="6"/>
                <c:pt idx="0">
                  <c:v>0</c:v>
                </c:pt>
                <c:pt idx="1">
                  <c:v>10</c:v>
                </c:pt>
                <c:pt idx="2">
                  <c:v>15</c:v>
                </c:pt>
                <c:pt idx="3">
                  <c:v>20</c:v>
                </c:pt>
                <c:pt idx="4">
                  <c:v>30</c:v>
                </c:pt>
                <c:pt idx="5">
                  <c:v>45</c:v>
                </c:pt>
              </c:numCache>
            </c:numRef>
          </c:xVal>
          <c:yVal>
            <c:numRef>
              <c:f>'Линаглиптин рН 4,5'!$D$27:$D$32</c:f>
              <c:numCache>
                <c:formatCode>0.0</c:formatCode>
                <c:ptCount val="6"/>
                <c:pt idx="0" formatCode="General">
                  <c:v>0</c:v>
                </c:pt>
                <c:pt idx="1">
                  <c:v>90.282372877512728</c:v>
                </c:pt>
                <c:pt idx="2">
                  <c:v>98.727163849474536</c:v>
                </c:pt>
                <c:pt idx="3">
                  <c:v>99.559246793703366</c:v>
                </c:pt>
                <c:pt idx="4">
                  <c:v>100.67092605764616</c:v>
                </c:pt>
                <c:pt idx="5">
                  <c:v>100.61964882919807</c:v>
                </c:pt>
              </c:numCache>
            </c:numRef>
          </c:yVal>
          <c:smooth val="1"/>
          <c:extLst>
            <c:ext xmlns:c16="http://schemas.microsoft.com/office/drawing/2014/chart" uri="{C3380CC4-5D6E-409C-BE32-E72D297353CC}">
              <c16:uniqueId val="{00000001-C886-49B9-8E23-14404BE625DE}"/>
            </c:ext>
          </c:extLst>
        </c:ser>
        <c:dLbls>
          <c:showLegendKey val="0"/>
          <c:showVal val="0"/>
          <c:showCatName val="0"/>
          <c:showSerName val="0"/>
          <c:showPercent val="0"/>
          <c:showBubbleSize val="0"/>
        </c:dLbls>
        <c:axId val="414497872"/>
        <c:axId val="414499048"/>
      </c:scatterChart>
      <c:valAx>
        <c:axId val="4144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14499048"/>
        <c:crosses val="autoZero"/>
        <c:crossBetween val="midCat"/>
      </c:valAx>
      <c:valAx>
        <c:axId val="414499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линаглиптина,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14497872"/>
        <c:crosses val="autoZero"/>
        <c:crossBetween val="midCat"/>
      </c:valAx>
      <c:spPr>
        <a:noFill/>
        <a:ln>
          <a:noFill/>
        </a:ln>
        <a:effectLst/>
      </c:spPr>
    </c:plotArea>
    <c:legend>
      <c:legendPos val="b"/>
      <c:layout>
        <c:manualLayout>
          <c:xMode val="edge"/>
          <c:yMode val="edge"/>
          <c:x val="0.40265883262621782"/>
          <c:y val="0.3094906337045043"/>
          <c:w val="0.58415557295745246"/>
          <c:h val="0.1685132291871776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96319214765817"/>
          <c:y val="4.7337558414954226E-2"/>
          <c:w val="0.79876240264589782"/>
          <c:h val="0.77430030087702451"/>
        </c:manualLayout>
      </c:layout>
      <c:scatterChart>
        <c:scatterStyle val="smoothMarker"/>
        <c:varyColors val="0"/>
        <c:ser>
          <c:idx val="0"/>
          <c:order val="0"/>
          <c:tx>
            <c:strRef>
              <c:f>'Линаглиптин рН 6,8'!$C$27</c:f>
              <c:strCache>
                <c:ptCount val="1"/>
                <c:pt idx="0">
                  <c:v>ЛИНАГЛИПТИН, тппо, 5 мг, с. 10423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'Линаглиптин рН 6,8'!$B$28:$B$33</c:f>
              <c:numCache>
                <c:formatCode>General</c:formatCode>
                <c:ptCount val="6"/>
                <c:pt idx="0">
                  <c:v>0</c:v>
                </c:pt>
                <c:pt idx="1">
                  <c:v>10</c:v>
                </c:pt>
                <c:pt idx="2">
                  <c:v>15</c:v>
                </c:pt>
                <c:pt idx="3">
                  <c:v>20</c:v>
                </c:pt>
                <c:pt idx="4">
                  <c:v>30</c:v>
                </c:pt>
                <c:pt idx="5">
                  <c:v>45</c:v>
                </c:pt>
              </c:numCache>
            </c:numRef>
          </c:xVal>
          <c:yVal>
            <c:numRef>
              <c:f>'Линаглиптин рН 6,8'!$C$28:$C$33</c:f>
              <c:numCache>
                <c:formatCode>0.0</c:formatCode>
                <c:ptCount val="6"/>
                <c:pt idx="0" formatCode="General">
                  <c:v>0</c:v>
                </c:pt>
                <c:pt idx="1">
                  <c:v>92.920240418937354</c:v>
                </c:pt>
                <c:pt idx="2">
                  <c:v>100.22678963585351</c:v>
                </c:pt>
                <c:pt idx="3">
                  <c:v>101.78204656439031</c:v>
                </c:pt>
                <c:pt idx="4">
                  <c:v>101.98837237475207</c:v>
                </c:pt>
                <c:pt idx="5">
                  <c:v>102.57342044167632</c:v>
                </c:pt>
              </c:numCache>
            </c:numRef>
          </c:yVal>
          <c:smooth val="1"/>
          <c:extLst>
            <c:ext xmlns:c16="http://schemas.microsoft.com/office/drawing/2014/chart" uri="{C3380CC4-5D6E-409C-BE32-E72D297353CC}">
              <c16:uniqueId val="{00000000-D21D-4D5F-86E5-5212E2FA2069}"/>
            </c:ext>
          </c:extLst>
        </c:ser>
        <c:ser>
          <c:idx val="1"/>
          <c:order val="1"/>
          <c:tx>
            <c:strRef>
              <c:f>'Линаглиптин рН 6,8'!$D$27</c:f>
              <c:strCache>
                <c:ptCount val="1"/>
                <c:pt idx="0">
                  <c:v>Тражента, тппо, 5 мг, с. АВ5207А</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'Линаглиптин рН 6,8'!$B$28:$B$33</c:f>
              <c:numCache>
                <c:formatCode>General</c:formatCode>
                <c:ptCount val="6"/>
                <c:pt idx="0">
                  <c:v>0</c:v>
                </c:pt>
                <c:pt idx="1">
                  <c:v>10</c:v>
                </c:pt>
                <c:pt idx="2">
                  <c:v>15</c:v>
                </c:pt>
                <c:pt idx="3">
                  <c:v>20</c:v>
                </c:pt>
                <c:pt idx="4">
                  <c:v>30</c:v>
                </c:pt>
                <c:pt idx="5">
                  <c:v>45</c:v>
                </c:pt>
              </c:numCache>
            </c:numRef>
          </c:xVal>
          <c:yVal>
            <c:numRef>
              <c:f>'Линаглиптин рН 6,8'!$D$28:$D$33</c:f>
              <c:numCache>
                <c:formatCode>0.0</c:formatCode>
                <c:ptCount val="6"/>
                <c:pt idx="0" formatCode="General">
                  <c:v>0</c:v>
                </c:pt>
                <c:pt idx="1">
                  <c:v>99.739869697548372</c:v>
                </c:pt>
                <c:pt idx="2">
                  <c:v>101.04910287292329</c:v>
                </c:pt>
                <c:pt idx="3">
                  <c:v>101.50567819557263</c:v>
                </c:pt>
                <c:pt idx="4">
                  <c:v>101.58188608722475</c:v>
                </c:pt>
                <c:pt idx="5">
                  <c:v>101.74180014395461</c:v>
                </c:pt>
              </c:numCache>
            </c:numRef>
          </c:yVal>
          <c:smooth val="1"/>
          <c:extLst>
            <c:ext xmlns:c16="http://schemas.microsoft.com/office/drawing/2014/chart" uri="{C3380CC4-5D6E-409C-BE32-E72D297353CC}">
              <c16:uniqueId val="{00000001-D21D-4D5F-86E5-5212E2FA2069}"/>
            </c:ext>
          </c:extLst>
        </c:ser>
        <c:dLbls>
          <c:showLegendKey val="0"/>
          <c:showVal val="0"/>
          <c:showCatName val="0"/>
          <c:showSerName val="0"/>
          <c:showPercent val="0"/>
          <c:showBubbleSize val="0"/>
        </c:dLbls>
        <c:axId val="496141728"/>
        <c:axId val="496144080"/>
      </c:scatterChart>
      <c:valAx>
        <c:axId val="496141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96144080"/>
        <c:crosses val="autoZero"/>
        <c:crossBetween val="midCat"/>
      </c:valAx>
      <c:valAx>
        <c:axId val="49614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линаглиптина,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96141728"/>
        <c:crosses val="autoZero"/>
        <c:crossBetween val="midCat"/>
      </c:valAx>
      <c:spPr>
        <a:noFill/>
        <a:ln>
          <a:noFill/>
        </a:ln>
        <a:effectLst/>
      </c:spPr>
    </c:plotArea>
    <c:legend>
      <c:legendPos val="b"/>
      <c:layout>
        <c:manualLayout>
          <c:xMode val="edge"/>
          <c:yMode val="edge"/>
          <c:x val="0.37006832323704131"/>
          <c:y val="0.26358907880417393"/>
          <c:w val="0.60340330871635828"/>
          <c:h val="0.1398638587087790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Jin13</b:Tag>
    <b:SourceType>JournalArticle</b:SourceType>
    <b:Guid>{80E312A2-6724-4F27-A510-8CBC896461DC}</b:Guid>
    <b:Title>The ambiguous base-pairing and high substrate efficiency of T-705 (Favipiravir) Ribofuranosyl 5’-triphosphate towards influenza A virus polymerase </b:Title>
    <b:Year>2013</b:Year>
    <b:Author>
      <b:Author>
        <b:NameList>
          <b:Person>
            <b:Last>Jin</b:Last>
            <b:First>Z.,</b:First>
            <b:Middle>Smith, L.K., Rajwanshi, V.K., Kim, B., Deval, J.</b:Middle>
          </b:Person>
        </b:NameList>
      </b:Author>
    </b:Author>
    <b:JournalName> PLoS One 8 e68347</b:JournalName>
    <b:Pages>https://doi.org/10.1371/journal.pone.0068347</b:Pages>
    <b:RefOrder>16</b:RefOrder>
  </b:Source>
  <b:Source>
    <b:Tag>Fur05</b:Tag>
    <b:SourceType>JournalArticle</b:SourceType>
    <b:Guid>{2DE74C4A-2098-474F-A9AB-8A2BD915A7BA}</b:Guid>
    <b:Author>
      <b:Author>
        <b:NameList>
          <b:Person>
            <b:Last>Furuta</b:Last>
            <b:First>Y.,</b:First>
            <b:Middle>Takahashi, K., Kuno-Maekawa, M., Sangawa, H., Uehara, S., Kozaki, K., Nomura, N.,Furuta, Y., Takahashi, K., Kuno-Maekawa, M., Sangawa, H., Uehara, S., Kozaki, K., Nomura, N., Egawa, H., Shiraki, K.,</b:Middle>
          </b:Person>
        </b:NameList>
      </b:Author>
    </b:Author>
    <b:Title>Mechanism of action of T-705 against influenza virus</b:Title>
    <b:JournalName>Antimicrob. Agents Chemother. 49, </b:JournalName>
    <b:Year> 2005. </b:Year>
    <b:Pages>981–6. https://doi.org/10.1128/AAC.49.3.981-986.2005</b:Pages>
    <b:RefOrder>17</b:RefOrder>
  </b:Source>
  <b:Source>
    <b:Tag>San13</b:Tag>
    <b:SourceType>JournalArticle</b:SourceType>
    <b:Guid>{5F3AFF4F-EDD8-47BA-9502-E9329D705C57}</b:Guid>
    <b:Author>
      <b:Author>
        <b:NameList>
          <b:Person>
            <b:Last>Sangawa H</b:Last>
            <b:First>Komeno</b:First>
            <b:Middle>T, Nishikawa H, Yoshida A, Takahashi K, Nomura N, Furuta Y.</b:Middle>
          </b:Person>
        </b:NameList>
      </b:Author>
    </b:Author>
    <b:Title> Mechanism of action of T-705 ribosyl triphosphate against influenza virus RNA polymerase. </b:Title>
    <b:JournalName>Antimicrob Agents Chemother 57:</b:JournalName>
    <b:Year>2013.</b:Year>
    <b:Pages>5202–5208. https://doi.org/10.1128/AAC.00649-13)</b:Pages>
    <b:RefOrder>18</b:RefOrder>
  </b:Source>
  <b:Source>
    <b:Tag>Ari14</b:Tag>
    <b:SourceType>JournalArticle</b:SourceType>
    <b:Guid>{805552E6-F500-47E1-804D-91B37E7BD02A}</b:Guid>
    <b:Author>
      <b:Author>
        <b:NameList>
          <b:Person>
            <b:Last>Arias A</b:Last>
            <b:First>Thorne</b:First>
            <b:Middle>L, Goodfellow I.</b:Middle>
          </b:Person>
        </b:NameList>
      </b:Author>
    </b:Author>
    <b:Title>Favipiravir elicits antiviral mutagenesis during virus replication in vivo</b:Title>
    <b:JournalName>eLife </b:JournalName>
    <b:Year>2014</b:Year>
    <b:Pages>3:e03679. https://doi.org/10.7554/eLife.03679</b:Pages>
    <b:RefOrder>19</b:RefOrder>
  </b:Source>
  <b:Source>
    <b:Tag>Bar13</b:Tag>
    <b:SourceType>JournalArticle</b:SourceType>
    <b:Guid>{8DFCC2D9-14C1-4B14-BEBE-1F9F44E8D1AA}</b:Guid>
    <b:Author>
      <b:Author>
        <b:NameList>
          <b:Person>
            <b:Last>Baranovich T</b:Last>
            <b:First>Wong</b:First>
            <b:Middle>S-S, Armstrong J, Marjuki H, Webby RJ, Webster RG, Govorkova EA.</b:Middle>
          </b:Person>
        </b:NameList>
      </b:Author>
    </b:Author>
    <b:Title> T-705 (favipiravir) induces lethal mutagenesis in influenza A H1N1 viruses in vitro.</b:Title>
    <b:JournalName> J Virol 87:</b:JournalName>
    <b:Year>2013.</b:Year>
    <b:Pages>3741–3751. https://doi.org/10.1128/JVI.02346-12</b:Pages>
    <b:RefOrder>20</b:RefOrder>
  </b:Source>
  <b:Source>
    <b:Tag>3Wa20</b:Tag>
    <b:SourceType>JournalArticle</b:SourceType>
    <b:Guid>{77E4486B-9A72-4AE5-930A-4AF37A3BD515}</b:Guid>
    <b:Author>
      <b:Author>
        <b:NameList>
          <b:Person>
            <b:Last>Wang</b:Last>
            <b:First>M.</b:First>
            <b:Middle>et al.</b:Middle>
          </b:Person>
        </b:NameList>
      </b:Author>
    </b:Author>
    <b:Title>Remdesivir  and  chloroquine  effectively  inhibit  the  recently  emerged  novel  coronavirus (2019-nCoV) in vitro</b:Title>
    <b:JournalName>Cell Res. 3</b:JournalName>
    <b:Year>2020</b:Year>
    <b:Pages>269-271</b:Pages>
    <b:RefOrder>13</b:RefOrder>
  </b:Source>
  <b:Source>
    <b:Tag>Cho20</b:Tag>
    <b:SourceType>JournalArticle</b:SourceType>
    <b:Guid>{BC92BE65-9027-4825-9167-C0B4909F38A7}</b:Guid>
    <b:Author>
      <b:Author>
        <b:NameList>
          <b:Person>
            <b:Last>Choy</b:Last>
            <b:First>K.T.</b:First>
            <b:Middle>et al.</b:Middle>
          </b:Person>
        </b:NameList>
      </b:Author>
    </b:Author>
    <b:Title>Remdesivir, lopinavir, emetine, and homoharringtonine inhibit SARS-CoV-2 replication in vitro</b:Title>
    <b:JournalName> Antiviral. Res . 3</b:JournalName>
    <b:Year>2020</b:Year>
    <b:Pages>178:104786</b:Pages>
    <b:RefOrder>15</b:RefOrder>
  </b:Source>
  <b:Source>
    <b:Tag>htt</b:Tag>
    <b:SourceType>JournalArticle</b:SourceType>
    <b:Guid>{B46C63C8-B5E4-4D5B-9E18-1765B9BAB921}</b:Guid>
    <b:Author>
      <b:Author>
        <b:NameList>
          <b:Person>
            <b:Last>росинфостат</b:Last>
          </b:Person>
        </b:NameList>
      </b:Author>
    </b:Author>
    <b:Pages>https://rosinfostat.ru/smertnost-ot-grippa/#i-8</b:Pages>
    <b:RefOrder>7</b:RefOrder>
  </b:Source>
  <b:Source>
    <b:Tag>FZh20</b:Tag>
    <b:SourceType>JournalArticle</b:SourceType>
    <b:Guid>{B8C8E221-940D-4C12-847E-F5C69E63F586}</b:Guid>
    <b:Author>
      <b:Author>
        <b:NameList>
          <b:Person>
            <b:Last>F. Zhou</b:Last>
            <b:First>T.</b:First>
            <b:Middle>Yu, R. Du, G. Fan, Y. Liu, Z. Liu, et al.</b:Middle>
          </b:Person>
        </b:NameList>
      </b:Author>
    </b:Author>
    <b:Title>Clinical course and risk factors for mortality of adult inpatients with COVID-19 in Wuhan, China: a retrospective cohort study</b:Title>
    <b:JournalName>Lancet </b:JournalName>
    <b:Year>2020</b:Year>
    <b:Pages>10.1016/S0140-6736(20)30566-3 </b:Pages>
    <b:RefOrder>4</b:RefOrder>
  </b:Source>
  <b:Source>
    <b:Tag>ZJC20</b:Tag>
    <b:SourceType>JournalArticle</b:SourceType>
    <b:Guid>{45576DA7-A022-4A02-B615-E5980EDC6C3D}</b:Guid>
    <b:Author>
      <b:Author>
        <b:NameList>
          <b:Person>
            <b:Last>Z.J. Cheng</b:Last>
            <b:First>J.</b:First>
            <b:Middle>Shan</b:Middle>
          </b:Person>
        </b:NameList>
      </b:Author>
    </b:Author>
    <b:Title>2019 Novel coronavirus: where we are and what we know</b:Title>
    <b:JournalName>infection </b:JournalName>
    <b:Year>2020</b:Year>
    <b:RefOrder>5</b:RefOrder>
  </b:Source>
  <b:Source>
    <b:Tag>JLi20</b:Tag>
    <b:SourceType>JournalArticle</b:SourceType>
    <b:Guid>{21B3B2AC-E4BB-458C-AB42-F3EE3EAE531D}</b:Guid>
    <b:Author>
      <b:Author>
        <b:NameList>
          <b:Person>
            <b:Last>J. Liu</b:Last>
            <b:First>Y.</b:First>
            <b:Middle>Liu, P. Xiang, L. Pu, H. Xiong, C. Li, et al.</b:Middle>
          </b:Person>
        </b:NameList>
      </b:Author>
    </b:Author>
    <b:Title>Neutrophil-to-lymphocyte ratio predicts severe illness patients with 2019 novel coronavirus in the early stage</b:Title>
    <b:Year>2020</b:Year>
    <b:Pages>10.1101/2020.02.10.20021584</b:Pages>
    <b:RefOrder>6</b:RefOrder>
  </b:Source>
  <b:Source>
    <b:Tag>Мин20</b:Tag>
    <b:SourceType>JournalArticle</b:SourceType>
    <b:Guid>{0E85B023-186F-4DC2-9381-4193AC1E84F8}</b:Guid>
    <b:Author>
      <b:Author>
        <b:NameList>
          <b:Person>
            <b:Last>РФ</b:Last>
            <b:First>Минздрав</b:First>
          </b:Person>
        </b:NameList>
      </b:Author>
    </b:Author>
    <b:Title>Методические рекомендации </b:Title>
    <b:JournalName>Временные методические рекомендации по лечению новой коронавирусной инфекции COVID 19 #6</b:JournalName>
    <b:Year>2020 </b:Year>
    <b:RefOrder>8</b:RefOrder>
  </b:Source>
  <b:Source>
    <b:Tag>Gao20</b:Tag>
    <b:SourceType>JournalArticle</b:SourceType>
    <b:Guid>{F0B8C52D-3040-476B-B960-875DB44FF10E}</b:Guid>
    <b:Author>
      <b:Author>
        <b:NameList>
          <b:Person>
            <b:Last>Gao</b:Last>
            <b:First>J.,</b:First>
            <b:Middle>Tian, Z., &amp; Yang, X.</b:Middle>
          </b:Person>
        </b:NameList>
      </b:Author>
    </b:Author>
    <b:Title> Breakthrough: Chloroquine phosphate has shown apparent efficacy in treatment of COVID-19 associated pneumonia in clinical studies. </b:Title>
    <b:JournalName>BioScience Trends .</b:JournalName>
    <b:Year>2020</b:Year>
    <b:RefOrder>9</b:RefOrder>
  </b:Source>
  <b:Source>
    <b:Tag>Har14</b:Tag>
    <b:SourceType>JournalArticle</b:SourceType>
    <b:Guid>{9070C9B7-7976-42F7-BBF2-B018001C68E4}</b:Guid>
    <b:Author>
      <b:Author>
        <b:NameList>
          <b:Person>
            <b:Last>Hart B.J.</b:Last>
            <b:First>et</b:First>
            <b:Middle>al</b:Middle>
          </b:Person>
        </b:NameList>
      </b:Author>
    </b:Author>
    <b:Title>Interferon-β and mycophenolic acid are potent inhibitors of Middle East respiratory syndrome coronavirus in cell-based assays //</b:Title>
    <b:JournalName>The Journal of general virology. . 95. Pt 3.</b:JournalName>
    <b:Year>2014</b:Year>
    <b:Pages>С. 571–577.</b:Pages>
    <b:RefOrder>11</b:RefOrder>
  </b:Source>
  <b:Source>
    <b:Tag>Zha</b:Tag>
    <b:SourceType>JournalArticle</b:SourceType>
    <b:Guid>{19E61A0B-AAF9-4521-8E4D-F14B052E43C9}</b:Guid>
    <b:Author>
      <b:Author>
        <b:NameList>
          <b:Person>
            <b:Last>Zhang W</b:Last>
            <b:First>Zhao</b:First>
            <b:Middle>Y, Zhang F, Wang Q, Li T, Liu Z, Wang J, Qin Y, Zhang X, Yan X, Zeng X, Zhang S.</b:Middle>
          </b:Person>
        </b:NameList>
      </b:Author>
    </b:Author>
    <b:Title> The use of anti-inflammatory drugs in the treatment of people with severe coronavirus disease 2019 (COVID-19): The experience of clinical immunologists from China.</b:Title>
    <b:RefOrder>12</b:RefOrder>
  </b:Source>
  <b:Source>
    <b:Tag>Gau49</b:Tag>
    <b:SourceType>JournalArticle</b:SourceType>
    <b:Guid>{1003CF53-1298-4132-9DBA-2500C0324DE7}</b:Guid>
    <b:Author>
      <b:Author>
        <b:NameList>
          <b:Person>
            <b:Last>Gautret F.</b:Last>
            <b:First>Lagier</b:First>
            <b:Middle>J-C., Parola P. et al.</b:Middle>
          </b:Person>
        </b:NameList>
      </b:Author>
    </b:Author>
    <b:Title>Hydroxychloroquine and azithromycin as a treatment of COVID19: results of an openlabel non-randomized clinical trial.</b:Title>
    <b:JournalName>International Journal of Antimicrobial Agents</b:JournalName>
    <b:Year>2020</b:Year>
    <b:Pages> 10.1016/j.ijantimicag.2020.105949</b:Pages>
    <b:RefOrder>10</b:RefOrder>
  </b:Source>
  <b:Source>
    <b:Tag>Avi14</b:Tag>
    <b:SourceType>JournalArticle</b:SourceType>
    <b:Guid>{7F5BB32F-E860-4E68-ADDD-4A626631EE20}</b:Guid>
    <b:Author>
      <b:Author>
        <b:NameList>
          <b:Person>
            <b:Last>PMDA</b:Last>
            <b:First>Avigan</b:First>
          </b:Person>
        </b:NameList>
      </b:Author>
    </b:Author>
    <b:Title>Japanese Pharmaceuticals and Medical Devices Agency (PMDA). Report on the Deliberation Results</b:Title>
    <b:Year>2014</b:Year>
    <b:Pages> [Internet] &lt;https://www.pmda.go.jp/files/000210319.pdf&gt; </b:Pages>
    <b:RefOrder>1</b:RefOrder>
  </b:Source>
  <b:Source>
    <b:Tag>Fur02</b:Tag>
    <b:SourceType>JournalArticle</b:SourceType>
    <b:Guid>{C598D6A1-9AB0-4257-98B7-848CD1DFFE07}</b:Guid>
    <b:Author>
      <b:Author>
        <b:NameList>
          <b:Person>
            <b:Last>Furuta</b:Last>
            <b:First>Y.,</b:First>
            <b:Middle>Takahashi, K., Fukuda, Y., Kuno, M., Kamiyama, T., Kozaki, K., Nomura, N., Egawa, H., Minami, S., Watanabe, Y., Narita, H. and Shiraki, K.</b:Middle>
          </b:Person>
        </b:NameList>
      </b:Author>
    </b:Author>
    <b:Title>In vitro and in vivo activities of anti-influenza virus compound T-705. </b:Title>
    <b:JournalName>Antimicrob. Agents Che</b:JournalName>
    <b:Year>2002</b:Year>
    <b:RefOrder>14</b:RefOrder>
  </b:Source>
  <b:Source>
    <b:Tag>Lee18</b:Tag>
    <b:SourceType>JournalArticle</b:SourceType>
    <b:Guid>{8C22DBB4-C411-4494-AE4F-5F048C43E413}</b:Guid>
    <b:Author>
      <b:Author>
        <b:NameList>
          <b:Person>
            <b:Last>Leen Delang</b:Last>
            <b:First>Rana</b:First>
            <b:Middle>Abdelnabi, Johan Neyts</b:Middle>
          </b:Person>
        </b:NameList>
      </b:Author>
    </b:Author>
    <b:Title>Favipiravir as a potential countermeasure against neglected and emerging RNA</b:Title>
    <b:JournalName>Antiviral Research</b:JournalName>
    <b:Year>2018</b:Year>
    <b:RefOrder>21</b:RefOrder>
  </b:Source>
  <b:Source>
    <b:Tag>Sid07</b:Tag>
    <b:SourceType>JournalArticle</b:SourceType>
    <b:Guid>{D5D8D6C9-EF52-473F-A470-653BD61FE85A}</b:Guid>
    <b:Author>
      <b:Author>
        <b:NameList>
          <b:Person>
            <b:Last>Sidwell RW</b:Last>
            <b:First>Barnard</b:First>
            <b:Middle>DL, Day CW, Smee DF, Bailey KW, Wong MH, Morrey JD, Furuta Y.</b:Middle>
          </b:Person>
        </b:NameList>
      </b:Author>
    </b:Author>
    <b:Title>Efficacy of Orally Administered T-705 on Lethal Avian Influenza A (H5N1) Virus Infections in Mice. </b:Title>
    <b:JournalName>Antimicrob Agents Chemother.</b:JournalName>
    <b:Year>2007</b:Year>
    <b:Pages>51:845–851</b:Pages>
    <b:RefOrder>22</b:RefOrder>
  </b:Source>
  <b:Source>
    <b:Tag>Tak11</b:Tag>
    <b:SourceType>JournalArticle</b:SourceType>
    <b:Guid>{2F39BFB4-6BFA-4CE7-AD96-6EC0160BE407}</b:Guid>
    <b:Author>
      <b:Author>
        <b:NameList>
          <b:Person>
            <b:Last>Takahashi K</b:Last>
            <b:First>Smee</b:First>
            <b:Middle>DF, Shiraki K, Kawaoka Y, Furuta Y.</b:Middle>
          </b:Person>
        </b:NameList>
      </b:Author>
    </b:Author>
    <b:Title>Pharmacological effects of favipiravir, an anti-influenza viral drug </b:Title>
    <b:JournalName>Jpn J Med Pharm Sci. </b:JournalName>
    <b:Year>2011</b:Year>
    <b:Pages>;66:429–441</b:Pages>
    <b:RefOrder>23</b:RefOrder>
  </b:Source>
  <b:Source>
    <b:Tag>Zha15</b:Tag>
    <b:SourceType>JournalArticle</b:SourceType>
    <b:Guid>{D85692F7-893C-428F-B61C-4B5D40F059A9}</b:Guid>
    <b:Author>
      <b:Author>
        <b:NameList>
          <b:Person>
            <b:Last>Zhao</b:Last>
            <b:First>Y.</b:First>
            <b:Middle>et al.</b:Middle>
          </b:Person>
        </b:NameList>
      </b:Author>
    </b:Author>
    <b:Title>Favipiravir inhibits acetaminophen sulfate formation but minimally affects systemic pharmacokinetics of acetaminophen. </b:Title>
    <b:JournalName>Br. J. Clin. Pharmacol. 80</b:JournalName>
    <b:Year>2015</b:Year>
    <b:Pages>1076–1085</b:Pages>
    <b:RefOrder>24</b:RefOrder>
  </b:Source>
  <b:Source>
    <b:Tag>QCa</b:Tag>
    <b:SourceType>JournalArticle</b:SourceType>
    <b:Guid>{AAC05555-781A-434E-BC79-CC0C009226A5}</b:Guid>
    <b:Author>
      <b:Author>
        <b:NameList>
          <b:Person>
            <b:Last>Q. Cai</b:Last>
            <b:First>М.</b:First>
            <b:Middle>Yang, D. Liu, J. Chen, D. Shu, J. Xia, X. Liao, Y. Gu, Q. Cai, Y. Yang, C. Shen, X. Li, L. Peng, D. Huang, J. Zhang, S. Zhang, F. Wang, J. Liu, L. Chen, S. Chen, Z. Wang, Z. Zhang, R. Cao, W. Zhong, Y. Liu, L. Liu,</b:Middle>
          </b:Person>
        </b:NameList>
      </b:Author>
    </b:Author>
    <b:Title>Experimental Treatment with Favipiravir for COVID-19: An Open-Label Control Study</b:Title>
    <b:JournalName>Engineering (2020)</b:JournalName>
    <b:Year>2020</b:Year>
    <b:Pages>httos://doi.org/10.1016/i.eng.2020.03.007</b:Pages>
    <b:RefOrder>2</b:RefOrder>
  </b:Source>
  <b:Source>
    <b:Tag>Cha20</b:Tag>
    <b:SourceType>JournalArticle</b:SourceType>
    <b:Guid>{4B857C3E-8812-4109-ACD6-E98761D88881}</b:Guid>
    <b:Author>
      <b:Author>
        <b:NameList>
          <b:Person>
            <b:Last>Chang Chen</b:Last>
            <b:First>Jianying</b:First>
            <b:Middle>Huang, Zhenshun Cheng, Jianyuan Wu, Song Chen, Yongxi Zhang, Bo Chen, Mengxin Lu, Yongwen Luo, Jingyi Zhang, Ping Yin, Xinghuan Wang</b:Middle>
          </b:Person>
        </b:NameList>
      </b:Author>
    </b:Author>
    <b:Title>Favipiravir versus Arbidol for COVID-19: A Randomized Clinical trial</b:Title>
    <b:Year>2020</b:Year>
    <b:Pages>https://www.medrxiv.org/content/10.1101/2020.03.17.20037432v4</b:Pages>
    <b:RefOrder>3</b:RefOrder>
  </b:Source>
  <b:Source>
    <b:Tag>Sis16</b:Tag>
    <b:SourceType>JournalArticle</b:SourceType>
    <b:Guid>{E75EB090-541B-4587-92C0-7B5DED583D1D}</b:Guid>
    <b:Author>
      <b:Author>
        <b:NameList>
          <b:Person>
            <b:Last>Sissoko</b:Last>
            <b:First>D.</b:First>
            <b:Middle>et al.</b:Middle>
          </b:Person>
        </b:NameList>
      </b:Author>
    </b:Author>
    <b:Title>Experimental treatment with favipiravir for Ebola virus disease (the JIKI trial): a historically controlled, single‐arm proof‐of‐concept trial in Guinea. </b:Title>
    <b:JournalName>PLoS Med. 13, e1001967</b:JournalName>
    <b:Year> (2016)</b:Year>
    <b:RefOrder>27</b:RefOrder>
  </b:Source>
  <b:Source>
    <b:Tag>Wan19</b:Tag>
    <b:SourceType>JournalArticle</b:SourceType>
    <b:Guid>{88153484-1E4B-470C-BADA-84405D3B9676}</b:Guid>
    <b:Author>
      <b:Author>
        <b:NameList>
          <b:Person>
            <b:Last>Wang</b:Last>
            <b:First>Y.,</b:First>
            <b:Middle>Fan, G., Salam, A., Horby, P., Hayden, F. G., … Chen, C.</b:Middle>
          </b:Person>
        </b:NameList>
      </b:Author>
    </b:Author>
    <b:Title>Comparative effectiveness of combined favipiravir and oseltamivir therapy versus oseltamivir monotherapy in critically ill patients with influenza virus infection. </b:Title>
    <b:Year>2019</b:Year>
    <b:RefOrder>26</b:RefOrder>
  </b:Source>
  <b:Source>
    <b:Tag>Mad16</b:Tag>
    <b:SourceType>JournalArticle</b:SourceType>
    <b:Guid>{2D5DA197-7ED8-469F-99B4-711CB3CF51A6}</b:Guid>
    <b:Author>
      <b:Author>
        <b:NameList>
          <b:Person>
            <b:Last>Madelain</b:Last>
            <b:First>V.,</b:First>
            <b:Middle>Nguyen, T.H.T., Olivo, A., de Lamballerie, X., Guedj, J., Taburet, A.M., Mentré, F.,</b:Middle>
          </b:Person>
        </b:NameList>
      </b:Author>
    </b:Author>
    <b:Year>2016</b:Year>
    <b:Title>Ebola Virus Infection: Review of the Pharmacokinetic and Pharmacodynamic Properties of Drugs Considered for Testing in Human Efficacy Trials.  </b:Title>
    <b:JournalName>Clin. Pharmacokinet.</b:JournalName>
    <b:Pages>https://doi.org/10.1007/s40262-015-0364-1</b:Pages>
    <b:RefOrder>29</b:RefOrder>
  </b:Source>
  <b:Source>
    <b:Tag>Mad17</b:Tag>
    <b:SourceType>JournalArticle</b:SourceType>
    <b:Guid>{9B397871-183C-4E56-BA20-B6DABDCF2E27}</b:Guid>
    <b:Author>
      <b:Author>
        <b:NameList>
          <b:Person>
            <b:Last>Madelain</b:Last>
            <b:First>V.,</b:First>
            <b:Middle>Guedj, J., Mentre, F., Nguyen, T.H.T., Jacquot, F., Oestereich, L., Kadota, T., Yamada, K., Taburet, A.M., De Lamballerie, X., Raoul, H.,</b:Middle>
          </b:Person>
        </b:NameList>
      </b:Author>
    </b:Author>
    <b:Year>2017</b:Year>
    <b:Title>Favipiravir pharmacokinetics in nonhuman primates and insights for future efficacy studies of hemorrhagic fever viruses. </b:Title>
    <b:JournalName>Antimicrob. Agents Chemother. 61. </b:JournalName>
    <b:Pages>https://doi.org/10.1128/AAC.01305-16</b:Pages>
    <b:RefOrder>30</b:RefOrder>
  </b:Source>
  <b:Source>
    <b:Tag>Ani94</b:Tag>
    <b:SourceType>JournalArticle</b:SourceType>
    <b:Guid>{8292FBE6-3D31-45DC-BFE8-5F97C2AC7BDC}</b:Guid>
    <b:Author>
      <b:Author>
        <b:NameList>
          <b:Person>
            <b:Last>Anitha et al</b:Last>
          </b:Person>
        </b:NameList>
      </b:Author>
    </b:Author>
    <b:Title>Genotoxicity evaluation of pyrazinamide in mice</b:Title>
    <b:JournalName>Mutation Research 321</b:JournalName>
    <b:Year>1994</b:Year>
    <b:Pages>1-5</b:Pages>
    <b:RefOrder>25</b:RefOrder>
  </b:Source>
  <b:Source>
    <b:Tag>AVI19</b:Tag>
    <b:SourceType>JournalArticle</b:SourceType>
    <b:Guid>{B653601A-2B69-4FBF-B795-6C449D353785}</b:Guid>
    <b:Author>
      <b:Author>
        <b:NameList>
          <b:Person>
            <b:Last>AVIGAN</b:Last>
          </b:Person>
        </b:NameList>
      </b:Author>
    </b:Author>
    <b:Title>Medical instruction Leaflet</b:Title>
    <b:Year>2019</b:Year>
    <b:Pages>https://www.cdc.gov.tw/File/Get/ht8jUiB_MI-aKnlwstwzvw</b:Pages>
    <b:RefOrder>28</b:RefOrder>
  </b:Source>
  <b:Source>
    <b:Tag>Wik</b:Tag>
    <b:SourceType>InternetSite</b:SourceType>
    <b:Guid>{F32C2B5B-46FF-47D5-9F32-2EBF3A7E0384}</b:Guid>
    <b:Title>https://en.wikipedia.org/wiki/Human_body_weight</b:Title>
    <b:Author>
      <b:Author>
        <b:NameList>
          <b:Person>
            <b:Last>Wikipedia</b:Last>
          </b:Person>
        </b:NameList>
      </b:Author>
    </b:Author>
    <b:RefOrder>31</b:RefOrder>
  </b:Source>
  <b:Source>
    <b:Tag>SMu</b:Tag>
    <b:SourceType>JournalArticle</b:SourceType>
    <b:Guid>{B3B5F530-BBD5-4285-95D7-9AC792B4FF4F}</b:Guid>
    <b:Author>
      <b:Author>
        <b:NameList>
          <b:Person>
            <b:Last>S. Mulangu</b:Last>
            <b:First>L.E.</b:First>
            <b:Middle>Dodd, R.T. Davey Jr., O.T. Mbaya, M. Proschan, D. Mukadi, M.L. Manzo, D. Nzolo, A.T. Oloma, A. Ibanda, R. Ali, S. Coulibaly, A.C. Levine, R. Grais, J. Diaz, H.C. Lane, J.-J. Muyembe-Tamfum, B. Sivahera, M. Camara, R. Kojan, R. Walker, B.</b:Middle>
          </b:Person>
        </b:NameList>
      </b:Author>
    </b:Author>
    <b:Title>Randomized Controlled trial of Ebola virus disease therapeutics</b:Title>
    <b:JournalName> N. Engl. J. Med., 381, pp. 2293-2303</b:JournalName>
    <b:Year>2020 </b:Year>
    <b:RefOrder>2</b:RefOrder>
  </b:Source>
  <b:Source>
    <b:Tag>She17</b:Tag>
    <b:SourceType>JournalArticle</b:SourceType>
    <b:Guid>{DAD9EF83-6436-47E8-BDB2-E640B330F8FF}</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3</b:RefOrder>
  </b:Source>
  <b:Source>
    <b:Tag>MWa20</b:Tag>
    <b:SourceType>JournalArticle</b:SourceType>
    <b:Guid>{D08AC1B0-AEE4-4187-9F50-030E2FB70952}</b:Guid>
    <b:Author>
      <b:Author>
        <b:NameList>
          <b:Person>
            <b:Last>M. Wang</b:Last>
            <b:First>R.</b:First>
            <b:Middle>Cao, L. Zhang, X. Yang, J. Liu, M. Xu, Z. Shi, Z. Hu, W. Zhong, G. Xiao</b:Middle>
          </b:Person>
        </b:NameList>
      </b:Author>
    </b:Author>
    <b:Title>Remdesivir and chloroquine effectively inhibit the recently emerged novel coronavirus (2019-nCoV) in vitro</b:Title>
    <b:JournalName>Cell Res., 30 , pp. 269-271</b:JournalName>
    <b:Year>2020</b:Year>
    <b:RefOrder>4</b:RefOrder>
  </b:Source>
  <b:Source>
    <b:Tag>TKW16</b:Tag>
    <b:SourceType>JournalArticle</b:SourceType>
    <b:Guid>{55325035-FDC0-4C42-96DE-782D9534E441}</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p. 381</b:JournalName>
    <b:Year>2016</b:Year>
    <b:RefOrder>5</b:RefOrder>
  </b:Source>
  <b:Source>
    <b:Tag>EPT19</b:Tag>
    <b:SourceType>JournalArticle</b:SourceType>
    <b:Guid>{A136D550-98AE-4725-B9B7-BAF2DDF33697}</b:Guid>
    <b:Author>
      <b:Author>
        <b:NameList>
          <b:Person>
            <b:Last>E.P. Tchesnokov</b:Last>
            <b:First>J.Y.</b:First>
            <b:Middle>Feng, D.P. Porter, M. Götte</b:Middle>
          </b:Person>
        </b:NameList>
      </b:Author>
    </b:Author>
    <b:Title>Mechanism of inhibition of Ebola virus RNA-dependent RNA polymerase by remdesivir</b:Title>
    <b:JournalName>Viruses, 11, p. 326</b:JournalName>
    <b:Year>2019</b:Year>
    <b:RefOrder>6</b:RefOrder>
  </b:Source>
  <b:Source>
    <b:Tag>Vel20</b:Tag>
    <b:SourceType>JournalArticle</b:SourceType>
    <b:Guid>{AAC5DBCF-3A10-444E-91DE-7A06AA480B95}</b:Guid>
    <b:Author>
      <b:Author>
        <b:NameList>
          <b:Person>
            <b:Last>Velkuri</b:Last>
          </b:Person>
        </b:NameList>
      </b:Author>
    </b:Author>
    <b:Title>EMA assesment report</b:Title>
    <b:Year>2020</b:Year>
    <b:RefOrder>7</b:RefOrder>
  </b:Source>
  <b:Source>
    <b:Tag>And20</b:Tag>
    <b:SourceType>JournalArticle</b:SourceType>
    <b:Guid>{D0C5756F-9C0F-4BEA-A8B5-B4D982524704}</b:Guid>
    <b:Author>
      <b:Author>
        <b:NameList>
          <b:Person>
            <b:Last>J.Pruijssers</b:Last>
            <b:First>Andrea</b:First>
          </b:Person>
        </b:NameList>
      </b:Author>
    </b:Author>
    <b:Title>Remdesivir Inhibits SARS-CoV-2 in Human Lung Cells and Chimeric SARS-CoV Expressing the SARS-CoV-2 RNA Polymerase in Mice</b:Title>
    <b:JournalName>Cell reports</b:JournalName>
    <b:Year>2020</b:Year>
    <b:RefOrder>8</b:RefOrder>
  </b:Source>
  <b:Source>
    <b:Tag>Vin20</b:Tag>
    <b:SourceType>JournalArticle</b:SourceType>
    <b:Guid>{E7AD1EBA-0ABA-41B7-9E0F-61535361F1A6}</b:Guid>
    <b:Author>
      <b:Author>
        <b:NameList>
          <b:Person>
            <b:Last>Vincent J. Munster</b:Last>
            <b:First>Friederike</b:First>
            <b:Middle>Feldmann, Brandi N. Williamson, Neeltje van Doremalen, Lizzette Pérez-Pérez, Jonathan Schulz, Kimberly Meade-White, Atsushi Okumura, Julie Callison, Beniah Brumbaugh, Victoria A. Avanzato, Rebecca Rosenke, Patrick W. Hanley,</b:Middle>
          </b:Person>
        </b:NameList>
      </b:Author>
    </b:Author>
    <b:Title>Respiratory disease in rhesus macaques inoculated with SARS-CoV-2</b:Title>
    <b:JournalName>Nature volume 585, pages268–272</b:JournalName>
    <b:Year>2020</b:Year>
    <b:RefOrder>9</b:RefOrder>
  </b:Source>
  <b:Source>
    <b:Tag>Bra20</b:Tag>
    <b:SourceType>JournalArticle</b:SourceType>
    <b:Guid>{92D23D98-0E9A-4BD9-8927-6A7263E44481}</b:Guid>
    <b:Author>
      <b:Author>
        <b:NameList>
          <b:Person>
            <b:Last>Brandi N. Williamson</b:Last>
            <b:First>Friederike</b:First>
            <b:Middle>Feldmann, Benjamin Schwarz, Kimberly Meade-White, Danielle P. Porter, Jonathan Schulz, Neeltje van Doremalen, Ian Leighton, Claude Kwe Yinda, Lizzette Pérez-Pérez, Atsushi Okumura, Jamie Lovaglio, Patrick W. Hanley, Greg S</b:Middle>
          </b:Person>
        </b:NameList>
      </b:Author>
    </b:Author>
    <b:Title>Clinical benefit of remdesivir in rhesus macaques infected with SARS-CoV-2</b:Title>
    <b:JournalName>https://www.biorxiv.org/content/10.1101/2020.04.15.043166v2</b:JournalName>
    <b:Year>2020</b:Year>
    <b:RefOrder>10</b:RefOrder>
  </b:Source>
  <b:Source>
    <b:Tag>deW20</b:Tag>
    <b:SourceType>JournalArticle</b:SourceType>
    <b:Guid>{C760D9F7-3664-42DD-B2F7-AC9A5987654C}</b:Guid>
    <b:Author>
      <b:Author>
        <b:NameList>
          <b:Person>
            <b:Last>de Wit E</b:Last>
            <b:First>Feldmann</b:First>
            <b:Middle>F, Cronin J, Jordan R, Okumura A, Thomas T, Scott D, Cihlar T, Feldmann H</b:Middle>
          </b:Person>
        </b:NameList>
      </b:Author>
    </b:Author>
    <b:Title>Prophylactic and therapeutic remdesivir (GS-5734) treatment in the rhesus macaque model of MERS-CoV infection</b:Title>
    <b:JournalName>Proc Natl Acad Sci 201922083</b:JournalName>
    <b:Year>2020</b:Year>
    <b:RefOrder>11</b:RefOrder>
  </b:Source>
  <b:Source>
    <b:Tag>She20</b:Tag>
    <b:SourceType>JournalArticle</b:SourceType>
    <b:Guid>{F47F1F0D-B2CD-4A5E-85E1-89B5C5728802}</b:Guid>
    <b:Author>
      <b:Author>
        <b:NameList>
          <b:Person>
            <b:Last>Sheahan TP</b:Last>
            <b:First>Sims</b:First>
            <b:Middle>AC, Leist SR, Schäfer A, Won J, Brown AJ, Montgomery SA, Hogg A, Babusis D, Clarke MO, Spahn JE, Bauer L, Sellers S, Porter D, Feng JY, Cihlar T, Jordan R, Denison MR, Baric RS</b:Middle>
          </b:Person>
        </b:NameList>
      </b:Author>
    </b:Author>
    <b:Title>Comparative therapeutic efficacy of remdesivir and combination lopinavir, ritonavir, and interferon beta against MERS-CoV</b:Title>
    <b:JournalName>Nat Commun 11:222 </b:JournalName>
    <b:Year>2020</b:Year>
    <b:RefOrder>12</b:RefOrder>
  </b:Source>
  <b:Source>
    <b:Tag>She171</b:Tag>
    <b:SourceType>JournalArticle</b:SourceType>
    <b:Guid>{81622EE3-95D2-4D53-82B4-8D7151889869}</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13</b:RefOrder>
  </b:Source>
  <b:Source>
    <b:Tag>TKW161</b:Tag>
    <b:SourceType>JournalArticle</b:SourceType>
    <b:Guid>{5C2DBB54-09A7-4596-99CA-6C560842D006}</b:Guid>
    <b:Author>
      <b:Author>
        <b:NameList>
          <b:Person>
            <b:Last>T.K. Warren</b:Last>
            <b:First>R.</b:First>
            <b:Middle>Jordan, M.K. Lo, A.S. Ray, R.L. Mackman, V. Soloveva, D. Siegel, M. Perron, R. Bannister, H.C. Hui, N. Larson, R. Strickley, J. Wells, K.S. Stuthman, S.A. Van Tongeren, N.L. Garza, G. Donnelly, A.C. Shurtleff, C.J. Retterer, D. Gharaib</b:Middle>
          </b:Person>
        </b:NameList>
      </b:Author>
    </b:Author>
    <b:Title>Therapeutic efficacy of the small molecule GS-5734 against Ebola virus in rhesus monkeys</b:Title>
    <b:JournalName>Nature, 531 (2016), p. 381</b:JournalName>
    <b:Year>2016</b:Year>
    <b:RefOrder>14</b:RefOrder>
  </b:Source>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15</b:RefOrder>
  </b:Source>
  <b:Source>
    <b:Tag>Bie201</b:Tag>
    <b:SourceType>JournalArticle</b:SourceType>
    <b:Guid>{00E7D6D7-8A80-4874-B15F-F2D2A346FB79}</b:Guid>
    <b:Title>Remdesivir for the Treatment of Covid-19 — Preliminary Report</b:Title>
    <b:Year>2020</b:Year>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JournalName>New England Journal of Medicine</b:JournalName>
    <b:RefOrder>47</b:RefOrder>
  </b:Source>
  <b:Source>
    <b:Tag>Joh20</b:Tag>
    <b:SourceType>JournalArticle</b:SourceType>
    <b:Guid>{B39B551B-5712-4D6A-877C-35658C877C18}</b:Guid>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Title>Remdesivir for the Treatment of Covid-19 — Preliminary Report</b:Title>
    <b:JournalName>NEJM</b:JournalName>
    <b:Year>2020</b:Year>
    <b:RefOrder>1</b:RefOrder>
  </b:Source>
</b:Sources>
</file>

<file path=customXml/itemProps1.xml><?xml version="1.0" encoding="utf-8"?>
<ds:datastoreItem xmlns:ds="http://schemas.openxmlformats.org/officeDocument/2006/customXml" ds:itemID="{A01E22A0-F985-451E-9FFA-22C50C2E5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68595</Words>
  <Characters>390994</Characters>
  <Application>Microsoft Office Word</Application>
  <DocSecurity>0</DocSecurity>
  <Lines>3258</Lines>
  <Paragraphs>917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2023-06-23T13:45:00Z</dcterms:created>
  <dcterms:modified xsi:type="dcterms:W3CDTF">2023-07-04T08:18:00Z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id="NXPAC9K9"/&gt;&lt;style id="http://www.zotero.org/styles/vancouver-brackets" locale="ru-RU" hasBibliography="1" bibliographyStyleHasBeenSet="1"/&gt;&lt;prefs&gt;&lt;pref name="fieldType" value="Field"/&gt;&lt;/prefs&gt;&lt;/d</vt:lpwstr>
  </property>
  <property fmtid="{D5CDD505-2E9C-101B-9397-08002B2CF9AE}" pid="3" name="ZOTERO_PREF_2">
    <vt:lpwstr>ata&gt;</vt:lpwstr>
  </property>
</Properties>
</file>