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70"/>
        <w:gridCol w:w="5486"/>
      </w:tblGrid>
      <w:tr w:rsidR="00C8586A" w:rsidRPr="005E6358" w14:paraId="1D8F963B" w14:textId="77777777" w:rsidTr="00E24A1B">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4C0834" w:rsidRDefault="00C8586A" w:rsidP="00D050C7">
            <w:pPr>
              <w:rPr>
                <w:b/>
                <w:color w:val="000000" w:themeColor="text1"/>
                <w:sz w:val="28"/>
                <w:szCs w:val="28"/>
              </w:rPr>
            </w:pPr>
          </w:p>
          <w:p w14:paraId="141B904D" w14:textId="77777777" w:rsidR="00C8586A" w:rsidRPr="005E6358" w:rsidRDefault="00C8586A" w:rsidP="000B696F">
            <w:pPr>
              <w:jc w:val="center"/>
              <w:rPr>
                <w:b/>
                <w:color w:val="000000" w:themeColor="text1"/>
                <w:sz w:val="32"/>
                <w:szCs w:val="28"/>
              </w:rPr>
            </w:pPr>
            <w:r w:rsidRPr="005E6358">
              <w:rPr>
                <w:b/>
                <w:color w:val="000000" w:themeColor="text1"/>
                <w:sz w:val="32"/>
                <w:szCs w:val="28"/>
              </w:rPr>
              <w:t>БРОШЮРА ИССЛЕДОВАТЕЛЯ</w:t>
            </w:r>
          </w:p>
          <w:p w14:paraId="007B8450" w14:textId="77777777" w:rsidR="00C8586A" w:rsidRPr="005E6358" w:rsidRDefault="00C8586A" w:rsidP="000B696F">
            <w:pPr>
              <w:jc w:val="center"/>
              <w:rPr>
                <w:b/>
                <w:color w:val="000000" w:themeColor="text1"/>
                <w:sz w:val="28"/>
                <w:szCs w:val="28"/>
                <w:lang w:eastAsia="en-US"/>
              </w:rPr>
            </w:pPr>
          </w:p>
        </w:tc>
      </w:tr>
      <w:tr w:rsidR="00C8586A" w:rsidRPr="005E6358" w14:paraId="440EA7B7" w14:textId="77777777" w:rsidTr="00BA2D96">
        <w:trPr>
          <w:trHeight w:val="177"/>
        </w:trPr>
        <w:tc>
          <w:tcPr>
            <w:tcW w:w="3870" w:type="dxa"/>
            <w:tcBorders>
              <w:top w:val="thinThickSmallGap" w:sz="24" w:space="0" w:color="auto"/>
              <w:left w:val="thinThickSmallGap" w:sz="24" w:space="0" w:color="auto"/>
              <w:bottom w:val="nil"/>
              <w:right w:val="nil"/>
            </w:tcBorders>
          </w:tcPr>
          <w:p w14:paraId="28830C82" w14:textId="77777777" w:rsidR="00C8586A" w:rsidRPr="00BA2D96" w:rsidRDefault="00C8586A" w:rsidP="000B696F">
            <w:pPr>
              <w:jc w:val="left"/>
              <w:rPr>
                <w:b/>
                <w:color w:val="000000" w:themeColor="text1"/>
                <w:sz w:val="14"/>
                <w:lang w:val="en-US"/>
              </w:rPr>
            </w:pPr>
          </w:p>
        </w:tc>
        <w:tc>
          <w:tcPr>
            <w:tcW w:w="5486" w:type="dxa"/>
            <w:tcBorders>
              <w:top w:val="thinThickSmallGap" w:sz="24" w:space="0" w:color="auto"/>
              <w:left w:val="nil"/>
              <w:bottom w:val="nil"/>
              <w:right w:val="thickThinSmallGap" w:sz="24" w:space="0" w:color="auto"/>
            </w:tcBorders>
          </w:tcPr>
          <w:p w14:paraId="4683A99C" w14:textId="77777777" w:rsidR="00C8586A" w:rsidRPr="00BA2D96" w:rsidRDefault="00C8586A" w:rsidP="000B696F">
            <w:pPr>
              <w:jc w:val="left"/>
              <w:rPr>
                <w:b/>
                <w:color w:val="000000" w:themeColor="text1"/>
                <w:sz w:val="14"/>
                <w:lang w:val="en-US"/>
              </w:rPr>
            </w:pPr>
          </w:p>
        </w:tc>
      </w:tr>
      <w:tr w:rsidR="00C8586A" w:rsidRPr="005E6358" w14:paraId="14553450" w14:textId="77777777" w:rsidTr="00EB0167">
        <w:trPr>
          <w:trHeight w:val="439"/>
        </w:trPr>
        <w:tc>
          <w:tcPr>
            <w:tcW w:w="3870" w:type="dxa"/>
            <w:tcBorders>
              <w:top w:val="nil"/>
              <w:left w:val="thinThickSmallGap" w:sz="24" w:space="0" w:color="auto"/>
              <w:bottom w:val="nil"/>
              <w:right w:val="nil"/>
            </w:tcBorders>
          </w:tcPr>
          <w:p w14:paraId="0144F824" w14:textId="77777777" w:rsidR="00C8586A" w:rsidRPr="00D050C7" w:rsidRDefault="00BF01A9" w:rsidP="000B696F">
            <w:pPr>
              <w:jc w:val="left"/>
              <w:rPr>
                <w:lang w:eastAsia="en-US"/>
              </w:rPr>
            </w:pPr>
            <w:r w:rsidRPr="00D050C7">
              <w:rPr>
                <w:b/>
              </w:rPr>
              <w:t>Код п</w:t>
            </w:r>
            <w:r w:rsidR="00C8586A" w:rsidRPr="00D050C7">
              <w:rPr>
                <w:b/>
              </w:rPr>
              <w:t>родукт</w:t>
            </w:r>
            <w:r w:rsidRPr="00D050C7">
              <w:rPr>
                <w:b/>
              </w:rPr>
              <w:t>а</w:t>
            </w:r>
            <w:r w:rsidR="00C8586A" w:rsidRPr="00D050C7">
              <w:rPr>
                <w:b/>
              </w:rPr>
              <w:t>:</w:t>
            </w:r>
          </w:p>
        </w:tc>
        <w:tc>
          <w:tcPr>
            <w:tcW w:w="5486" w:type="dxa"/>
            <w:tcBorders>
              <w:top w:val="nil"/>
              <w:left w:val="nil"/>
              <w:bottom w:val="nil"/>
              <w:right w:val="thickThinSmallGap" w:sz="24" w:space="0" w:color="auto"/>
            </w:tcBorders>
          </w:tcPr>
          <w:p w14:paraId="4DF03CB1" w14:textId="2DDB02A9" w:rsidR="00C8586A" w:rsidRPr="00D050C7" w:rsidRDefault="001D1762" w:rsidP="000B696F">
            <w:pPr>
              <w:jc w:val="left"/>
              <w:rPr>
                <w:highlight w:val="yellow"/>
                <w:lang w:eastAsia="en-US"/>
              </w:rPr>
            </w:pPr>
            <w:r w:rsidRPr="00D050C7">
              <w:rPr>
                <w:lang w:eastAsia="ru-RU"/>
              </w:rPr>
              <w:t>DT-LNV</w:t>
            </w:r>
            <w:r w:rsidRPr="00D050C7">
              <w:t xml:space="preserve"> (</w:t>
            </w:r>
            <w:r w:rsidRPr="00D050C7">
              <w:rPr>
                <w:lang w:eastAsia="ru-RU"/>
              </w:rPr>
              <w:t>L01105)</w:t>
            </w:r>
          </w:p>
        </w:tc>
      </w:tr>
      <w:tr w:rsidR="00C8586A" w:rsidRPr="005E6358" w14:paraId="2792A7AE" w14:textId="77777777" w:rsidTr="00EB0167">
        <w:trPr>
          <w:trHeight w:val="388"/>
        </w:trPr>
        <w:tc>
          <w:tcPr>
            <w:tcW w:w="3870" w:type="dxa"/>
            <w:tcBorders>
              <w:top w:val="nil"/>
              <w:left w:val="thinThickSmallGap" w:sz="24" w:space="0" w:color="auto"/>
              <w:bottom w:val="nil"/>
              <w:right w:val="nil"/>
            </w:tcBorders>
          </w:tcPr>
          <w:p w14:paraId="23C4901F" w14:textId="77777777" w:rsidR="00C8586A" w:rsidRPr="00D050C7" w:rsidRDefault="00C8586A" w:rsidP="000B696F">
            <w:pPr>
              <w:jc w:val="left"/>
              <w:rPr>
                <w:b/>
              </w:rPr>
            </w:pPr>
            <w:r w:rsidRPr="00D050C7">
              <w:rPr>
                <w:b/>
              </w:rPr>
              <w:t>МНН:</w:t>
            </w:r>
          </w:p>
        </w:tc>
        <w:tc>
          <w:tcPr>
            <w:tcW w:w="5486" w:type="dxa"/>
            <w:tcBorders>
              <w:top w:val="nil"/>
              <w:left w:val="nil"/>
              <w:bottom w:val="nil"/>
              <w:right w:val="thickThinSmallGap" w:sz="24" w:space="0" w:color="auto"/>
            </w:tcBorders>
          </w:tcPr>
          <w:p w14:paraId="46D9AB6F" w14:textId="3656FB73" w:rsidR="00C8586A" w:rsidRPr="00D050C7" w:rsidRDefault="00515DB2" w:rsidP="000B696F">
            <w:pPr>
              <w:pStyle w:val="OT"/>
              <w:spacing w:after="0"/>
              <w:rPr>
                <w:sz w:val="24"/>
                <w:szCs w:val="24"/>
                <w:highlight w:val="yellow"/>
                <w:lang w:val="en-US"/>
              </w:rPr>
            </w:pPr>
            <w:r w:rsidRPr="00D050C7">
              <w:rPr>
                <w:sz w:val="24"/>
                <w:szCs w:val="24"/>
              </w:rPr>
              <w:t>Ленватиниб</w:t>
            </w:r>
          </w:p>
        </w:tc>
      </w:tr>
      <w:tr w:rsidR="00C8586A" w:rsidRPr="005E6358" w14:paraId="27A96549" w14:textId="77777777" w:rsidTr="00EB0167">
        <w:trPr>
          <w:trHeight w:val="394"/>
        </w:trPr>
        <w:tc>
          <w:tcPr>
            <w:tcW w:w="3870" w:type="dxa"/>
            <w:tcBorders>
              <w:top w:val="nil"/>
              <w:left w:val="thinThickSmallGap" w:sz="24" w:space="0" w:color="auto"/>
              <w:bottom w:val="nil"/>
              <w:right w:val="nil"/>
            </w:tcBorders>
          </w:tcPr>
          <w:p w14:paraId="40377655" w14:textId="77777777" w:rsidR="00C8586A" w:rsidRPr="00D050C7" w:rsidRDefault="00C8586A" w:rsidP="000B696F">
            <w:pPr>
              <w:jc w:val="left"/>
              <w:rPr>
                <w:b/>
              </w:rPr>
            </w:pPr>
            <w:r w:rsidRPr="00D050C7">
              <w:rPr>
                <w:b/>
              </w:rPr>
              <w:t>Торговое название</w:t>
            </w:r>
          </w:p>
        </w:tc>
        <w:tc>
          <w:tcPr>
            <w:tcW w:w="5486" w:type="dxa"/>
            <w:tcBorders>
              <w:top w:val="nil"/>
              <w:left w:val="nil"/>
              <w:bottom w:val="nil"/>
              <w:right w:val="thickThinSmallGap" w:sz="24" w:space="0" w:color="auto"/>
            </w:tcBorders>
          </w:tcPr>
          <w:p w14:paraId="2AC37698" w14:textId="242498EA" w:rsidR="00C8586A" w:rsidRPr="00D050C7" w:rsidRDefault="001D1762" w:rsidP="000B696F">
            <w:pPr>
              <w:rPr>
                <w:rFonts w:eastAsia="Calibri"/>
                <w:highlight w:val="yellow"/>
              </w:rPr>
            </w:pPr>
            <w:r w:rsidRPr="00D050C7">
              <w:rPr>
                <w:rFonts w:eastAsia="Calibri"/>
              </w:rPr>
              <w:t>ЛЕНВАНТИНИБ</w:t>
            </w:r>
          </w:p>
        </w:tc>
      </w:tr>
      <w:tr w:rsidR="00284823" w:rsidRPr="005E6358" w14:paraId="0691A925" w14:textId="77777777" w:rsidTr="00D050C7">
        <w:trPr>
          <w:trHeight w:val="474"/>
        </w:trPr>
        <w:tc>
          <w:tcPr>
            <w:tcW w:w="3870" w:type="dxa"/>
            <w:tcBorders>
              <w:top w:val="nil"/>
              <w:left w:val="thinThickSmallGap" w:sz="24" w:space="0" w:color="auto"/>
              <w:bottom w:val="nil"/>
              <w:right w:val="nil"/>
            </w:tcBorders>
            <w:hideMark/>
          </w:tcPr>
          <w:p w14:paraId="289F609C" w14:textId="77777777" w:rsidR="00C8586A" w:rsidRPr="00D050C7" w:rsidRDefault="00C8586A" w:rsidP="000B696F">
            <w:pPr>
              <w:jc w:val="left"/>
              <w:rPr>
                <w:b/>
              </w:rPr>
            </w:pPr>
            <w:r w:rsidRPr="00D050C7">
              <w:rPr>
                <w:b/>
              </w:rPr>
              <w:t>Лекарственная форма:</w:t>
            </w:r>
          </w:p>
        </w:tc>
        <w:tc>
          <w:tcPr>
            <w:tcW w:w="5486" w:type="dxa"/>
            <w:tcBorders>
              <w:top w:val="nil"/>
              <w:left w:val="nil"/>
              <w:bottom w:val="nil"/>
              <w:right w:val="thickThinSmallGap" w:sz="24" w:space="0" w:color="auto"/>
            </w:tcBorders>
            <w:hideMark/>
          </w:tcPr>
          <w:p w14:paraId="054A1844" w14:textId="71712F09" w:rsidR="004541CE" w:rsidRPr="00D050C7" w:rsidRDefault="00515DB2" w:rsidP="000B696F">
            <w:pPr>
              <w:pStyle w:val="OT"/>
              <w:spacing w:after="0"/>
              <w:rPr>
                <w:sz w:val="24"/>
                <w:szCs w:val="24"/>
                <w:highlight w:val="yellow"/>
              </w:rPr>
            </w:pPr>
            <w:r w:rsidRPr="00D050C7">
              <w:rPr>
                <w:sz w:val="24"/>
                <w:szCs w:val="24"/>
              </w:rPr>
              <w:t>Капсулы</w:t>
            </w:r>
          </w:p>
        </w:tc>
      </w:tr>
      <w:tr w:rsidR="00284823" w:rsidRPr="005E6358" w14:paraId="7A7CDD29" w14:textId="77777777" w:rsidTr="00EB0167">
        <w:trPr>
          <w:trHeight w:val="1071"/>
        </w:trPr>
        <w:tc>
          <w:tcPr>
            <w:tcW w:w="3870" w:type="dxa"/>
            <w:tcBorders>
              <w:top w:val="nil"/>
              <w:left w:val="thinThickSmallGap" w:sz="24" w:space="0" w:color="auto"/>
              <w:bottom w:val="nil"/>
              <w:right w:val="nil"/>
            </w:tcBorders>
          </w:tcPr>
          <w:p w14:paraId="1D12AC03" w14:textId="77777777" w:rsidR="00C8586A" w:rsidRPr="00D050C7" w:rsidRDefault="00C8586A" w:rsidP="000B696F">
            <w:pPr>
              <w:jc w:val="left"/>
              <w:rPr>
                <w:rFonts w:eastAsia="Times New Roman"/>
                <w:b/>
                <w:lang w:eastAsia="en-US"/>
              </w:rPr>
            </w:pPr>
            <w:r w:rsidRPr="00D050C7">
              <w:rPr>
                <w:b/>
              </w:rPr>
              <w:t>Показание:</w:t>
            </w:r>
          </w:p>
          <w:p w14:paraId="705DB213" w14:textId="77777777" w:rsidR="00C8586A" w:rsidRPr="00D050C7" w:rsidRDefault="00C8586A" w:rsidP="000B696F">
            <w:pPr>
              <w:jc w:val="left"/>
              <w:rPr>
                <w:lang w:eastAsia="en-US"/>
              </w:rPr>
            </w:pPr>
          </w:p>
        </w:tc>
        <w:tc>
          <w:tcPr>
            <w:tcW w:w="5486" w:type="dxa"/>
            <w:tcBorders>
              <w:top w:val="nil"/>
              <w:left w:val="nil"/>
              <w:bottom w:val="nil"/>
              <w:right w:val="thickThinSmallGap" w:sz="24" w:space="0" w:color="auto"/>
            </w:tcBorders>
          </w:tcPr>
          <w:p w14:paraId="55856B94" w14:textId="491B2F39" w:rsidR="00C8586A" w:rsidRPr="00D050C7" w:rsidRDefault="00515DB2" w:rsidP="00515DB2">
            <w:pPr>
              <w:pStyle w:val="OT"/>
              <w:rPr>
                <w:bCs/>
                <w:sz w:val="24"/>
                <w:szCs w:val="24"/>
                <w:highlight w:val="yellow"/>
              </w:rPr>
            </w:pPr>
            <w:r w:rsidRPr="00D050C7">
              <w:rPr>
                <w:bCs/>
                <w:sz w:val="24"/>
                <w:szCs w:val="24"/>
              </w:rPr>
              <w:t>Дифференцированный рак щитовидной железы, гепатоцеллюлярный рак, почечно-клеточный рак, рак эндометрия</w:t>
            </w:r>
          </w:p>
        </w:tc>
      </w:tr>
      <w:tr w:rsidR="00C8586A" w:rsidRPr="005E6358" w14:paraId="04F85B15" w14:textId="77777777" w:rsidTr="00EB0167">
        <w:trPr>
          <w:trHeight w:val="720"/>
        </w:trPr>
        <w:tc>
          <w:tcPr>
            <w:tcW w:w="3870" w:type="dxa"/>
            <w:tcBorders>
              <w:top w:val="nil"/>
              <w:left w:val="thinThickSmallGap" w:sz="24" w:space="0" w:color="auto"/>
              <w:bottom w:val="nil"/>
              <w:right w:val="nil"/>
            </w:tcBorders>
          </w:tcPr>
          <w:p w14:paraId="233D6A47" w14:textId="77777777" w:rsidR="00C8586A" w:rsidRPr="00D050C7" w:rsidRDefault="00C8586A" w:rsidP="000B696F">
            <w:pPr>
              <w:jc w:val="left"/>
              <w:rPr>
                <w:rFonts w:eastAsia="Calibri"/>
                <w:b/>
                <w:lang w:eastAsia="en-US"/>
              </w:rPr>
            </w:pPr>
            <w:r w:rsidRPr="00D050C7">
              <w:rPr>
                <w:rFonts w:eastAsia="Calibri"/>
                <w:b/>
              </w:rPr>
              <w:t>Идентификационный номер протокола клинического исследования:</w:t>
            </w:r>
          </w:p>
        </w:tc>
        <w:tc>
          <w:tcPr>
            <w:tcW w:w="5486" w:type="dxa"/>
            <w:tcBorders>
              <w:top w:val="nil"/>
              <w:left w:val="nil"/>
              <w:bottom w:val="nil"/>
              <w:right w:val="thickThinSmallGap" w:sz="24" w:space="0" w:color="auto"/>
            </w:tcBorders>
            <w:hideMark/>
          </w:tcPr>
          <w:p w14:paraId="21879F81" w14:textId="77777777" w:rsidR="001D1762" w:rsidRPr="00D050C7" w:rsidRDefault="001D1762" w:rsidP="00C87C41">
            <w:pPr>
              <w:jc w:val="left"/>
              <w:rPr>
                <w:rFonts w:eastAsia="Calibri"/>
              </w:rPr>
            </w:pPr>
          </w:p>
          <w:p w14:paraId="0622ED5A" w14:textId="3A1A767F" w:rsidR="00C8586A" w:rsidRPr="00D050C7" w:rsidRDefault="001D1762" w:rsidP="00D050C7">
            <w:pPr>
              <w:jc w:val="left"/>
              <w:rPr>
                <w:rFonts w:eastAsia="Calibri"/>
                <w:highlight w:val="yellow"/>
                <w:lang w:eastAsia="en-US"/>
              </w:rPr>
            </w:pPr>
            <w:r w:rsidRPr="00D050C7">
              <w:rPr>
                <w:rFonts w:eastAsia="Calibri"/>
                <w:lang w:val="en-US"/>
              </w:rPr>
              <w:t>CL011056162</w:t>
            </w:r>
          </w:p>
        </w:tc>
      </w:tr>
      <w:tr w:rsidR="00C8586A" w:rsidRPr="005E6358" w14:paraId="5BB3E9EB" w14:textId="77777777" w:rsidTr="00EB0167">
        <w:trPr>
          <w:trHeight w:val="461"/>
        </w:trPr>
        <w:tc>
          <w:tcPr>
            <w:tcW w:w="3870" w:type="dxa"/>
            <w:tcBorders>
              <w:top w:val="nil"/>
              <w:left w:val="thinThickSmallGap" w:sz="24" w:space="0" w:color="auto"/>
              <w:bottom w:val="nil"/>
              <w:right w:val="nil"/>
            </w:tcBorders>
          </w:tcPr>
          <w:p w14:paraId="46CAEFBF" w14:textId="77777777" w:rsidR="00C8586A" w:rsidRPr="00D050C7" w:rsidRDefault="00C8586A" w:rsidP="000B696F">
            <w:pPr>
              <w:jc w:val="left"/>
              <w:rPr>
                <w:rFonts w:eastAsia="Times New Roman"/>
                <w:b/>
                <w:bCs/>
                <w:iCs/>
                <w:lang w:eastAsia="en-US"/>
              </w:rPr>
            </w:pPr>
            <w:r w:rsidRPr="00D050C7">
              <w:rPr>
                <w:b/>
              </w:rPr>
              <w:t>Номер версии:</w:t>
            </w:r>
          </w:p>
        </w:tc>
        <w:tc>
          <w:tcPr>
            <w:tcW w:w="5486" w:type="dxa"/>
            <w:tcBorders>
              <w:top w:val="nil"/>
              <w:left w:val="nil"/>
              <w:bottom w:val="nil"/>
              <w:right w:val="thickThinSmallGap" w:sz="24" w:space="0" w:color="auto"/>
            </w:tcBorders>
            <w:hideMark/>
          </w:tcPr>
          <w:p w14:paraId="725C5849" w14:textId="77777777" w:rsidR="00C8586A" w:rsidRPr="00D050C7" w:rsidRDefault="00D927FE" w:rsidP="000B696F">
            <w:pPr>
              <w:pStyle w:val="OT"/>
              <w:spacing w:after="0"/>
              <w:rPr>
                <w:b/>
                <w:bCs/>
                <w:iCs/>
                <w:sz w:val="24"/>
                <w:szCs w:val="24"/>
                <w:lang w:eastAsia="en-US"/>
              </w:rPr>
            </w:pPr>
            <w:r w:rsidRPr="00D050C7">
              <w:rPr>
                <w:sz w:val="24"/>
                <w:szCs w:val="24"/>
              </w:rPr>
              <w:t>1.0</w:t>
            </w:r>
          </w:p>
        </w:tc>
      </w:tr>
      <w:tr w:rsidR="00C8586A" w:rsidRPr="005E6358" w14:paraId="4E07BC59" w14:textId="77777777" w:rsidTr="00EB0167">
        <w:trPr>
          <w:trHeight w:val="425"/>
        </w:trPr>
        <w:tc>
          <w:tcPr>
            <w:tcW w:w="3870" w:type="dxa"/>
            <w:tcBorders>
              <w:top w:val="nil"/>
              <w:left w:val="thinThickSmallGap" w:sz="24" w:space="0" w:color="auto"/>
              <w:bottom w:val="nil"/>
              <w:right w:val="nil"/>
            </w:tcBorders>
            <w:hideMark/>
          </w:tcPr>
          <w:p w14:paraId="2021D0E3" w14:textId="77777777" w:rsidR="00C8586A" w:rsidRPr="00D050C7" w:rsidRDefault="00C8586A" w:rsidP="000B696F">
            <w:pPr>
              <w:rPr>
                <w:rFonts w:eastAsia="Calibri"/>
                <w:b/>
                <w:lang w:eastAsia="en-US"/>
              </w:rPr>
            </w:pPr>
            <w:r w:rsidRPr="00D050C7">
              <w:rPr>
                <w:rFonts w:eastAsia="Calibri"/>
                <w:b/>
              </w:rPr>
              <w:t>Дата версии:</w:t>
            </w:r>
          </w:p>
        </w:tc>
        <w:tc>
          <w:tcPr>
            <w:tcW w:w="5486" w:type="dxa"/>
            <w:tcBorders>
              <w:top w:val="nil"/>
              <w:left w:val="nil"/>
              <w:bottom w:val="nil"/>
              <w:right w:val="thickThinSmallGap" w:sz="24" w:space="0" w:color="auto"/>
            </w:tcBorders>
            <w:hideMark/>
          </w:tcPr>
          <w:p w14:paraId="4C575940" w14:textId="30376315" w:rsidR="00C8586A" w:rsidRPr="00D050C7" w:rsidRDefault="00762053" w:rsidP="00B469BA">
            <w:pPr>
              <w:pStyle w:val="OT"/>
              <w:spacing w:after="0"/>
              <w:rPr>
                <w:rFonts w:eastAsia="Calibri"/>
                <w:sz w:val="24"/>
                <w:szCs w:val="24"/>
                <w:lang w:eastAsia="en-US"/>
              </w:rPr>
            </w:pPr>
            <w:r>
              <w:rPr>
                <w:rFonts w:eastAsia="Calibri"/>
                <w:sz w:val="24"/>
                <w:szCs w:val="24"/>
              </w:rPr>
              <w:t>30</w:t>
            </w:r>
            <w:r w:rsidR="00D833F8" w:rsidRPr="00D050C7">
              <w:rPr>
                <w:rFonts w:eastAsia="Calibri"/>
                <w:sz w:val="24"/>
                <w:szCs w:val="24"/>
              </w:rPr>
              <w:t xml:space="preserve"> </w:t>
            </w:r>
            <w:r w:rsidR="00B469BA">
              <w:rPr>
                <w:rFonts w:eastAsia="Calibri"/>
                <w:sz w:val="24"/>
                <w:szCs w:val="24"/>
              </w:rPr>
              <w:t>января</w:t>
            </w:r>
            <w:r w:rsidR="00D050C7">
              <w:rPr>
                <w:rFonts w:eastAsia="Calibri"/>
                <w:sz w:val="24"/>
                <w:szCs w:val="24"/>
              </w:rPr>
              <w:t xml:space="preserve"> </w:t>
            </w:r>
            <w:r w:rsidR="00D927FE" w:rsidRPr="00D050C7">
              <w:rPr>
                <w:rFonts w:eastAsia="Calibri"/>
                <w:sz w:val="24"/>
                <w:szCs w:val="24"/>
              </w:rPr>
              <w:t>202</w:t>
            </w:r>
            <w:r w:rsidR="00B469BA">
              <w:rPr>
                <w:rFonts w:eastAsia="Calibri"/>
                <w:sz w:val="24"/>
                <w:szCs w:val="24"/>
              </w:rPr>
              <w:t>3</w:t>
            </w:r>
            <w:r w:rsidR="00C8586A" w:rsidRPr="00D050C7">
              <w:rPr>
                <w:rFonts w:eastAsia="Calibri"/>
                <w:sz w:val="24"/>
                <w:szCs w:val="24"/>
              </w:rPr>
              <w:t xml:space="preserve"> г.</w:t>
            </w:r>
          </w:p>
        </w:tc>
      </w:tr>
      <w:tr w:rsidR="00D050C7" w:rsidRPr="005E6358" w14:paraId="32B67BCA" w14:textId="77777777" w:rsidTr="00EB0167">
        <w:trPr>
          <w:trHeight w:val="425"/>
        </w:trPr>
        <w:tc>
          <w:tcPr>
            <w:tcW w:w="3870" w:type="dxa"/>
            <w:tcBorders>
              <w:top w:val="nil"/>
              <w:left w:val="thinThickSmallGap" w:sz="24" w:space="0" w:color="auto"/>
              <w:bottom w:val="nil"/>
              <w:right w:val="nil"/>
            </w:tcBorders>
          </w:tcPr>
          <w:p w14:paraId="354D3DF4" w14:textId="498E6FB6" w:rsidR="00D050C7" w:rsidRPr="00D050C7" w:rsidRDefault="00D050C7" w:rsidP="00D050C7">
            <w:pPr>
              <w:rPr>
                <w:rFonts w:eastAsia="Calibri"/>
                <w:b/>
              </w:rPr>
            </w:pPr>
            <w:r w:rsidRPr="00D050C7">
              <w:rPr>
                <w:rFonts w:eastAsia="Calibri"/>
                <w:b/>
                <w:color w:val="000000" w:themeColor="text1"/>
              </w:rPr>
              <w:t>Дата окончания сбора данных</w:t>
            </w:r>
          </w:p>
        </w:tc>
        <w:tc>
          <w:tcPr>
            <w:tcW w:w="5486" w:type="dxa"/>
            <w:tcBorders>
              <w:top w:val="nil"/>
              <w:left w:val="nil"/>
              <w:bottom w:val="nil"/>
              <w:right w:val="thickThinSmallGap" w:sz="24" w:space="0" w:color="auto"/>
            </w:tcBorders>
          </w:tcPr>
          <w:p w14:paraId="6F4E87A3" w14:textId="120B59EE" w:rsidR="00D050C7" w:rsidRPr="00D050C7" w:rsidRDefault="00D050C7" w:rsidP="00D050C7">
            <w:pPr>
              <w:pStyle w:val="OT"/>
              <w:spacing w:after="0"/>
              <w:rPr>
                <w:rFonts w:eastAsia="Calibri"/>
                <w:sz w:val="24"/>
                <w:szCs w:val="24"/>
              </w:rPr>
            </w:pPr>
            <w:r>
              <w:rPr>
                <w:rFonts w:eastAsia="Calibri"/>
                <w:color w:val="000000" w:themeColor="text1"/>
                <w:sz w:val="24"/>
                <w:szCs w:val="24"/>
              </w:rPr>
              <w:t>10</w:t>
            </w:r>
            <w:r w:rsidRPr="00D050C7">
              <w:rPr>
                <w:rFonts w:eastAsia="Calibri"/>
                <w:color w:val="000000" w:themeColor="text1"/>
                <w:sz w:val="24"/>
                <w:szCs w:val="24"/>
              </w:rPr>
              <w:t xml:space="preserve"> </w:t>
            </w:r>
            <w:r>
              <w:rPr>
                <w:rFonts w:eastAsia="Calibri"/>
                <w:color w:val="000000" w:themeColor="text1"/>
                <w:sz w:val="24"/>
                <w:szCs w:val="24"/>
              </w:rPr>
              <w:t>декабря</w:t>
            </w:r>
            <w:r w:rsidRPr="00D050C7">
              <w:rPr>
                <w:rFonts w:eastAsia="Calibri"/>
                <w:color w:val="000000" w:themeColor="text1"/>
                <w:sz w:val="24"/>
                <w:szCs w:val="24"/>
              </w:rPr>
              <w:t xml:space="preserve"> 2022 г.</w:t>
            </w:r>
          </w:p>
        </w:tc>
      </w:tr>
      <w:tr w:rsidR="00C8586A" w:rsidRPr="005E6358" w14:paraId="1B4A57B1" w14:textId="77777777" w:rsidTr="00EB0167">
        <w:trPr>
          <w:trHeight w:val="455"/>
        </w:trPr>
        <w:tc>
          <w:tcPr>
            <w:tcW w:w="3870" w:type="dxa"/>
            <w:tcBorders>
              <w:top w:val="nil"/>
              <w:left w:val="thinThickSmallGap" w:sz="24" w:space="0" w:color="auto"/>
              <w:bottom w:val="nil"/>
              <w:right w:val="nil"/>
            </w:tcBorders>
            <w:hideMark/>
          </w:tcPr>
          <w:p w14:paraId="19D182D8" w14:textId="77777777" w:rsidR="00C8586A" w:rsidRPr="00D050C7" w:rsidRDefault="00C8586A" w:rsidP="000B696F">
            <w:pPr>
              <w:jc w:val="left"/>
              <w:rPr>
                <w:b/>
                <w:bCs/>
                <w:iCs/>
                <w:lang w:eastAsia="en-US"/>
              </w:rPr>
            </w:pPr>
            <w:r w:rsidRPr="00D050C7">
              <w:rPr>
                <w:b/>
              </w:rPr>
              <w:t>Заменяет предыдущую версию номер:</w:t>
            </w:r>
          </w:p>
        </w:tc>
        <w:tc>
          <w:tcPr>
            <w:tcW w:w="5486" w:type="dxa"/>
            <w:tcBorders>
              <w:top w:val="nil"/>
              <w:left w:val="nil"/>
              <w:bottom w:val="nil"/>
              <w:right w:val="thickThinSmallGap" w:sz="24" w:space="0" w:color="auto"/>
            </w:tcBorders>
            <w:hideMark/>
          </w:tcPr>
          <w:p w14:paraId="15954A26" w14:textId="77777777" w:rsidR="00C8586A" w:rsidRPr="00D050C7" w:rsidRDefault="008812B3" w:rsidP="000B696F">
            <w:pPr>
              <w:pStyle w:val="OT"/>
              <w:spacing w:after="0"/>
              <w:rPr>
                <w:b/>
                <w:bCs/>
                <w:iCs/>
                <w:sz w:val="24"/>
                <w:szCs w:val="24"/>
                <w:lang w:eastAsia="en-US"/>
              </w:rPr>
            </w:pPr>
            <w:r w:rsidRPr="00D050C7">
              <w:rPr>
                <w:sz w:val="24"/>
                <w:szCs w:val="24"/>
              </w:rPr>
              <w:t xml:space="preserve">Не применимо </w:t>
            </w:r>
          </w:p>
        </w:tc>
      </w:tr>
      <w:tr w:rsidR="00C8586A" w:rsidRPr="005E6358" w14:paraId="58F17C69" w14:textId="77777777" w:rsidTr="00BA2D96">
        <w:trPr>
          <w:trHeight w:val="377"/>
        </w:trPr>
        <w:tc>
          <w:tcPr>
            <w:tcW w:w="3870" w:type="dxa"/>
            <w:tcBorders>
              <w:top w:val="nil"/>
              <w:left w:val="thinThickSmallGap" w:sz="24" w:space="0" w:color="auto"/>
              <w:bottom w:val="nil"/>
              <w:right w:val="nil"/>
            </w:tcBorders>
          </w:tcPr>
          <w:p w14:paraId="0E12EA82" w14:textId="77777777" w:rsidR="00C8586A" w:rsidRPr="00D050C7" w:rsidRDefault="00C8586A" w:rsidP="000B696F">
            <w:pPr>
              <w:jc w:val="left"/>
              <w:rPr>
                <w:b/>
              </w:rPr>
            </w:pPr>
            <w:r w:rsidRPr="00D050C7">
              <w:rPr>
                <w:b/>
              </w:rPr>
              <w:t>Дата предыдущей версии:</w:t>
            </w:r>
          </w:p>
        </w:tc>
        <w:tc>
          <w:tcPr>
            <w:tcW w:w="5486" w:type="dxa"/>
            <w:tcBorders>
              <w:top w:val="nil"/>
              <w:left w:val="nil"/>
              <w:bottom w:val="nil"/>
              <w:right w:val="thickThinSmallGap" w:sz="24" w:space="0" w:color="auto"/>
            </w:tcBorders>
          </w:tcPr>
          <w:p w14:paraId="06BB4277" w14:textId="77777777" w:rsidR="00C8586A" w:rsidRPr="00D050C7" w:rsidRDefault="008812B3" w:rsidP="000B696F">
            <w:pPr>
              <w:pStyle w:val="OT"/>
              <w:spacing w:after="0"/>
              <w:rPr>
                <w:sz w:val="24"/>
                <w:szCs w:val="24"/>
                <w:lang w:val="en-US"/>
              </w:rPr>
            </w:pPr>
            <w:r w:rsidRPr="00D050C7">
              <w:rPr>
                <w:sz w:val="24"/>
                <w:szCs w:val="24"/>
              </w:rPr>
              <w:t>Не применимо</w:t>
            </w:r>
          </w:p>
        </w:tc>
      </w:tr>
      <w:tr w:rsidR="00C8586A" w:rsidRPr="005E6358" w14:paraId="637103B6" w14:textId="77777777" w:rsidTr="00D050C7">
        <w:trPr>
          <w:trHeight w:val="1805"/>
        </w:trPr>
        <w:tc>
          <w:tcPr>
            <w:tcW w:w="3870" w:type="dxa"/>
            <w:tcBorders>
              <w:top w:val="single" w:sz="4" w:space="0" w:color="auto"/>
              <w:left w:val="thinThickSmallGap" w:sz="24" w:space="0" w:color="auto"/>
              <w:bottom w:val="nil"/>
              <w:right w:val="nil"/>
            </w:tcBorders>
            <w:vAlign w:val="center"/>
          </w:tcPr>
          <w:p w14:paraId="433EB64A" w14:textId="77777777" w:rsidR="00C8586A" w:rsidRPr="00D050C7" w:rsidRDefault="00C8586A" w:rsidP="000B696F">
            <w:pPr>
              <w:jc w:val="left"/>
              <w:rPr>
                <w:rFonts w:eastAsia="Calibri"/>
                <w:b/>
              </w:rPr>
            </w:pPr>
            <w:r w:rsidRPr="00D050C7">
              <w:rPr>
                <w:rFonts w:eastAsia="Calibri"/>
                <w:b/>
              </w:rPr>
              <w:t>Наименование/имя и адрес спонсора (монитора) клинического исследования:</w:t>
            </w:r>
          </w:p>
          <w:p w14:paraId="57E40F2C" w14:textId="77777777" w:rsidR="00C8586A" w:rsidRPr="00D050C7" w:rsidRDefault="00C8586A" w:rsidP="000B696F">
            <w:pPr>
              <w:rPr>
                <w:rFonts w:eastAsia="Calibri"/>
                <w:lang w:eastAsia="en-US"/>
              </w:rPr>
            </w:pPr>
          </w:p>
        </w:tc>
        <w:tc>
          <w:tcPr>
            <w:tcW w:w="5486" w:type="dxa"/>
            <w:tcBorders>
              <w:top w:val="single" w:sz="4" w:space="0" w:color="auto"/>
              <w:left w:val="nil"/>
              <w:bottom w:val="nil"/>
              <w:right w:val="thickThinSmallGap" w:sz="24" w:space="0" w:color="auto"/>
            </w:tcBorders>
            <w:vAlign w:val="center"/>
            <w:hideMark/>
          </w:tcPr>
          <w:p w14:paraId="3882C1DE" w14:textId="77777777" w:rsidR="00FE28B3" w:rsidRPr="00D050C7" w:rsidRDefault="00FE28B3" w:rsidP="000B696F">
            <w:pPr>
              <w:pStyle w:val="OT"/>
              <w:spacing w:after="0"/>
              <w:rPr>
                <w:rFonts w:eastAsia="Calibri"/>
                <w:sz w:val="24"/>
                <w:szCs w:val="24"/>
              </w:rPr>
            </w:pPr>
            <w:r w:rsidRPr="00D050C7">
              <w:rPr>
                <w:rFonts w:eastAsia="Calibri"/>
                <w:sz w:val="24"/>
                <w:szCs w:val="24"/>
              </w:rPr>
              <w:t xml:space="preserve">АО «Р-Фарм», Россия </w:t>
            </w:r>
          </w:p>
          <w:p w14:paraId="0B542D54" w14:textId="38017B90" w:rsidR="00FE28B3" w:rsidRPr="00D050C7" w:rsidRDefault="00FE28B3" w:rsidP="000B696F">
            <w:pPr>
              <w:pStyle w:val="OT"/>
              <w:spacing w:after="0"/>
              <w:rPr>
                <w:rFonts w:eastAsia="Calibri"/>
                <w:sz w:val="24"/>
                <w:szCs w:val="24"/>
              </w:rPr>
            </w:pPr>
            <w:r w:rsidRPr="00D050C7">
              <w:rPr>
                <w:rFonts w:eastAsia="Calibri"/>
                <w:sz w:val="24"/>
                <w:szCs w:val="24"/>
              </w:rPr>
              <w:t xml:space="preserve">Юридический адрес: </w:t>
            </w:r>
            <w:r w:rsidRPr="00D050C7">
              <w:rPr>
                <w:sz w:val="24"/>
                <w:szCs w:val="24"/>
              </w:rPr>
              <w:t>123154, Москва, ул. Берзарина, д. 19, корп. 1.</w:t>
            </w:r>
          </w:p>
          <w:p w14:paraId="375BB487" w14:textId="77777777" w:rsidR="00FE28B3" w:rsidRPr="00D050C7" w:rsidRDefault="00FE28B3" w:rsidP="000B696F">
            <w:pPr>
              <w:pStyle w:val="OT"/>
              <w:spacing w:after="0"/>
              <w:rPr>
                <w:rFonts w:eastAsia="Calibri"/>
                <w:sz w:val="24"/>
                <w:szCs w:val="24"/>
              </w:rPr>
            </w:pPr>
            <w:r w:rsidRPr="00D050C7">
              <w:rPr>
                <w:rFonts w:eastAsia="Calibri"/>
                <w:sz w:val="24"/>
                <w:szCs w:val="24"/>
              </w:rPr>
              <w:t>Тел.: +7 (495) 956-79-37, факс: +7 (495) 956-79-38.</w:t>
            </w:r>
          </w:p>
          <w:p w14:paraId="56D5CEF2" w14:textId="23562012" w:rsidR="00C8586A" w:rsidRPr="00D050C7" w:rsidRDefault="00FE28B3" w:rsidP="000B696F">
            <w:pPr>
              <w:pStyle w:val="OT"/>
              <w:spacing w:after="0"/>
              <w:rPr>
                <w:rFonts w:eastAsia="Calibri"/>
                <w:sz w:val="24"/>
                <w:szCs w:val="24"/>
                <w:lang w:eastAsia="en-US"/>
              </w:rPr>
            </w:pPr>
            <w:r w:rsidRPr="00D050C7">
              <w:rPr>
                <w:rFonts w:eastAsia="Calibri"/>
                <w:sz w:val="24"/>
                <w:szCs w:val="24"/>
              </w:rPr>
              <w:t xml:space="preserve">Эл. почта: </w:t>
            </w:r>
            <w:r w:rsidRPr="00D050C7">
              <w:rPr>
                <w:sz w:val="24"/>
                <w:szCs w:val="24"/>
                <w:lang w:val="en-US"/>
              </w:rPr>
              <w:t>info</w:t>
            </w:r>
            <w:r w:rsidRPr="00D050C7">
              <w:rPr>
                <w:sz w:val="24"/>
                <w:szCs w:val="24"/>
              </w:rPr>
              <w:t>@</w:t>
            </w:r>
            <w:r w:rsidRPr="00D050C7">
              <w:rPr>
                <w:sz w:val="24"/>
                <w:szCs w:val="24"/>
                <w:lang w:val="en-US"/>
              </w:rPr>
              <w:t>rpharm</w:t>
            </w:r>
            <w:r w:rsidRPr="00D050C7">
              <w:rPr>
                <w:sz w:val="24"/>
                <w:szCs w:val="24"/>
              </w:rPr>
              <w:t>.</w:t>
            </w:r>
            <w:r w:rsidRPr="00D050C7">
              <w:rPr>
                <w:sz w:val="24"/>
                <w:szCs w:val="24"/>
                <w:lang w:val="en-US"/>
              </w:rPr>
              <w:t>ru</w:t>
            </w:r>
          </w:p>
        </w:tc>
      </w:tr>
      <w:tr w:rsidR="00C8586A" w:rsidRPr="005E6358" w14:paraId="5FEE16C7" w14:textId="77777777" w:rsidTr="00B469BA">
        <w:trPr>
          <w:trHeight w:val="2398"/>
        </w:trPr>
        <w:tc>
          <w:tcPr>
            <w:tcW w:w="3870" w:type="dxa"/>
            <w:tcBorders>
              <w:top w:val="single" w:sz="4" w:space="0" w:color="auto"/>
              <w:left w:val="thinThickSmallGap" w:sz="24" w:space="0" w:color="auto"/>
              <w:bottom w:val="nil"/>
              <w:right w:val="nil"/>
            </w:tcBorders>
          </w:tcPr>
          <w:p w14:paraId="56A29BA1" w14:textId="77777777" w:rsidR="00B469BA" w:rsidRDefault="00B469BA" w:rsidP="000B696F">
            <w:pPr>
              <w:jc w:val="left"/>
              <w:rPr>
                <w:rFonts w:eastAsia="Calibri"/>
                <w:b/>
              </w:rPr>
            </w:pPr>
          </w:p>
          <w:p w14:paraId="01A8493E" w14:textId="4E84C5BC" w:rsidR="00C8586A" w:rsidRPr="00D050C7" w:rsidRDefault="00C8586A" w:rsidP="000B696F">
            <w:pPr>
              <w:jc w:val="left"/>
              <w:rPr>
                <w:rFonts w:eastAsia="Calibri"/>
                <w:lang w:eastAsia="en-US"/>
              </w:rPr>
            </w:pPr>
            <w:r w:rsidRPr="00D050C7">
              <w:rPr>
                <w:rFonts w:eastAsia="Calibri"/>
                <w:b/>
              </w:rPr>
              <w:t>Ф.И.О., должность, адрес и номер телефона назначенного спонсором медицинского эксперта по данному исследованию:</w:t>
            </w:r>
          </w:p>
        </w:tc>
        <w:tc>
          <w:tcPr>
            <w:tcW w:w="5486" w:type="dxa"/>
            <w:tcBorders>
              <w:top w:val="single" w:sz="4" w:space="0" w:color="auto"/>
              <w:left w:val="nil"/>
              <w:bottom w:val="nil"/>
              <w:right w:val="thickThinSmallGap" w:sz="24" w:space="0" w:color="auto"/>
            </w:tcBorders>
          </w:tcPr>
          <w:p w14:paraId="7B25EE61" w14:textId="77777777" w:rsidR="00B469BA" w:rsidRDefault="00B469BA" w:rsidP="000B696F">
            <w:pPr>
              <w:pStyle w:val="OT"/>
              <w:spacing w:after="0"/>
              <w:rPr>
                <w:rFonts w:eastAsia="Calibri"/>
                <w:b/>
                <w:sz w:val="24"/>
                <w:szCs w:val="24"/>
              </w:rPr>
            </w:pPr>
          </w:p>
          <w:p w14:paraId="300E871F" w14:textId="6DD0B7BE" w:rsidR="00E62C75" w:rsidRPr="00D050C7" w:rsidRDefault="00A26EEC" w:rsidP="000B696F">
            <w:pPr>
              <w:pStyle w:val="OT"/>
              <w:spacing w:after="0"/>
              <w:rPr>
                <w:rFonts w:eastAsia="Calibri"/>
                <w:sz w:val="24"/>
                <w:szCs w:val="24"/>
              </w:rPr>
            </w:pPr>
            <w:r w:rsidRPr="00B469BA">
              <w:rPr>
                <w:rFonts w:eastAsia="Calibri"/>
                <w:b/>
                <w:sz w:val="24"/>
                <w:szCs w:val="24"/>
              </w:rPr>
              <w:t>Никольская Мария Викторовна</w:t>
            </w:r>
          </w:p>
          <w:p w14:paraId="194ABD6F" w14:textId="77777777" w:rsidR="00B469BA" w:rsidRPr="00904040" w:rsidRDefault="00B469BA" w:rsidP="00B469BA">
            <w:pPr>
              <w:rPr>
                <w:rFonts w:eastAsia="Calibri"/>
              </w:rPr>
            </w:pPr>
            <w:r w:rsidRPr="00904040">
              <w:rPr>
                <w:rFonts w:eastAsia="Calibri"/>
              </w:rPr>
              <w:t>Руководитель отдела медицинской документации ДДКР Медицинской дирекции АО «Р-Фарм»</w:t>
            </w:r>
          </w:p>
          <w:p w14:paraId="63520ED5" w14:textId="77777777" w:rsidR="00B469BA" w:rsidRPr="0017550C" w:rsidRDefault="00B469BA" w:rsidP="00B469BA">
            <w:pPr>
              <w:rPr>
                <w:rFonts w:eastAsia="Calibri"/>
              </w:rPr>
            </w:pPr>
            <w:r w:rsidRPr="0017550C">
              <w:rPr>
                <w:rFonts w:eastAsia="Calibri"/>
              </w:rPr>
              <w:t xml:space="preserve">Адрес: Россия, 123154, Москва, Ленинский проспект, </w:t>
            </w:r>
            <w:r w:rsidRPr="0017550C">
              <w:rPr>
                <w:rFonts w:eastAsia="Calibri"/>
                <w:lang w:eastAsia="ru-RU"/>
              </w:rPr>
              <w:t>111, к1</w:t>
            </w:r>
            <w:r w:rsidRPr="0017550C">
              <w:rPr>
                <w:rFonts w:eastAsia="Calibri"/>
              </w:rPr>
              <w:t>.</w:t>
            </w:r>
          </w:p>
          <w:p w14:paraId="5E0FF478" w14:textId="77777777" w:rsidR="00B469BA" w:rsidRPr="0017550C" w:rsidRDefault="00B469BA" w:rsidP="00B469BA">
            <w:pPr>
              <w:rPr>
                <w:rFonts w:eastAsia="Calibri"/>
              </w:rPr>
            </w:pPr>
            <w:r w:rsidRPr="0017550C">
              <w:rPr>
                <w:rFonts w:eastAsia="Calibri"/>
              </w:rPr>
              <w:t>Тел.: +7 (495) 956-79-37, моб.: +7 (921) 327-35-73.</w:t>
            </w:r>
          </w:p>
          <w:p w14:paraId="1E167E0A" w14:textId="2522796F" w:rsidR="00BC5FDB" w:rsidRPr="00D050C7" w:rsidRDefault="00B469BA" w:rsidP="00B469BA">
            <w:pPr>
              <w:pStyle w:val="OT"/>
              <w:spacing w:after="0"/>
              <w:rPr>
                <w:rFonts w:eastAsia="Calibri"/>
                <w:sz w:val="24"/>
                <w:szCs w:val="24"/>
                <w:lang w:val="de-DE" w:eastAsia="en-US"/>
              </w:rPr>
            </w:pPr>
            <w:r w:rsidRPr="0017550C">
              <w:rPr>
                <w:rFonts w:eastAsia="Calibri"/>
              </w:rPr>
              <w:t xml:space="preserve">Эл. почта: </w:t>
            </w:r>
            <w:r w:rsidRPr="0017550C">
              <w:t>mv.nikolskaya@rpharm.ru</w:t>
            </w:r>
            <w:r w:rsidR="00BC5FDB" w:rsidRPr="00D050C7">
              <w:rPr>
                <w:rFonts w:eastAsia="Calibri"/>
                <w:sz w:val="24"/>
                <w:szCs w:val="24"/>
                <w:lang w:val="de-DE" w:eastAsia="en-US"/>
              </w:rPr>
              <w:tab/>
            </w:r>
          </w:p>
        </w:tc>
      </w:tr>
      <w:tr w:rsidR="00284823" w:rsidRPr="005E6358" w14:paraId="55669C8F" w14:textId="77777777" w:rsidTr="00762053">
        <w:trPr>
          <w:trHeight w:val="1695"/>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AB01E2" w:rsidRDefault="00C8586A" w:rsidP="000B696F">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D050C7" w:rsidRDefault="00E30437" w:rsidP="004C505D">
      <w:pPr>
        <w:pStyle w:val="12"/>
        <w:spacing w:line="240" w:lineRule="auto"/>
        <w:rPr>
          <w:rFonts w:cs="Times New Roman"/>
          <w:bCs w:val="0"/>
          <w:color w:val="000000" w:themeColor="text1"/>
          <w:szCs w:val="24"/>
        </w:rPr>
      </w:pPr>
      <w:bookmarkStart w:id="0" w:name="_Hlk484253716"/>
      <w:bookmarkStart w:id="1" w:name="_Toc126059676"/>
      <w:bookmarkEnd w:id="0"/>
      <w:r w:rsidRPr="00D050C7">
        <w:rPr>
          <w:rFonts w:cs="Times New Roman"/>
          <w:bCs w:val="0"/>
          <w:color w:val="000000" w:themeColor="text1"/>
          <w:szCs w:val="24"/>
        </w:rPr>
        <w:lastRenderedPageBreak/>
        <w:t>СОДЕРЖАНИЕ</w:t>
      </w:r>
      <w:bookmarkEnd w:id="1"/>
    </w:p>
    <w:p w14:paraId="1996B680" w14:textId="4557DE03" w:rsidR="00C21460" w:rsidRPr="00C21460" w:rsidRDefault="005C3F89">
      <w:pPr>
        <w:pStyle w:val="14"/>
        <w:rPr>
          <w:rFonts w:eastAsiaTheme="minorEastAsia"/>
          <w:noProof/>
          <w:lang w:eastAsia="ru-RU"/>
        </w:rPr>
      </w:pPr>
      <w:r w:rsidRPr="00094E98">
        <w:rPr>
          <w:color w:val="000000" w:themeColor="text1"/>
        </w:rPr>
        <w:fldChar w:fldCharType="begin"/>
      </w:r>
      <w:r w:rsidR="00B30F15" w:rsidRPr="00094E98">
        <w:rPr>
          <w:color w:val="000000" w:themeColor="text1"/>
        </w:rPr>
        <w:instrText xml:space="preserve"> TOC \o "1-5" \h \z \u </w:instrText>
      </w:r>
      <w:r w:rsidRPr="00094E98">
        <w:rPr>
          <w:color w:val="000000" w:themeColor="text1"/>
        </w:rPr>
        <w:fldChar w:fldCharType="separate"/>
      </w:r>
      <w:bookmarkStart w:id="2" w:name="_GoBack"/>
      <w:r w:rsidR="00C21460" w:rsidRPr="00C21460">
        <w:rPr>
          <w:rStyle w:val="aa"/>
          <w:noProof/>
        </w:rPr>
        <w:fldChar w:fldCharType="begin"/>
      </w:r>
      <w:r w:rsidR="00C21460" w:rsidRPr="00C21460">
        <w:rPr>
          <w:rStyle w:val="aa"/>
          <w:noProof/>
        </w:rPr>
        <w:instrText xml:space="preserve"> </w:instrText>
      </w:r>
      <w:r w:rsidR="00C21460" w:rsidRPr="00C21460">
        <w:rPr>
          <w:noProof/>
        </w:rPr>
        <w:instrText>HYPERLINK \l "_Toc126059676"</w:instrText>
      </w:r>
      <w:r w:rsidR="00C21460" w:rsidRPr="00C21460">
        <w:rPr>
          <w:rStyle w:val="aa"/>
          <w:noProof/>
        </w:rPr>
        <w:instrText xml:space="preserve"> </w:instrText>
      </w:r>
      <w:r w:rsidR="00C21460" w:rsidRPr="00C21460">
        <w:rPr>
          <w:rStyle w:val="aa"/>
          <w:noProof/>
        </w:rPr>
      </w:r>
      <w:r w:rsidR="00C21460" w:rsidRPr="00C21460">
        <w:rPr>
          <w:rStyle w:val="aa"/>
          <w:noProof/>
        </w:rPr>
        <w:fldChar w:fldCharType="separate"/>
      </w:r>
      <w:r w:rsidR="00C21460" w:rsidRPr="00C21460">
        <w:rPr>
          <w:rStyle w:val="aa"/>
          <w:noProof/>
        </w:rPr>
        <w:t>СОДЕРЖАНИЕ</w:t>
      </w:r>
      <w:r w:rsidR="00C21460" w:rsidRPr="00C21460">
        <w:rPr>
          <w:noProof/>
          <w:webHidden/>
        </w:rPr>
        <w:tab/>
      </w:r>
      <w:r w:rsidR="00C21460" w:rsidRPr="00C21460">
        <w:rPr>
          <w:noProof/>
          <w:webHidden/>
        </w:rPr>
        <w:fldChar w:fldCharType="begin"/>
      </w:r>
      <w:r w:rsidR="00C21460" w:rsidRPr="00C21460">
        <w:rPr>
          <w:noProof/>
          <w:webHidden/>
        </w:rPr>
        <w:instrText xml:space="preserve"> PAGEREF _Toc126059676 \h </w:instrText>
      </w:r>
      <w:r w:rsidR="00C21460" w:rsidRPr="00C21460">
        <w:rPr>
          <w:noProof/>
          <w:webHidden/>
        </w:rPr>
      </w:r>
      <w:r w:rsidR="00C21460" w:rsidRPr="00C21460">
        <w:rPr>
          <w:noProof/>
          <w:webHidden/>
        </w:rPr>
        <w:fldChar w:fldCharType="separate"/>
      </w:r>
      <w:r w:rsidR="00C21460" w:rsidRPr="00C21460">
        <w:rPr>
          <w:noProof/>
          <w:webHidden/>
        </w:rPr>
        <w:t>2</w:t>
      </w:r>
      <w:r w:rsidR="00C21460" w:rsidRPr="00C21460">
        <w:rPr>
          <w:noProof/>
          <w:webHidden/>
        </w:rPr>
        <w:fldChar w:fldCharType="end"/>
      </w:r>
      <w:r w:rsidR="00C21460" w:rsidRPr="00C21460">
        <w:rPr>
          <w:rStyle w:val="aa"/>
          <w:noProof/>
        </w:rPr>
        <w:fldChar w:fldCharType="end"/>
      </w:r>
    </w:p>
    <w:p w14:paraId="45E3FF60" w14:textId="37F96D3A" w:rsidR="00C21460" w:rsidRPr="00C21460" w:rsidRDefault="00C21460">
      <w:pPr>
        <w:pStyle w:val="14"/>
        <w:rPr>
          <w:rFonts w:eastAsiaTheme="minorEastAsia"/>
          <w:noProof/>
          <w:lang w:eastAsia="ru-RU"/>
        </w:rPr>
      </w:pPr>
      <w:hyperlink w:anchor="_Toc126059677" w:history="1">
        <w:r w:rsidRPr="00C21460">
          <w:rPr>
            <w:rStyle w:val="aa"/>
            <w:noProof/>
          </w:rPr>
          <w:t>ЛИСТ СОГЛАСОВАНИЯ</w:t>
        </w:r>
        <w:r w:rsidRPr="00C21460">
          <w:rPr>
            <w:noProof/>
            <w:webHidden/>
          </w:rPr>
          <w:tab/>
        </w:r>
        <w:r w:rsidRPr="00C21460">
          <w:rPr>
            <w:noProof/>
            <w:webHidden/>
          </w:rPr>
          <w:fldChar w:fldCharType="begin"/>
        </w:r>
        <w:r w:rsidRPr="00C21460">
          <w:rPr>
            <w:noProof/>
            <w:webHidden/>
          </w:rPr>
          <w:instrText xml:space="preserve"> PAGEREF _Toc126059677 \h </w:instrText>
        </w:r>
        <w:r w:rsidRPr="00C21460">
          <w:rPr>
            <w:noProof/>
            <w:webHidden/>
          </w:rPr>
        </w:r>
        <w:r w:rsidRPr="00C21460">
          <w:rPr>
            <w:noProof/>
            <w:webHidden/>
          </w:rPr>
          <w:fldChar w:fldCharType="separate"/>
        </w:r>
        <w:r w:rsidRPr="00C21460">
          <w:rPr>
            <w:noProof/>
            <w:webHidden/>
          </w:rPr>
          <w:t>5</w:t>
        </w:r>
        <w:r w:rsidRPr="00C21460">
          <w:rPr>
            <w:noProof/>
            <w:webHidden/>
          </w:rPr>
          <w:fldChar w:fldCharType="end"/>
        </w:r>
      </w:hyperlink>
    </w:p>
    <w:p w14:paraId="56C8EC87" w14:textId="4DCC0E8E" w:rsidR="00C21460" w:rsidRPr="00C21460" w:rsidRDefault="00C21460">
      <w:pPr>
        <w:pStyle w:val="14"/>
        <w:rPr>
          <w:rFonts w:eastAsiaTheme="minorEastAsia"/>
          <w:noProof/>
          <w:lang w:eastAsia="ru-RU"/>
        </w:rPr>
      </w:pPr>
      <w:hyperlink w:anchor="_Toc126059678" w:history="1">
        <w:r w:rsidRPr="00C21460">
          <w:rPr>
            <w:rStyle w:val="aa"/>
            <w:noProof/>
          </w:rPr>
          <w:t>СПИСОК СОКРАЩЕНИЙ</w:t>
        </w:r>
        <w:r w:rsidRPr="00C21460">
          <w:rPr>
            <w:noProof/>
            <w:webHidden/>
          </w:rPr>
          <w:tab/>
        </w:r>
        <w:r w:rsidRPr="00C21460">
          <w:rPr>
            <w:noProof/>
            <w:webHidden/>
          </w:rPr>
          <w:fldChar w:fldCharType="begin"/>
        </w:r>
        <w:r w:rsidRPr="00C21460">
          <w:rPr>
            <w:noProof/>
            <w:webHidden/>
          </w:rPr>
          <w:instrText xml:space="preserve"> PAGEREF _Toc126059678 \h </w:instrText>
        </w:r>
        <w:r w:rsidRPr="00C21460">
          <w:rPr>
            <w:noProof/>
            <w:webHidden/>
          </w:rPr>
        </w:r>
        <w:r w:rsidRPr="00C21460">
          <w:rPr>
            <w:noProof/>
            <w:webHidden/>
          </w:rPr>
          <w:fldChar w:fldCharType="separate"/>
        </w:r>
        <w:r w:rsidRPr="00C21460">
          <w:rPr>
            <w:noProof/>
            <w:webHidden/>
          </w:rPr>
          <w:t>6</w:t>
        </w:r>
        <w:r w:rsidRPr="00C21460">
          <w:rPr>
            <w:noProof/>
            <w:webHidden/>
          </w:rPr>
          <w:fldChar w:fldCharType="end"/>
        </w:r>
      </w:hyperlink>
    </w:p>
    <w:p w14:paraId="7526CB09" w14:textId="607ED2A2" w:rsidR="00C21460" w:rsidRPr="00C21460" w:rsidRDefault="00C21460">
      <w:pPr>
        <w:pStyle w:val="14"/>
        <w:rPr>
          <w:rFonts w:eastAsiaTheme="minorEastAsia"/>
          <w:noProof/>
          <w:lang w:eastAsia="ru-RU"/>
        </w:rPr>
      </w:pPr>
      <w:hyperlink w:anchor="_Toc126059679" w:history="1">
        <w:r w:rsidRPr="00C21460">
          <w:rPr>
            <w:rStyle w:val="aa"/>
            <w:noProof/>
          </w:rPr>
          <w:t>ИСТОРИЯ ДОКУМЕНТА</w:t>
        </w:r>
        <w:r w:rsidRPr="00C21460">
          <w:rPr>
            <w:noProof/>
            <w:webHidden/>
          </w:rPr>
          <w:tab/>
        </w:r>
        <w:r w:rsidRPr="00C21460">
          <w:rPr>
            <w:noProof/>
            <w:webHidden/>
          </w:rPr>
          <w:fldChar w:fldCharType="begin"/>
        </w:r>
        <w:r w:rsidRPr="00C21460">
          <w:rPr>
            <w:noProof/>
            <w:webHidden/>
          </w:rPr>
          <w:instrText xml:space="preserve"> PAGEREF _Toc126059679 \h </w:instrText>
        </w:r>
        <w:r w:rsidRPr="00C21460">
          <w:rPr>
            <w:noProof/>
            <w:webHidden/>
          </w:rPr>
        </w:r>
        <w:r w:rsidRPr="00C21460">
          <w:rPr>
            <w:noProof/>
            <w:webHidden/>
          </w:rPr>
          <w:fldChar w:fldCharType="separate"/>
        </w:r>
        <w:r w:rsidRPr="00C21460">
          <w:rPr>
            <w:noProof/>
            <w:webHidden/>
          </w:rPr>
          <w:t>9</w:t>
        </w:r>
        <w:r w:rsidRPr="00C21460">
          <w:rPr>
            <w:noProof/>
            <w:webHidden/>
          </w:rPr>
          <w:fldChar w:fldCharType="end"/>
        </w:r>
      </w:hyperlink>
    </w:p>
    <w:p w14:paraId="6C4809DC" w14:textId="2BE8F795" w:rsidR="00C21460" w:rsidRPr="00C21460" w:rsidRDefault="00C21460">
      <w:pPr>
        <w:pStyle w:val="14"/>
        <w:rPr>
          <w:rFonts w:eastAsiaTheme="minorEastAsia"/>
          <w:noProof/>
          <w:lang w:eastAsia="ru-RU"/>
        </w:rPr>
      </w:pPr>
      <w:hyperlink w:anchor="_Toc126059680" w:history="1">
        <w:r w:rsidRPr="00C21460">
          <w:rPr>
            <w:rStyle w:val="aa"/>
            <w:noProof/>
          </w:rPr>
          <w:t>РЕЗЮМЕ</w:t>
        </w:r>
        <w:r w:rsidRPr="00C21460">
          <w:rPr>
            <w:noProof/>
            <w:webHidden/>
          </w:rPr>
          <w:tab/>
        </w:r>
        <w:r w:rsidRPr="00C21460">
          <w:rPr>
            <w:noProof/>
            <w:webHidden/>
          </w:rPr>
          <w:fldChar w:fldCharType="begin"/>
        </w:r>
        <w:r w:rsidRPr="00C21460">
          <w:rPr>
            <w:noProof/>
            <w:webHidden/>
          </w:rPr>
          <w:instrText xml:space="preserve"> PAGEREF _Toc126059680 \h </w:instrText>
        </w:r>
        <w:r w:rsidRPr="00C21460">
          <w:rPr>
            <w:noProof/>
            <w:webHidden/>
          </w:rPr>
        </w:r>
        <w:r w:rsidRPr="00C21460">
          <w:rPr>
            <w:noProof/>
            <w:webHidden/>
          </w:rPr>
          <w:fldChar w:fldCharType="separate"/>
        </w:r>
        <w:r w:rsidRPr="00C21460">
          <w:rPr>
            <w:noProof/>
            <w:webHidden/>
          </w:rPr>
          <w:t>10</w:t>
        </w:r>
        <w:r w:rsidRPr="00C21460">
          <w:rPr>
            <w:noProof/>
            <w:webHidden/>
          </w:rPr>
          <w:fldChar w:fldCharType="end"/>
        </w:r>
      </w:hyperlink>
    </w:p>
    <w:p w14:paraId="22AF24D9" w14:textId="12F21CDB" w:rsidR="00C21460" w:rsidRPr="00C21460" w:rsidRDefault="00C21460">
      <w:pPr>
        <w:pStyle w:val="14"/>
        <w:rPr>
          <w:rFonts w:eastAsiaTheme="minorEastAsia"/>
          <w:noProof/>
          <w:lang w:eastAsia="ru-RU"/>
        </w:rPr>
      </w:pPr>
      <w:hyperlink w:anchor="_Toc126059681" w:history="1">
        <w:r w:rsidRPr="00C21460">
          <w:rPr>
            <w:rStyle w:val="aa"/>
            <w:noProof/>
          </w:rPr>
          <w:t>1. ВВЕДЕНИЕ</w:t>
        </w:r>
        <w:r w:rsidRPr="00C21460">
          <w:rPr>
            <w:noProof/>
            <w:webHidden/>
          </w:rPr>
          <w:tab/>
        </w:r>
        <w:r w:rsidRPr="00C21460">
          <w:rPr>
            <w:noProof/>
            <w:webHidden/>
          </w:rPr>
          <w:fldChar w:fldCharType="begin"/>
        </w:r>
        <w:r w:rsidRPr="00C21460">
          <w:rPr>
            <w:noProof/>
            <w:webHidden/>
          </w:rPr>
          <w:instrText xml:space="preserve"> PAGEREF _Toc126059681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34257046" w14:textId="71D9F4E9" w:rsidR="00C21460" w:rsidRPr="00C21460" w:rsidRDefault="00C21460">
      <w:pPr>
        <w:pStyle w:val="21"/>
        <w:rPr>
          <w:rFonts w:eastAsiaTheme="minorEastAsia"/>
          <w:noProof/>
          <w:lang w:eastAsia="ru-RU"/>
        </w:rPr>
      </w:pPr>
      <w:hyperlink w:anchor="_Toc126059682" w:history="1">
        <w:r w:rsidRPr="00C21460">
          <w:rPr>
            <w:rStyle w:val="aa"/>
            <w:noProof/>
          </w:rPr>
          <w:t>1.1. Химическое название</w:t>
        </w:r>
        <w:r w:rsidRPr="00C21460">
          <w:rPr>
            <w:noProof/>
            <w:webHidden/>
          </w:rPr>
          <w:tab/>
        </w:r>
        <w:r w:rsidRPr="00C21460">
          <w:rPr>
            <w:noProof/>
            <w:webHidden/>
          </w:rPr>
          <w:fldChar w:fldCharType="begin"/>
        </w:r>
        <w:r w:rsidRPr="00C21460">
          <w:rPr>
            <w:noProof/>
            <w:webHidden/>
          </w:rPr>
          <w:instrText xml:space="preserve"> PAGEREF _Toc126059682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1B51064C" w14:textId="66D9933B" w:rsidR="00C21460" w:rsidRPr="00C21460" w:rsidRDefault="00C21460">
      <w:pPr>
        <w:pStyle w:val="21"/>
        <w:rPr>
          <w:rFonts w:eastAsiaTheme="minorEastAsia"/>
          <w:noProof/>
          <w:lang w:eastAsia="ru-RU"/>
        </w:rPr>
      </w:pPr>
      <w:hyperlink w:anchor="_Toc126059683" w:history="1">
        <w:r w:rsidRPr="00C21460">
          <w:rPr>
            <w:rStyle w:val="aa"/>
            <w:noProof/>
          </w:rPr>
          <w:t>1.2. Международное непатентованное название</w:t>
        </w:r>
        <w:r w:rsidRPr="00C21460">
          <w:rPr>
            <w:noProof/>
            <w:webHidden/>
          </w:rPr>
          <w:tab/>
        </w:r>
        <w:r w:rsidRPr="00C21460">
          <w:rPr>
            <w:noProof/>
            <w:webHidden/>
          </w:rPr>
          <w:fldChar w:fldCharType="begin"/>
        </w:r>
        <w:r w:rsidRPr="00C21460">
          <w:rPr>
            <w:noProof/>
            <w:webHidden/>
          </w:rPr>
          <w:instrText xml:space="preserve"> PAGEREF _Toc126059683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0E6B556C" w14:textId="131A051F" w:rsidR="00C21460" w:rsidRPr="00C21460" w:rsidRDefault="00C21460">
      <w:pPr>
        <w:pStyle w:val="21"/>
        <w:rPr>
          <w:rFonts w:eastAsiaTheme="minorEastAsia"/>
          <w:noProof/>
          <w:lang w:eastAsia="ru-RU"/>
        </w:rPr>
      </w:pPr>
      <w:hyperlink w:anchor="_Toc126059684" w:history="1">
        <w:r w:rsidRPr="00C21460">
          <w:rPr>
            <w:rStyle w:val="aa"/>
            <w:noProof/>
          </w:rPr>
          <w:t>1.3. Торговое название</w:t>
        </w:r>
        <w:r w:rsidRPr="00C21460">
          <w:rPr>
            <w:noProof/>
            <w:webHidden/>
          </w:rPr>
          <w:tab/>
        </w:r>
        <w:r w:rsidRPr="00C21460">
          <w:rPr>
            <w:noProof/>
            <w:webHidden/>
          </w:rPr>
          <w:fldChar w:fldCharType="begin"/>
        </w:r>
        <w:r w:rsidRPr="00C21460">
          <w:rPr>
            <w:noProof/>
            <w:webHidden/>
          </w:rPr>
          <w:instrText xml:space="preserve"> PAGEREF _Toc126059684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46B8D279" w14:textId="1B010397" w:rsidR="00C21460" w:rsidRPr="00C21460" w:rsidRDefault="00C21460">
      <w:pPr>
        <w:pStyle w:val="21"/>
        <w:rPr>
          <w:rFonts w:eastAsiaTheme="minorEastAsia"/>
          <w:noProof/>
          <w:lang w:eastAsia="ru-RU"/>
        </w:rPr>
      </w:pPr>
      <w:hyperlink w:anchor="_Toc126059685" w:history="1">
        <w:r w:rsidRPr="00C21460">
          <w:rPr>
            <w:rStyle w:val="aa"/>
            <w:noProof/>
          </w:rPr>
          <w:t>1.4. Активные ингредиенты</w:t>
        </w:r>
        <w:r w:rsidRPr="00C21460">
          <w:rPr>
            <w:noProof/>
            <w:webHidden/>
          </w:rPr>
          <w:tab/>
        </w:r>
        <w:r w:rsidRPr="00C21460">
          <w:rPr>
            <w:noProof/>
            <w:webHidden/>
          </w:rPr>
          <w:fldChar w:fldCharType="begin"/>
        </w:r>
        <w:r w:rsidRPr="00C21460">
          <w:rPr>
            <w:noProof/>
            <w:webHidden/>
          </w:rPr>
          <w:instrText xml:space="preserve"> PAGEREF _Toc126059685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3B6F3550" w14:textId="5129E942" w:rsidR="00C21460" w:rsidRPr="00C21460" w:rsidRDefault="00C21460">
      <w:pPr>
        <w:pStyle w:val="21"/>
        <w:rPr>
          <w:rFonts w:eastAsiaTheme="minorEastAsia"/>
          <w:noProof/>
          <w:lang w:eastAsia="ru-RU"/>
        </w:rPr>
      </w:pPr>
      <w:hyperlink w:anchor="_Toc126059686" w:history="1">
        <w:r w:rsidRPr="00C21460">
          <w:rPr>
            <w:rStyle w:val="aa"/>
            <w:noProof/>
          </w:rPr>
          <w:t>1.5. Фармакологическая группа</w:t>
        </w:r>
        <w:r w:rsidRPr="00C21460">
          <w:rPr>
            <w:noProof/>
            <w:webHidden/>
          </w:rPr>
          <w:tab/>
        </w:r>
        <w:r w:rsidRPr="00C21460">
          <w:rPr>
            <w:noProof/>
            <w:webHidden/>
          </w:rPr>
          <w:fldChar w:fldCharType="begin"/>
        </w:r>
        <w:r w:rsidRPr="00C21460">
          <w:rPr>
            <w:noProof/>
            <w:webHidden/>
          </w:rPr>
          <w:instrText xml:space="preserve"> PAGEREF _Toc126059686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345D113C" w14:textId="02C13B35" w:rsidR="00C21460" w:rsidRPr="00C21460" w:rsidRDefault="00C21460">
      <w:pPr>
        <w:pStyle w:val="21"/>
        <w:rPr>
          <w:rFonts w:eastAsiaTheme="minorEastAsia"/>
          <w:noProof/>
          <w:lang w:eastAsia="ru-RU"/>
        </w:rPr>
      </w:pPr>
      <w:hyperlink w:anchor="_Toc126059687" w:history="1">
        <w:r w:rsidRPr="00C21460">
          <w:rPr>
            <w:rStyle w:val="aa"/>
            <w:noProof/>
          </w:rPr>
          <w:t>1.6. Код по АТХ</w:t>
        </w:r>
        <w:r w:rsidRPr="00C21460">
          <w:rPr>
            <w:noProof/>
            <w:webHidden/>
          </w:rPr>
          <w:tab/>
        </w:r>
        <w:r w:rsidRPr="00C21460">
          <w:rPr>
            <w:noProof/>
            <w:webHidden/>
          </w:rPr>
          <w:fldChar w:fldCharType="begin"/>
        </w:r>
        <w:r w:rsidRPr="00C21460">
          <w:rPr>
            <w:noProof/>
            <w:webHidden/>
          </w:rPr>
          <w:instrText xml:space="preserve"> PAGEREF _Toc126059687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716AF619" w14:textId="55510614" w:rsidR="00C21460" w:rsidRPr="00C21460" w:rsidRDefault="00C21460">
      <w:pPr>
        <w:pStyle w:val="21"/>
        <w:rPr>
          <w:rFonts w:eastAsiaTheme="minorEastAsia"/>
          <w:noProof/>
          <w:lang w:eastAsia="ru-RU"/>
        </w:rPr>
      </w:pPr>
      <w:hyperlink w:anchor="_Toc126059688" w:history="1">
        <w:r w:rsidRPr="00C21460">
          <w:rPr>
            <w:rStyle w:val="aa"/>
            <w:noProof/>
          </w:rPr>
          <w:t>1.7.</w:t>
        </w:r>
        <w:r w:rsidRPr="00C21460">
          <w:rPr>
            <w:rFonts w:eastAsiaTheme="minorEastAsia"/>
            <w:noProof/>
            <w:lang w:eastAsia="ru-RU"/>
          </w:rPr>
          <w:tab/>
        </w:r>
        <w:r w:rsidRPr="00C21460">
          <w:rPr>
            <w:rStyle w:val="aa"/>
            <w:noProof/>
          </w:rPr>
          <w:t>Обоснование для изучения исследуемого препарата</w:t>
        </w:r>
        <w:r w:rsidRPr="00C21460">
          <w:rPr>
            <w:noProof/>
            <w:webHidden/>
          </w:rPr>
          <w:tab/>
        </w:r>
        <w:r w:rsidRPr="00C21460">
          <w:rPr>
            <w:noProof/>
            <w:webHidden/>
          </w:rPr>
          <w:fldChar w:fldCharType="begin"/>
        </w:r>
        <w:r w:rsidRPr="00C21460">
          <w:rPr>
            <w:noProof/>
            <w:webHidden/>
          </w:rPr>
          <w:instrText xml:space="preserve"> PAGEREF _Toc126059688 \h </w:instrText>
        </w:r>
        <w:r w:rsidRPr="00C21460">
          <w:rPr>
            <w:noProof/>
            <w:webHidden/>
          </w:rPr>
        </w:r>
        <w:r w:rsidRPr="00C21460">
          <w:rPr>
            <w:noProof/>
            <w:webHidden/>
          </w:rPr>
          <w:fldChar w:fldCharType="separate"/>
        </w:r>
        <w:r w:rsidRPr="00C21460">
          <w:rPr>
            <w:noProof/>
            <w:webHidden/>
          </w:rPr>
          <w:t>14</w:t>
        </w:r>
        <w:r w:rsidRPr="00C21460">
          <w:rPr>
            <w:noProof/>
            <w:webHidden/>
          </w:rPr>
          <w:fldChar w:fldCharType="end"/>
        </w:r>
      </w:hyperlink>
    </w:p>
    <w:p w14:paraId="2F700BFA" w14:textId="2C249C02" w:rsidR="00C21460" w:rsidRPr="00C21460" w:rsidRDefault="00C21460">
      <w:pPr>
        <w:pStyle w:val="31"/>
        <w:rPr>
          <w:rFonts w:eastAsiaTheme="minorEastAsia"/>
          <w:lang w:eastAsia="ru-RU"/>
        </w:rPr>
      </w:pPr>
      <w:hyperlink w:anchor="_Toc126059689" w:history="1">
        <w:r w:rsidRPr="00C21460">
          <w:rPr>
            <w:rStyle w:val="aa"/>
          </w:rPr>
          <w:t>1.7.1.</w:t>
        </w:r>
        <w:r w:rsidRPr="00C21460">
          <w:rPr>
            <w:rFonts w:eastAsiaTheme="minorEastAsia"/>
            <w:lang w:eastAsia="ru-RU"/>
          </w:rPr>
          <w:tab/>
        </w:r>
        <w:r w:rsidRPr="00C21460">
          <w:rPr>
            <w:rStyle w:val="aa"/>
          </w:rPr>
          <w:t>Общие сведения о заболевании</w:t>
        </w:r>
        <w:r w:rsidRPr="00C21460">
          <w:rPr>
            <w:webHidden/>
          </w:rPr>
          <w:tab/>
        </w:r>
        <w:r w:rsidRPr="00C21460">
          <w:rPr>
            <w:webHidden/>
          </w:rPr>
          <w:fldChar w:fldCharType="begin"/>
        </w:r>
        <w:r w:rsidRPr="00C21460">
          <w:rPr>
            <w:webHidden/>
          </w:rPr>
          <w:instrText xml:space="preserve"> PAGEREF _Toc126059689 \h </w:instrText>
        </w:r>
        <w:r w:rsidRPr="00C21460">
          <w:rPr>
            <w:webHidden/>
          </w:rPr>
        </w:r>
        <w:r w:rsidRPr="00C21460">
          <w:rPr>
            <w:webHidden/>
          </w:rPr>
          <w:fldChar w:fldCharType="separate"/>
        </w:r>
        <w:r w:rsidRPr="00C21460">
          <w:rPr>
            <w:webHidden/>
          </w:rPr>
          <w:t>14</w:t>
        </w:r>
        <w:r w:rsidRPr="00C21460">
          <w:rPr>
            <w:webHidden/>
          </w:rPr>
          <w:fldChar w:fldCharType="end"/>
        </w:r>
      </w:hyperlink>
    </w:p>
    <w:p w14:paraId="78884910" w14:textId="59F378AE" w:rsidR="00C21460" w:rsidRPr="00C21460" w:rsidRDefault="00C21460">
      <w:pPr>
        <w:pStyle w:val="31"/>
        <w:rPr>
          <w:rFonts w:eastAsiaTheme="minorEastAsia"/>
          <w:lang w:eastAsia="ru-RU"/>
        </w:rPr>
      </w:pPr>
      <w:hyperlink w:anchor="_Toc126059690" w:history="1">
        <w:r w:rsidRPr="00C21460">
          <w:rPr>
            <w:rStyle w:val="aa"/>
          </w:rPr>
          <w:t>1.7.2. Существующие варианты терапии</w:t>
        </w:r>
        <w:r w:rsidRPr="00C21460">
          <w:rPr>
            <w:webHidden/>
          </w:rPr>
          <w:tab/>
        </w:r>
        <w:r w:rsidRPr="00C21460">
          <w:rPr>
            <w:webHidden/>
          </w:rPr>
          <w:fldChar w:fldCharType="begin"/>
        </w:r>
        <w:r w:rsidRPr="00C21460">
          <w:rPr>
            <w:webHidden/>
          </w:rPr>
          <w:instrText xml:space="preserve"> PAGEREF _Toc126059690 \h </w:instrText>
        </w:r>
        <w:r w:rsidRPr="00C21460">
          <w:rPr>
            <w:webHidden/>
          </w:rPr>
        </w:r>
        <w:r w:rsidRPr="00C21460">
          <w:rPr>
            <w:webHidden/>
          </w:rPr>
          <w:fldChar w:fldCharType="separate"/>
        </w:r>
        <w:r w:rsidRPr="00C21460">
          <w:rPr>
            <w:webHidden/>
          </w:rPr>
          <w:t>16</w:t>
        </w:r>
        <w:r w:rsidRPr="00C21460">
          <w:rPr>
            <w:webHidden/>
          </w:rPr>
          <w:fldChar w:fldCharType="end"/>
        </w:r>
      </w:hyperlink>
    </w:p>
    <w:p w14:paraId="1F67E373" w14:textId="47BFB0B6" w:rsidR="00C21460" w:rsidRPr="00C21460" w:rsidRDefault="00C21460">
      <w:pPr>
        <w:pStyle w:val="31"/>
        <w:rPr>
          <w:rFonts w:eastAsiaTheme="minorEastAsia"/>
          <w:lang w:eastAsia="ru-RU"/>
        </w:rPr>
      </w:pPr>
      <w:hyperlink w:anchor="_Toc126059691" w:history="1">
        <w:r w:rsidRPr="00C21460">
          <w:rPr>
            <w:rStyle w:val="aa"/>
          </w:rPr>
          <w:t>1.7.3. Вводная информация по исследуемой терапии</w:t>
        </w:r>
        <w:r w:rsidRPr="00C21460">
          <w:rPr>
            <w:webHidden/>
          </w:rPr>
          <w:tab/>
        </w:r>
        <w:r w:rsidRPr="00C21460">
          <w:rPr>
            <w:webHidden/>
          </w:rPr>
          <w:fldChar w:fldCharType="begin"/>
        </w:r>
        <w:r w:rsidRPr="00C21460">
          <w:rPr>
            <w:webHidden/>
          </w:rPr>
          <w:instrText xml:space="preserve"> PAGEREF _Toc126059691 \h </w:instrText>
        </w:r>
        <w:r w:rsidRPr="00C21460">
          <w:rPr>
            <w:webHidden/>
          </w:rPr>
        </w:r>
        <w:r w:rsidRPr="00C21460">
          <w:rPr>
            <w:webHidden/>
          </w:rPr>
          <w:fldChar w:fldCharType="separate"/>
        </w:r>
        <w:r w:rsidRPr="00C21460">
          <w:rPr>
            <w:webHidden/>
          </w:rPr>
          <w:t>19</w:t>
        </w:r>
        <w:r w:rsidRPr="00C21460">
          <w:rPr>
            <w:webHidden/>
          </w:rPr>
          <w:fldChar w:fldCharType="end"/>
        </w:r>
      </w:hyperlink>
    </w:p>
    <w:p w14:paraId="6F8D7756" w14:textId="698C4587" w:rsidR="00C21460" w:rsidRPr="00C21460" w:rsidRDefault="00C21460">
      <w:pPr>
        <w:pStyle w:val="21"/>
        <w:rPr>
          <w:rFonts w:eastAsiaTheme="minorEastAsia"/>
          <w:noProof/>
          <w:lang w:eastAsia="ru-RU"/>
        </w:rPr>
      </w:pPr>
      <w:hyperlink w:anchor="_Toc126059692" w:history="1">
        <w:r w:rsidRPr="00C21460">
          <w:rPr>
            <w:rStyle w:val="aa"/>
            <w:noProof/>
          </w:rPr>
          <w:t>1.8.</w:t>
        </w:r>
        <w:r w:rsidRPr="00C21460">
          <w:rPr>
            <w:rFonts w:eastAsiaTheme="minorEastAsia"/>
            <w:noProof/>
            <w:lang w:eastAsia="ru-RU"/>
          </w:rPr>
          <w:tab/>
        </w:r>
        <w:r w:rsidRPr="00C21460">
          <w:rPr>
            <w:rStyle w:val="aa"/>
            <w:noProof/>
          </w:rPr>
          <w:t>Ожидаемые показания к применению</w:t>
        </w:r>
        <w:r w:rsidRPr="00C21460">
          <w:rPr>
            <w:noProof/>
            <w:webHidden/>
          </w:rPr>
          <w:tab/>
        </w:r>
        <w:r w:rsidRPr="00C21460">
          <w:rPr>
            <w:noProof/>
            <w:webHidden/>
          </w:rPr>
          <w:fldChar w:fldCharType="begin"/>
        </w:r>
        <w:r w:rsidRPr="00C21460">
          <w:rPr>
            <w:noProof/>
            <w:webHidden/>
          </w:rPr>
          <w:instrText xml:space="preserve"> PAGEREF _Toc126059692 \h </w:instrText>
        </w:r>
        <w:r w:rsidRPr="00C21460">
          <w:rPr>
            <w:noProof/>
            <w:webHidden/>
          </w:rPr>
        </w:r>
        <w:r w:rsidRPr="00C21460">
          <w:rPr>
            <w:noProof/>
            <w:webHidden/>
          </w:rPr>
          <w:fldChar w:fldCharType="separate"/>
        </w:r>
        <w:r w:rsidRPr="00C21460">
          <w:rPr>
            <w:noProof/>
            <w:webHidden/>
          </w:rPr>
          <w:t>20</w:t>
        </w:r>
        <w:r w:rsidRPr="00C21460">
          <w:rPr>
            <w:noProof/>
            <w:webHidden/>
          </w:rPr>
          <w:fldChar w:fldCharType="end"/>
        </w:r>
      </w:hyperlink>
    </w:p>
    <w:p w14:paraId="2127FFCD" w14:textId="68351655" w:rsidR="00C21460" w:rsidRPr="00C21460" w:rsidRDefault="00C21460">
      <w:pPr>
        <w:pStyle w:val="21"/>
        <w:rPr>
          <w:rFonts w:eastAsiaTheme="minorEastAsia"/>
          <w:noProof/>
          <w:lang w:eastAsia="ru-RU"/>
        </w:rPr>
      </w:pPr>
      <w:hyperlink w:anchor="_Toc126059693" w:history="1">
        <w:r w:rsidRPr="00C21460">
          <w:rPr>
            <w:rStyle w:val="aa"/>
            <w:noProof/>
          </w:rPr>
          <w:t>Список литературы</w:t>
        </w:r>
        <w:r w:rsidRPr="00C21460">
          <w:rPr>
            <w:noProof/>
            <w:webHidden/>
          </w:rPr>
          <w:tab/>
        </w:r>
        <w:r w:rsidRPr="00C21460">
          <w:rPr>
            <w:noProof/>
            <w:webHidden/>
          </w:rPr>
          <w:fldChar w:fldCharType="begin"/>
        </w:r>
        <w:r w:rsidRPr="00C21460">
          <w:rPr>
            <w:noProof/>
            <w:webHidden/>
          </w:rPr>
          <w:instrText xml:space="preserve"> PAGEREF _Toc126059693 \h </w:instrText>
        </w:r>
        <w:r w:rsidRPr="00C21460">
          <w:rPr>
            <w:noProof/>
            <w:webHidden/>
          </w:rPr>
        </w:r>
        <w:r w:rsidRPr="00C21460">
          <w:rPr>
            <w:noProof/>
            <w:webHidden/>
          </w:rPr>
          <w:fldChar w:fldCharType="separate"/>
        </w:r>
        <w:r w:rsidRPr="00C21460">
          <w:rPr>
            <w:noProof/>
            <w:webHidden/>
          </w:rPr>
          <w:t>21</w:t>
        </w:r>
        <w:r w:rsidRPr="00C21460">
          <w:rPr>
            <w:noProof/>
            <w:webHidden/>
          </w:rPr>
          <w:fldChar w:fldCharType="end"/>
        </w:r>
      </w:hyperlink>
    </w:p>
    <w:p w14:paraId="168D2222" w14:textId="7880FF77" w:rsidR="00C21460" w:rsidRPr="00C21460" w:rsidRDefault="00C21460">
      <w:pPr>
        <w:pStyle w:val="14"/>
        <w:tabs>
          <w:tab w:val="left" w:pos="720"/>
        </w:tabs>
        <w:rPr>
          <w:rFonts w:eastAsiaTheme="minorEastAsia"/>
          <w:noProof/>
          <w:lang w:eastAsia="ru-RU"/>
        </w:rPr>
      </w:pPr>
      <w:hyperlink w:anchor="_Toc126059694" w:history="1">
        <w:r w:rsidRPr="00C21460">
          <w:rPr>
            <w:rStyle w:val="aa"/>
            <w:noProof/>
          </w:rPr>
          <w:t>2.</w:t>
        </w:r>
        <w:r w:rsidRPr="00C21460">
          <w:rPr>
            <w:rFonts w:eastAsiaTheme="minorEastAsia"/>
            <w:noProof/>
            <w:lang w:eastAsia="ru-RU"/>
          </w:rPr>
          <w:tab/>
        </w:r>
        <w:r w:rsidRPr="00C21460">
          <w:rPr>
            <w:rStyle w:val="aa"/>
            <w:noProof/>
          </w:rPr>
          <w:t>ФИЗИЧЕСКИЕ, ХИМИЧЕСКИЕ И ФАРМАЦЕВТИЧЕСКИЕ СВОЙСТВА И ЛЕКАРСТВЕННАЯ ФОРМА</w:t>
        </w:r>
        <w:r w:rsidRPr="00C21460">
          <w:rPr>
            <w:noProof/>
            <w:webHidden/>
          </w:rPr>
          <w:tab/>
        </w:r>
        <w:r w:rsidRPr="00C21460">
          <w:rPr>
            <w:noProof/>
            <w:webHidden/>
          </w:rPr>
          <w:fldChar w:fldCharType="begin"/>
        </w:r>
        <w:r w:rsidRPr="00C21460">
          <w:rPr>
            <w:noProof/>
            <w:webHidden/>
          </w:rPr>
          <w:instrText xml:space="preserve"> PAGEREF _Toc126059694 \h </w:instrText>
        </w:r>
        <w:r w:rsidRPr="00C21460">
          <w:rPr>
            <w:noProof/>
            <w:webHidden/>
          </w:rPr>
        </w:r>
        <w:r w:rsidRPr="00C21460">
          <w:rPr>
            <w:noProof/>
            <w:webHidden/>
          </w:rPr>
          <w:fldChar w:fldCharType="separate"/>
        </w:r>
        <w:r w:rsidRPr="00C21460">
          <w:rPr>
            <w:noProof/>
            <w:webHidden/>
          </w:rPr>
          <w:t>23</w:t>
        </w:r>
        <w:r w:rsidRPr="00C21460">
          <w:rPr>
            <w:noProof/>
            <w:webHidden/>
          </w:rPr>
          <w:fldChar w:fldCharType="end"/>
        </w:r>
      </w:hyperlink>
    </w:p>
    <w:p w14:paraId="3F6330D8" w14:textId="7590B4E4" w:rsidR="00C21460" w:rsidRPr="00C21460" w:rsidRDefault="00C21460">
      <w:pPr>
        <w:pStyle w:val="21"/>
        <w:rPr>
          <w:rFonts w:eastAsiaTheme="minorEastAsia"/>
          <w:noProof/>
          <w:lang w:eastAsia="ru-RU"/>
        </w:rPr>
      </w:pPr>
      <w:hyperlink w:anchor="_Toc126059695" w:history="1">
        <w:r w:rsidRPr="00C21460">
          <w:rPr>
            <w:rStyle w:val="aa"/>
            <w:noProof/>
          </w:rPr>
          <w:t>2.1. Описание свойств исследуемого препарата</w:t>
        </w:r>
        <w:r w:rsidRPr="00C21460">
          <w:rPr>
            <w:noProof/>
            <w:webHidden/>
          </w:rPr>
          <w:tab/>
        </w:r>
        <w:r w:rsidRPr="00C21460">
          <w:rPr>
            <w:noProof/>
            <w:webHidden/>
          </w:rPr>
          <w:fldChar w:fldCharType="begin"/>
        </w:r>
        <w:r w:rsidRPr="00C21460">
          <w:rPr>
            <w:noProof/>
            <w:webHidden/>
          </w:rPr>
          <w:instrText xml:space="preserve"> PAGEREF _Toc126059695 \h </w:instrText>
        </w:r>
        <w:r w:rsidRPr="00C21460">
          <w:rPr>
            <w:noProof/>
            <w:webHidden/>
          </w:rPr>
        </w:r>
        <w:r w:rsidRPr="00C21460">
          <w:rPr>
            <w:noProof/>
            <w:webHidden/>
          </w:rPr>
          <w:fldChar w:fldCharType="separate"/>
        </w:r>
        <w:r w:rsidRPr="00C21460">
          <w:rPr>
            <w:noProof/>
            <w:webHidden/>
          </w:rPr>
          <w:t>23</w:t>
        </w:r>
        <w:r w:rsidRPr="00C21460">
          <w:rPr>
            <w:noProof/>
            <w:webHidden/>
          </w:rPr>
          <w:fldChar w:fldCharType="end"/>
        </w:r>
      </w:hyperlink>
    </w:p>
    <w:p w14:paraId="5B5594AD" w14:textId="2C3EE092" w:rsidR="00C21460" w:rsidRPr="00C21460" w:rsidRDefault="00C21460">
      <w:pPr>
        <w:pStyle w:val="31"/>
        <w:rPr>
          <w:rFonts w:eastAsiaTheme="minorEastAsia"/>
          <w:lang w:eastAsia="ru-RU"/>
        </w:rPr>
      </w:pPr>
      <w:hyperlink w:anchor="_Toc126059696" w:history="1">
        <w:r w:rsidRPr="00C21460">
          <w:rPr>
            <w:rStyle w:val="aa"/>
          </w:rPr>
          <w:t>2.1.1. Химическая формула</w:t>
        </w:r>
        <w:r w:rsidRPr="00C21460">
          <w:rPr>
            <w:webHidden/>
          </w:rPr>
          <w:tab/>
        </w:r>
        <w:r w:rsidRPr="00C21460">
          <w:rPr>
            <w:webHidden/>
          </w:rPr>
          <w:fldChar w:fldCharType="begin"/>
        </w:r>
        <w:r w:rsidRPr="00C21460">
          <w:rPr>
            <w:webHidden/>
          </w:rPr>
          <w:instrText xml:space="preserve"> PAGEREF _Toc126059696 \h </w:instrText>
        </w:r>
        <w:r w:rsidRPr="00C21460">
          <w:rPr>
            <w:webHidden/>
          </w:rPr>
        </w:r>
        <w:r w:rsidRPr="00C21460">
          <w:rPr>
            <w:webHidden/>
          </w:rPr>
          <w:fldChar w:fldCharType="separate"/>
        </w:r>
        <w:r w:rsidRPr="00C21460">
          <w:rPr>
            <w:webHidden/>
          </w:rPr>
          <w:t>23</w:t>
        </w:r>
        <w:r w:rsidRPr="00C21460">
          <w:rPr>
            <w:webHidden/>
          </w:rPr>
          <w:fldChar w:fldCharType="end"/>
        </w:r>
      </w:hyperlink>
    </w:p>
    <w:p w14:paraId="7D359240" w14:textId="493AE0FA" w:rsidR="00C21460" w:rsidRPr="00C21460" w:rsidRDefault="00C21460">
      <w:pPr>
        <w:pStyle w:val="31"/>
        <w:rPr>
          <w:rFonts w:eastAsiaTheme="minorEastAsia"/>
          <w:lang w:eastAsia="ru-RU"/>
        </w:rPr>
      </w:pPr>
      <w:hyperlink w:anchor="_Toc126059697" w:history="1">
        <w:r w:rsidRPr="00C21460">
          <w:rPr>
            <w:rStyle w:val="aa"/>
          </w:rPr>
          <w:t>2.1.2. Структурная формула</w:t>
        </w:r>
        <w:r w:rsidRPr="00C21460">
          <w:rPr>
            <w:webHidden/>
          </w:rPr>
          <w:tab/>
        </w:r>
        <w:r w:rsidRPr="00C21460">
          <w:rPr>
            <w:webHidden/>
          </w:rPr>
          <w:fldChar w:fldCharType="begin"/>
        </w:r>
        <w:r w:rsidRPr="00C21460">
          <w:rPr>
            <w:webHidden/>
          </w:rPr>
          <w:instrText xml:space="preserve"> PAGEREF _Toc126059697 \h </w:instrText>
        </w:r>
        <w:r w:rsidRPr="00C21460">
          <w:rPr>
            <w:webHidden/>
          </w:rPr>
        </w:r>
        <w:r w:rsidRPr="00C21460">
          <w:rPr>
            <w:webHidden/>
          </w:rPr>
          <w:fldChar w:fldCharType="separate"/>
        </w:r>
        <w:r w:rsidRPr="00C21460">
          <w:rPr>
            <w:webHidden/>
          </w:rPr>
          <w:t>23</w:t>
        </w:r>
        <w:r w:rsidRPr="00C21460">
          <w:rPr>
            <w:webHidden/>
          </w:rPr>
          <w:fldChar w:fldCharType="end"/>
        </w:r>
      </w:hyperlink>
    </w:p>
    <w:p w14:paraId="0B38A68D" w14:textId="04231A32" w:rsidR="00C21460" w:rsidRPr="00C21460" w:rsidRDefault="00C21460">
      <w:pPr>
        <w:pStyle w:val="31"/>
        <w:rPr>
          <w:rFonts w:eastAsiaTheme="minorEastAsia"/>
          <w:lang w:eastAsia="ru-RU"/>
        </w:rPr>
      </w:pPr>
      <w:hyperlink w:anchor="_Toc126059698" w:history="1">
        <w:r w:rsidRPr="00C21460">
          <w:rPr>
            <w:rStyle w:val="aa"/>
          </w:rPr>
          <w:t>2.1.3. Физико-химические и фармацевтические свойства</w:t>
        </w:r>
        <w:r w:rsidRPr="00C21460">
          <w:rPr>
            <w:webHidden/>
          </w:rPr>
          <w:tab/>
        </w:r>
        <w:r w:rsidRPr="00C21460">
          <w:rPr>
            <w:webHidden/>
          </w:rPr>
          <w:fldChar w:fldCharType="begin"/>
        </w:r>
        <w:r w:rsidRPr="00C21460">
          <w:rPr>
            <w:webHidden/>
          </w:rPr>
          <w:instrText xml:space="preserve"> PAGEREF _Toc126059698 \h </w:instrText>
        </w:r>
        <w:r w:rsidRPr="00C21460">
          <w:rPr>
            <w:webHidden/>
          </w:rPr>
        </w:r>
        <w:r w:rsidRPr="00C21460">
          <w:rPr>
            <w:webHidden/>
          </w:rPr>
          <w:fldChar w:fldCharType="separate"/>
        </w:r>
        <w:r w:rsidRPr="00C21460">
          <w:rPr>
            <w:webHidden/>
          </w:rPr>
          <w:t>23</w:t>
        </w:r>
        <w:r w:rsidRPr="00C21460">
          <w:rPr>
            <w:webHidden/>
          </w:rPr>
          <w:fldChar w:fldCharType="end"/>
        </w:r>
      </w:hyperlink>
    </w:p>
    <w:p w14:paraId="175A2819" w14:textId="7F90DB24" w:rsidR="00C21460" w:rsidRPr="00C21460" w:rsidRDefault="00C21460">
      <w:pPr>
        <w:pStyle w:val="21"/>
        <w:rPr>
          <w:rFonts w:eastAsiaTheme="minorEastAsia"/>
          <w:noProof/>
          <w:lang w:eastAsia="ru-RU"/>
        </w:rPr>
      </w:pPr>
      <w:hyperlink w:anchor="_Toc126059699" w:history="1">
        <w:r w:rsidRPr="00C21460">
          <w:rPr>
            <w:rStyle w:val="aa"/>
            <w:noProof/>
          </w:rPr>
          <w:t>2.2. Лекарственная форма</w:t>
        </w:r>
        <w:r w:rsidRPr="00C21460">
          <w:rPr>
            <w:noProof/>
            <w:webHidden/>
          </w:rPr>
          <w:tab/>
        </w:r>
        <w:r w:rsidRPr="00C21460">
          <w:rPr>
            <w:noProof/>
            <w:webHidden/>
          </w:rPr>
          <w:fldChar w:fldCharType="begin"/>
        </w:r>
        <w:r w:rsidRPr="00C21460">
          <w:rPr>
            <w:noProof/>
            <w:webHidden/>
          </w:rPr>
          <w:instrText xml:space="preserve"> PAGEREF _Toc126059699 \h </w:instrText>
        </w:r>
        <w:r w:rsidRPr="00C21460">
          <w:rPr>
            <w:noProof/>
            <w:webHidden/>
          </w:rPr>
        </w:r>
        <w:r w:rsidRPr="00C21460">
          <w:rPr>
            <w:noProof/>
            <w:webHidden/>
          </w:rPr>
          <w:fldChar w:fldCharType="separate"/>
        </w:r>
        <w:r w:rsidRPr="00C21460">
          <w:rPr>
            <w:noProof/>
            <w:webHidden/>
          </w:rPr>
          <w:t>23</w:t>
        </w:r>
        <w:r w:rsidRPr="00C21460">
          <w:rPr>
            <w:noProof/>
            <w:webHidden/>
          </w:rPr>
          <w:fldChar w:fldCharType="end"/>
        </w:r>
      </w:hyperlink>
    </w:p>
    <w:p w14:paraId="78C0F562" w14:textId="5C6B9943" w:rsidR="00C21460" w:rsidRPr="00C21460" w:rsidRDefault="00C21460">
      <w:pPr>
        <w:pStyle w:val="31"/>
        <w:rPr>
          <w:rFonts w:eastAsiaTheme="minorEastAsia"/>
          <w:lang w:eastAsia="ru-RU"/>
        </w:rPr>
      </w:pPr>
      <w:hyperlink w:anchor="_Toc126059700" w:history="1">
        <w:r w:rsidRPr="00C21460">
          <w:rPr>
            <w:rStyle w:val="aa"/>
          </w:rPr>
          <w:t>2.2.1. Название лекарственной формы</w:t>
        </w:r>
        <w:r w:rsidRPr="00C21460">
          <w:rPr>
            <w:webHidden/>
          </w:rPr>
          <w:tab/>
        </w:r>
        <w:r w:rsidRPr="00C21460">
          <w:rPr>
            <w:webHidden/>
          </w:rPr>
          <w:fldChar w:fldCharType="begin"/>
        </w:r>
        <w:r w:rsidRPr="00C21460">
          <w:rPr>
            <w:webHidden/>
          </w:rPr>
          <w:instrText xml:space="preserve"> PAGEREF _Toc126059700 \h </w:instrText>
        </w:r>
        <w:r w:rsidRPr="00C21460">
          <w:rPr>
            <w:webHidden/>
          </w:rPr>
        </w:r>
        <w:r w:rsidRPr="00C21460">
          <w:rPr>
            <w:webHidden/>
          </w:rPr>
          <w:fldChar w:fldCharType="separate"/>
        </w:r>
        <w:r w:rsidRPr="00C21460">
          <w:rPr>
            <w:webHidden/>
          </w:rPr>
          <w:t>23</w:t>
        </w:r>
        <w:r w:rsidRPr="00C21460">
          <w:rPr>
            <w:webHidden/>
          </w:rPr>
          <w:fldChar w:fldCharType="end"/>
        </w:r>
      </w:hyperlink>
    </w:p>
    <w:p w14:paraId="1D92BA8C" w14:textId="641BAECB" w:rsidR="00C21460" w:rsidRPr="00C21460" w:rsidRDefault="00C21460">
      <w:pPr>
        <w:pStyle w:val="31"/>
        <w:rPr>
          <w:rFonts w:eastAsiaTheme="minorEastAsia"/>
          <w:lang w:eastAsia="ru-RU"/>
        </w:rPr>
      </w:pPr>
      <w:hyperlink w:anchor="_Toc126059701" w:history="1">
        <w:r w:rsidRPr="00C21460">
          <w:rPr>
            <w:rStyle w:val="aa"/>
          </w:rPr>
          <w:t>2.2.2. Описание лекарственной формы</w:t>
        </w:r>
        <w:r w:rsidRPr="00C21460">
          <w:rPr>
            <w:webHidden/>
          </w:rPr>
          <w:tab/>
        </w:r>
        <w:r w:rsidRPr="00C21460">
          <w:rPr>
            <w:webHidden/>
          </w:rPr>
          <w:fldChar w:fldCharType="begin"/>
        </w:r>
        <w:r w:rsidRPr="00C21460">
          <w:rPr>
            <w:webHidden/>
          </w:rPr>
          <w:instrText xml:space="preserve"> PAGEREF _Toc126059701 \h </w:instrText>
        </w:r>
        <w:r w:rsidRPr="00C21460">
          <w:rPr>
            <w:webHidden/>
          </w:rPr>
        </w:r>
        <w:r w:rsidRPr="00C21460">
          <w:rPr>
            <w:webHidden/>
          </w:rPr>
          <w:fldChar w:fldCharType="separate"/>
        </w:r>
        <w:r w:rsidRPr="00C21460">
          <w:rPr>
            <w:webHidden/>
          </w:rPr>
          <w:t>23</w:t>
        </w:r>
        <w:r w:rsidRPr="00C21460">
          <w:rPr>
            <w:webHidden/>
          </w:rPr>
          <w:fldChar w:fldCharType="end"/>
        </w:r>
      </w:hyperlink>
    </w:p>
    <w:p w14:paraId="210B4FC6" w14:textId="76ED080C" w:rsidR="00C21460" w:rsidRPr="00C21460" w:rsidRDefault="00C21460">
      <w:pPr>
        <w:pStyle w:val="31"/>
        <w:rPr>
          <w:rFonts w:eastAsiaTheme="minorEastAsia"/>
          <w:lang w:eastAsia="ru-RU"/>
        </w:rPr>
      </w:pPr>
      <w:hyperlink w:anchor="_Toc126059702" w:history="1">
        <w:r w:rsidRPr="00C21460">
          <w:rPr>
            <w:rStyle w:val="aa"/>
          </w:rPr>
          <w:t>2.2.3. Состав лекарственной формы</w:t>
        </w:r>
        <w:r w:rsidRPr="00C21460">
          <w:rPr>
            <w:webHidden/>
          </w:rPr>
          <w:tab/>
        </w:r>
        <w:r w:rsidRPr="00C21460">
          <w:rPr>
            <w:webHidden/>
          </w:rPr>
          <w:fldChar w:fldCharType="begin"/>
        </w:r>
        <w:r w:rsidRPr="00C21460">
          <w:rPr>
            <w:webHidden/>
          </w:rPr>
          <w:instrText xml:space="preserve"> PAGEREF _Toc126059702 \h </w:instrText>
        </w:r>
        <w:r w:rsidRPr="00C21460">
          <w:rPr>
            <w:webHidden/>
          </w:rPr>
        </w:r>
        <w:r w:rsidRPr="00C21460">
          <w:rPr>
            <w:webHidden/>
          </w:rPr>
          <w:fldChar w:fldCharType="separate"/>
        </w:r>
        <w:r w:rsidRPr="00C21460">
          <w:rPr>
            <w:webHidden/>
          </w:rPr>
          <w:t>24</w:t>
        </w:r>
        <w:r w:rsidRPr="00C21460">
          <w:rPr>
            <w:webHidden/>
          </w:rPr>
          <w:fldChar w:fldCharType="end"/>
        </w:r>
      </w:hyperlink>
    </w:p>
    <w:p w14:paraId="4A001A46" w14:textId="6308F174" w:rsidR="00C21460" w:rsidRPr="00C21460" w:rsidRDefault="00C21460">
      <w:pPr>
        <w:pStyle w:val="31"/>
        <w:rPr>
          <w:rFonts w:eastAsiaTheme="minorEastAsia"/>
          <w:lang w:eastAsia="ru-RU"/>
        </w:rPr>
      </w:pPr>
      <w:hyperlink w:anchor="_Toc126059703" w:history="1">
        <w:r w:rsidRPr="00C21460">
          <w:rPr>
            <w:rStyle w:val="aa"/>
          </w:rPr>
          <w:t>2.2.4. Форма выпуска</w:t>
        </w:r>
        <w:r w:rsidRPr="00C21460">
          <w:rPr>
            <w:webHidden/>
          </w:rPr>
          <w:tab/>
        </w:r>
        <w:r w:rsidRPr="00C21460">
          <w:rPr>
            <w:webHidden/>
          </w:rPr>
          <w:fldChar w:fldCharType="begin"/>
        </w:r>
        <w:r w:rsidRPr="00C21460">
          <w:rPr>
            <w:webHidden/>
          </w:rPr>
          <w:instrText xml:space="preserve"> PAGEREF _Toc126059703 \h </w:instrText>
        </w:r>
        <w:r w:rsidRPr="00C21460">
          <w:rPr>
            <w:webHidden/>
          </w:rPr>
        </w:r>
        <w:r w:rsidRPr="00C21460">
          <w:rPr>
            <w:webHidden/>
          </w:rPr>
          <w:fldChar w:fldCharType="separate"/>
        </w:r>
        <w:r w:rsidRPr="00C21460">
          <w:rPr>
            <w:webHidden/>
          </w:rPr>
          <w:t>34</w:t>
        </w:r>
        <w:r w:rsidRPr="00C21460">
          <w:rPr>
            <w:webHidden/>
          </w:rPr>
          <w:fldChar w:fldCharType="end"/>
        </w:r>
      </w:hyperlink>
    </w:p>
    <w:p w14:paraId="00FCC3E1" w14:textId="46358EB7" w:rsidR="00C21460" w:rsidRPr="00C21460" w:rsidRDefault="00C21460">
      <w:pPr>
        <w:pStyle w:val="21"/>
        <w:rPr>
          <w:rFonts w:eastAsiaTheme="minorEastAsia"/>
          <w:noProof/>
          <w:lang w:eastAsia="ru-RU"/>
        </w:rPr>
      </w:pPr>
      <w:hyperlink w:anchor="_Toc126059704" w:history="1">
        <w:r w:rsidRPr="00C21460">
          <w:rPr>
            <w:rStyle w:val="aa"/>
            <w:noProof/>
          </w:rPr>
          <w:t>2.3. Правила хранения и обращения</w:t>
        </w:r>
        <w:r w:rsidRPr="00C21460">
          <w:rPr>
            <w:noProof/>
            <w:webHidden/>
          </w:rPr>
          <w:tab/>
        </w:r>
        <w:r w:rsidRPr="00C21460">
          <w:rPr>
            <w:noProof/>
            <w:webHidden/>
          </w:rPr>
          <w:fldChar w:fldCharType="begin"/>
        </w:r>
        <w:r w:rsidRPr="00C21460">
          <w:rPr>
            <w:noProof/>
            <w:webHidden/>
          </w:rPr>
          <w:instrText xml:space="preserve"> PAGEREF _Toc126059704 \h </w:instrText>
        </w:r>
        <w:r w:rsidRPr="00C21460">
          <w:rPr>
            <w:noProof/>
            <w:webHidden/>
          </w:rPr>
        </w:r>
        <w:r w:rsidRPr="00C21460">
          <w:rPr>
            <w:noProof/>
            <w:webHidden/>
          </w:rPr>
          <w:fldChar w:fldCharType="separate"/>
        </w:r>
        <w:r w:rsidRPr="00C21460">
          <w:rPr>
            <w:noProof/>
            <w:webHidden/>
          </w:rPr>
          <w:t>34</w:t>
        </w:r>
        <w:r w:rsidRPr="00C21460">
          <w:rPr>
            <w:noProof/>
            <w:webHidden/>
          </w:rPr>
          <w:fldChar w:fldCharType="end"/>
        </w:r>
      </w:hyperlink>
    </w:p>
    <w:p w14:paraId="7BF3370C" w14:textId="2B55716F" w:rsidR="00C21460" w:rsidRPr="00C21460" w:rsidRDefault="00C21460">
      <w:pPr>
        <w:pStyle w:val="31"/>
        <w:rPr>
          <w:rFonts w:eastAsiaTheme="minorEastAsia"/>
          <w:lang w:eastAsia="ru-RU"/>
        </w:rPr>
      </w:pPr>
      <w:hyperlink w:anchor="_Toc126059705" w:history="1">
        <w:r w:rsidRPr="00C21460">
          <w:rPr>
            <w:rStyle w:val="aa"/>
          </w:rPr>
          <w:t>2.3.1. Условия хранения и транспортировки</w:t>
        </w:r>
        <w:r w:rsidRPr="00C21460">
          <w:rPr>
            <w:webHidden/>
          </w:rPr>
          <w:tab/>
        </w:r>
        <w:r w:rsidRPr="00C21460">
          <w:rPr>
            <w:webHidden/>
          </w:rPr>
          <w:fldChar w:fldCharType="begin"/>
        </w:r>
        <w:r w:rsidRPr="00C21460">
          <w:rPr>
            <w:webHidden/>
          </w:rPr>
          <w:instrText xml:space="preserve"> PAGEREF _Toc126059705 \h </w:instrText>
        </w:r>
        <w:r w:rsidRPr="00C21460">
          <w:rPr>
            <w:webHidden/>
          </w:rPr>
        </w:r>
        <w:r w:rsidRPr="00C21460">
          <w:rPr>
            <w:webHidden/>
          </w:rPr>
          <w:fldChar w:fldCharType="separate"/>
        </w:r>
        <w:r w:rsidRPr="00C21460">
          <w:rPr>
            <w:webHidden/>
          </w:rPr>
          <w:t>34</w:t>
        </w:r>
        <w:r w:rsidRPr="00C21460">
          <w:rPr>
            <w:webHidden/>
          </w:rPr>
          <w:fldChar w:fldCharType="end"/>
        </w:r>
      </w:hyperlink>
    </w:p>
    <w:p w14:paraId="3C93BCEC" w14:textId="2BB82AC4" w:rsidR="00C21460" w:rsidRPr="00C21460" w:rsidRDefault="00C21460">
      <w:pPr>
        <w:pStyle w:val="31"/>
        <w:rPr>
          <w:rFonts w:eastAsiaTheme="minorEastAsia"/>
          <w:lang w:eastAsia="ru-RU"/>
        </w:rPr>
      </w:pPr>
      <w:hyperlink w:anchor="_Toc126059706" w:history="1">
        <w:r w:rsidRPr="00C21460">
          <w:rPr>
            <w:rStyle w:val="aa"/>
          </w:rPr>
          <w:t>2.3.2. Срок годности</w:t>
        </w:r>
        <w:r w:rsidRPr="00C21460">
          <w:rPr>
            <w:webHidden/>
          </w:rPr>
          <w:tab/>
        </w:r>
        <w:r w:rsidRPr="00C21460">
          <w:rPr>
            <w:webHidden/>
          </w:rPr>
          <w:fldChar w:fldCharType="begin"/>
        </w:r>
        <w:r w:rsidRPr="00C21460">
          <w:rPr>
            <w:webHidden/>
          </w:rPr>
          <w:instrText xml:space="preserve"> PAGEREF _Toc126059706 \h </w:instrText>
        </w:r>
        <w:r w:rsidRPr="00C21460">
          <w:rPr>
            <w:webHidden/>
          </w:rPr>
        </w:r>
        <w:r w:rsidRPr="00C21460">
          <w:rPr>
            <w:webHidden/>
          </w:rPr>
          <w:fldChar w:fldCharType="separate"/>
        </w:r>
        <w:r w:rsidRPr="00C21460">
          <w:rPr>
            <w:webHidden/>
          </w:rPr>
          <w:t>34</w:t>
        </w:r>
        <w:r w:rsidRPr="00C21460">
          <w:rPr>
            <w:webHidden/>
          </w:rPr>
          <w:fldChar w:fldCharType="end"/>
        </w:r>
      </w:hyperlink>
    </w:p>
    <w:p w14:paraId="0AC38EF7" w14:textId="3EB4D176" w:rsidR="00C21460" w:rsidRPr="00C21460" w:rsidRDefault="00C21460">
      <w:pPr>
        <w:pStyle w:val="31"/>
        <w:rPr>
          <w:rFonts w:eastAsiaTheme="minorEastAsia"/>
          <w:lang w:eastAsia="ru-RU"/>
        </w:rPr>
      </w:pPr>
      <w:hyperlink w:anchor="_Toc126059707" w:history="1">
        <w:r w:rsidRPr="00C21460">
          <w:rPr>
            <w:rStyle w:val="aa"/>
          </w:rPr>
          <w:t>2.3.3. Правила по обращению с препаратом</w:t>
        </w:r>
        <w:r w:rsidRPr="00C21460">
          <w:rPr>
            <w:webHidden/>
          </w:rPr>
          <w:tab/>
        </w:r>
        <w:r w:rsidRPr="00C21460">
          <w:rPr>
            <w:webHidden/>
          </w:rPr>
          <w:fldChar w:fldCharType="begin"/>
        </w:r>
        <w:r w:rsidRPr="00C21460">
          <w:rPr>
            <w:webHidden/>
          </w:rPr>
          <w:instrText xml:space="preserve"> PAGEREF _Toc126059707 \h </w:instrText>
        </w:r>
        <w:r w:rsidRPr="00C21460">
          <w:rPr>
            <w:webHidden/>
          </w:rPr>
        </w:r>
        <w:r w:rsidRPr="00C21460">
          <w:rPr>
            <w:webHidden/>
          </w:rPr>
          <w:fldChar w:fldCharType="separate"/>
        </w:r>
        <w:r w:rsidRPr="00C21460">
          <w:rPr>
            <w:webHidden/>
          </w:rPr>
          <w:t>34</w:t>
        </w:r>
        <w:r w:rsidRPr="00C21460">
          <w:rPr>
            <w:webHidden/>
          </w:rPr>
          <w:fldChar w:fldCharType="end"/>
        </w:r>
      </w:hyperlink>
    </w:p>
    <w:p w14:paraId="0B505C6C" w14:textId="65477807" w:rsidR="00C21460" w:rsidRPr="00C21460" w:rsidRDefault="00C21460">
      <w:pPr>
        <w:pStyle w:val="14"/>
        <w:rPr>
          <w:rFonts w:eastAsiaTheme="minorEastAsia"/>
          <w:noProof/>
          <w:lang w:eastAsia="ru-RU"/>
        </w:rPr>
      </w:pPr>
      <w:hyperlink w:anchor="_Toc126059708" w:history="1">
        <w:r w:rsidRPr="00C21460">
          <w:rPr>
            <w:rStyle w:val="aa"/>
            <w:noProof/>
          </w:rPr>
          <w:t>3. РЕЗУЛЬТАТЫ ДОКЛИНИЧЕСКИХ ИССЛЕДОВАНИЙ</w:t>
        </w:r>
        <w:r w:rsidRPr="00C21460">
          <w:rPr>
            <w:noProof/>
            <w:webHidden/>
          </w:rPr>
          <w:tab/>
        </w:r>
        <w:r w:rsidRPr="00C21460">
          <w:rPr>
            <w:noProof/>
            <w:webHidden/>
          </w:rPr>
          <w:fldChar w:fldCharType="begin"/>
        </w:r>
        <w:r w:rsidRPr="00C21460">
          <w:rPr>
            <w:noProof/>
            <w:webHidden/>
          </w:rPr>
          <w:instrText xml:space="preserve"> PAGEREF _Toc126059708 \h </w:instrText>
        </w:r>
        <w:r w:rsidRPr="00C21460">
          <w:rPr>
            <w:noProof/>
            <w:webHidden/>
          </w:rPr>
        </w:r>
        <w:r w:rsidRPr="00C21460">
          <w:rPr>
            <w:noProof/>
            <w:webHidden/>
          </w:rPr>
          <w:fldChar w:fldCharType="separate"/>
        </w:r>
        <w:r w:rsidRPr="00C21460">
          <w:rPr>
            <w:noProof/>
            <w:webHidden/>
          </w:rPr>
          <w:t>34</w:t>
        </w:r>
        <w:r w:rsidRPr="00C21460">
          <w:rPr>
            <w:noProof/>
            <w:webHidden/>
          </w:rPr>
          <w:fldChar w:fldCharType="end"/>
        </w:r>
      </w:hyperlink>
    </w:p>
    <w:p w14:paraId="24F641AD" w14:textId="184A2FE3" w:rsidR="00C21460" w:rsidRPr="00C21460" w:rsidRDefault="00C21460">
      <w:pPr>
        <w:pStyle w:val="21"/>
        <w:rPr>
          <w:rFonts w:eastAsiaTheme="minorEastAsia"/>
          <w:noProof/>
          <w:lang w:eastAsia="ru-RU"/>
        </w:rPr>
      </w:pPr>
      <w:hyperlink w:anchor="_Toc126059709" w:history="1">
        <w:r w:rsidRPr="00C21460">
          <w:rPr>
            <w:rStyle w:val="aa"/>
            <w:noProof/>
          </w:rPr>
          <w:t>Введение и резюме</w:t>
        </w:r>
        <w:r w:rsidRPr="00C21460">
          <w:rPr>
            <w:noProof/>
            <w:webHidden/>
          </w:rPr>
          <w:tab/>
        </w:r>
        <w:r w:rsidRPr="00C21460">
          <w:rPr>
            <w:noProof/>
            <w:webHidden/>
          </w:rPr>
          <w:fldChar w:fldCharType="begin"/>
        </w:r>
        <w:r w:rsidRPr="00C21460">
          <w:rPr>
            <w:noProof/>
            <w:webHidden/>
          </w:rPr>
          <w:instrText xml:space="preserve"> PAGEREF _Toc126059709 \h </w:instrText>
        </w:r>
        <w:r w:rsidRPr="00C21460">
          <w:rPr>
            <w:noProof/>
            <w:webHidden/>
          </w:rPr>
        </w:r>
        <w:r w:rsidRPr="00C21460">
          <w:rPr>
            <w:noProof/>
            <w:webHidden/>
          </w:rPr>
          <w:fldChar w:fldCharType="separate"/>
        </w:r>
        <w:r w:rsidRPr="00C21460">
          <w:rPr>
            <w:noProof/>
            <w:webHidden/>
          </w:rPr>
          <w:t>34</w:t>
        </w:r>
        <w:r w:rsidRPr="00C21460">
          <w:rPr>
            <w:noProof/>
            <w:webHidden/>
          </w:rPr>
          <w:fldChar w:fldCharType="end"/>
        </w:r>
      </w:hyperlink>
    </w:p>
    <w:p w14:paraId="1642444B" w14:textId="73DAE939" w:rsidR="00C21460" w:rsidRPr="00C21460" w:rsidRDefault="00C21460">
      <w:pPr>
        <w:pStyle w:val="21"/>
        <w:rPr>
          <w:rFonts w:eastAsiaTheme="minorEastAsia"/>
          <w:noProof/>
          <w:lang w:eastAsia="ru-RU"/>
        </w:rPr>
      </w:pPr>
      <w:hyperlink w:anchor="_Toc126059710" w:history="1">
        <w:r w:rsidRPr="00C21460">
          <w:rPr>
            <w:rStyle w:val="aa"/>
            <w:noProof/>
          </w:rPr>
          <w:t>3.1 Доклиническая фармакология</w:t>
        </w:r>
        <w:r w:rsidRPr="00C21460">
          <w:rPr>
            <w:noProof/>
            <w:webHidden/>
          </w:rPr>
          <w:tab/>
        </w:r>
        <w:r w:rsidRPr="00C21460">
          <w:rPr>
            <w:noProof/>
            <w:webHidden/>
          </w:rPr>
          <w:fldChar w:fldCharType="begin"/>
        </w:r>
        <w:r w:rsidRPr="00C21460">
          <w:rPr>
            <w:noProof/>
            <w:webHidden/>
          </w:rPr>
          <w:instrText xml:space="preserve"> PAGEREF _Toc126059710 \h </w:instrText>
        </w:r>
        <w:r w:rsidRPr="00C21460">
          <w:rPr>
            <w:noProof/>
            <w:webHidden/>
          </w:rPr>
        </w:r>
        <w:r w:rsidRPr="00C21460">
          <w:rPr>
            <w:noProof/>
            <w:webHidden/>
          </w:rPr>
          <w:fldChar w:fldCharType="separate"/>
        </w:r>
        <w:r w:rsidRPr="00C21460">
          <w:rPr>
            <w:noProof/>
            <w:webHidden/>
          </w:rPr>
          <w:t>38</w:t>
        </w:r>
        <w:r w:rsidRPr="00C21460">
          <w:rPr>
            <w:noProof/>
            <w:webHidden/>
          </w:rPr>
          <w:fldChar w:fldCharType="end"/>
        </w:r>
      </w:hyperlink>
    </w:p>
    <w:p w14:paraId="0742BECD" w14:textId="7E6E28DF" w:rsidR="00C21460" w:rsidRPr="00C21460" w:rsidRDefault="00C21460">
      <w:pPr>
        <w:pStyle w:val="31"/>
        <w:rPr>
          <w:rFonts w:eastAsiaTheme="minorEastAsia"/>
          <w:lang w:eastAsia="ru-RU"/>
        </w:rPr>
      </w:pPr>
      <w:hyperlink w:anchor="_Toc126059711" w:history="1">
        <w:r w:rsidRPr="00C21460">
          <w:rPr>
            <w:rStyle w:val="aa"/>
          </w:rPr>
          <w:t>3.1.1. Механизм действия</w:t>
        </w:r>
        <w:r w:rsidRPr="00C21460">
          <w:rPr>
            <w:webHidden/>
          </w:rPr>
          <w:tab/>
        </w:r>
        <w:r w:rsidRPr="00C21460">
          <w:rPr>
            <w:webHidden/>
          </w:rPr>
          <w:fldChar w:fldCharType="begin"/>
        </w:r>
        <w:r w:rsidRPr="00C21460">
          <w:rPr>
            <w:webHidden/>
          </w:rPr>
          <w:instrText xml:space="preserve"> PAGEREF _Toc126059711 \h </w:instrText>
        </w:r>
        <w:r w:rsidRPr="00C21460">
          <w:rPr>
            <w:webHidden/>
          </w:rPr>
        </w:r>
        <w:r w:rsidRPr="00C21460">
          <w:rPr>
            <w:webHidden/>
          </w:rPr>
          <w:fldChar w:fldCharType="separate"/>
        </w:r>
        <w:r w:rsidRPr="00C21460">
          <w:rPr>
            <w:webHidden/>
          </w:rPr>
          <w:t>38</w:t>
        </w:r>
        <w:r w:rsidRPr="00C21460">
          <w:rPr>
            <w:webHidden/>
          </w:rPr>
          <w:fldChar w:fldCharType="end"/>
        </w:r>
      </w:hyperlink>
    </w:p>
    <w:p w14:paraId="269E71E0" w14:textId="78D89897" w:rsidR="00C21460" w:rsidRPr="00C21460" w:rsidRDefault="00C21460">
      <w:pPr>
        <w:pStyle w:val="41"/>
        <w:tabs>
          <w:tab w:val="right" w:leader="dot" w:pos="9346"/>
        </w:tabs>
        <w:rPr>
          <w:rFonts w:eastAsiaTheme="minorEastAsia"/>
          <w:noProof/>
          <w:lang w:eastAsia="ru-RU"/>
        </w:rPr>
      </w:pPr>
      <w:hyperlink w:anchor="_Toc126059712" w:history="1">
        <w:r w:rsidRPr="00C21460">
          <w:rPr>
            <w:rStyle w:val="aa"/>
            <w:noProof/>
          </w:rPr>
          <w:t xml:space="preserve">3.1.2.1. Первичная фармакодинамика </w:t>
        </w:r>
        <w:r w:rsidRPr="00C21460">
          <w:rPr>
            <w:rStyle w:val="aa"/>
            <w:i/>
            <w:noProof/>
          </w:rPr>
          <w:t>in vitro</w:t>
        </w:r>
        <w:r w:rsidRPr="00C21460">
          <w:rPr>
            <w:noProof/>
            <w:webHidden/>
          </w:rPr>
          <w:tab/>
        </w:r>
        <w:r w:rsidRPr="00C21460">
          <w:rPr>
            <w:noProof/>
            <w:webHidden/>
          </w:rPr>
          <w:fldChar w:fldCharType="begin"/>
        </w:r>
        <w:r w:rsidRPr="00C21460">
          <w:rPr>
            <w:noProof/>
            <w:webHidden/>
          </w:rPr>
          <w:instrText xml:space="preserve"> PAGEREF _Toc126059712 \h </w:instrText>
        </w:r>
        <w:r w:rsidRPr="00C21460">
          <w:rPr>
            <w:noProof/>
            <w:webHidden/>
          </w:rPr>
        </w:r>
        <w:r w:rsidRPr="00C21460">
          <w:rPr>
            <w:noProof/>
            <w:webHidden/>
          </w:rPr>
          <w:fldChar w:fldCharType="separate"/>
        </w:r>
        <w:r w:rsidRPr="00C21460">
          <w:rPr>
            <w:noProof/>
            <w:webHidden/>
          </w:rPr>
          <w:t>39</w:t>
        </w:r>
        <w:r w:rsidRPr="00C21460">
          <w:rPr>
            <w:noProof/>
            <w:webHidden/>
          </w:rPr>
          <w:fldChar w:fldCharType="end"/>
        </w:r>
      </w:hyperlink>
    </w:p>
    <w:p w14:paraId="27836915" w14:textId="729811BE" w:rsidR="00C21460" w:rsidRPr="00C21460" w:rsidRDefault="00C21460">
      <w:pPr>
        <w:pStyle w:val="41"/>
        <w:tabs>
          <w:tab w:val="right" w:leader="dot" w:pos="9346"/>
        </w:tabs>
        <w:rPr>
          <w:rFonts w:eastAsiaTheme="minorEastAsia"/>
          <w:noProof/>
          <w:lang w:eastAsia="ru-RU"/>
        </w:rPr>
      </w:pPr>
      <w:hyperlink w:anchor="_Toc126059713" w:history="1">
        <w:r w:rsidRPr="00C21460">
          <w:rPr>
            <w:rStyle w:val="aa"/>
            <w:noProof/>
          </w:rPr>
          <w:t xml:space="preserve">3.1.2.2. Первичная фармакодинамика </w:t>
        </w:r>
        <w:r w:rsidRPr="00C21460">
          <w:rPr>
            <w:rStyle w:val="aa"/>
            <w:i/>
            <w:noProof/>
          </w:rPr>
          <w:t>in vivo</w:t>
        </w:r>
        <w:r w:rsidRPr="00C21460">
          <w:rPr>
            <w:noProof/>
            <w:webHidden/>
          </w:rPr>
          <w:tab/>
        </w:r>
        <w:r w:rsidRPr="00C21460">
          <w:rPr>
            <w:noProof/>
            <w:webHidden/>
          </w:rPr>
          <w:fldChar w:fldCharType="begin"/>
        </w:r>
        <w:r w:rsidRPr="00C21460">
          <w:rPr>
            <w:noProof/>
            <w:webHidden/>
          </w:rPr>
          <w:instrText xml:space="preserve"> PAGEREF _Toc126059713 \h </w:instrText>
        </w:r>
        <w:r w:rsidRPr="00C21460">
          <w:rPr>
            <w:noProof/>
            <w:webHidden/>
          </w:rPr>
        </w:r>
        <w:r w:rsidRPr="00C21460">
          <w:rPr>
            <w:noProof/>
            <w:webHidden/>
          </w:rPr>
          <w:fldChar w:fldCharType="separate"/>
        </w:r>
        <w:r w:rsidRPr="00C21460">
          <w:rPr>
            <w:noProof/>
            <w:webHidden/>
          </w:rPr>
          <w:t>41</w:t>
        </w:r>
        <w:r w:rsidRPr="00C21460">
          <w:rPr>
            <w:noProof/>
            <w:webHidden/>
          </w:rPr>
          <w:fldChar w:fldCharType="end"/>
        </w:r>
      </w:hyperlink>
    </w:p>
    <w:p w14:paraId="776301C6" w14:textId="09051B6E" w:rsidR="00C21460" w:rsidRPr="00C21460" w:rsidRDefault="00C21460">
      <w:pPr>
        <w:pStyle w:val="31"/>
        <w:rPr>
          <w:rFonts w:eastAsiaTheme="minorEastAsia"/>
          <w:lang w:eastAsia="ru-RU"/>
        </w:rPr>
      </w:pPr>
      <w:hyperlink w:anchor="_Toc126059714" w:history="1">
        <w:r w:rsidRPr="00C21460">
          <w:rPr>
            <w:rStyle w:val="aa"/>
          </w:rPr>
          <w:t>3.1.3. Вторичная фармакодинамика</w:t>
        </w:r>
        <w:r w:rsidRPr="00C21460">
          <w:rPr>
            <w:webHidden/>
          </w:rPr>
          <w:tab/>
        </w:r>
        <w:r w:rsidRPr="00C21460">
          <w:rPr>
            <w:webHidden/>
          </w:rPr>
          <w:fldChar w:fldCharType="begin"/>
        </w:r>
        <w:r w:rsidRPr="00C21460">
          <w:rPr>
            <w:webHidden/>
          </w:rPr>
          <w:instrText xml:space="preserve"> PAGEREF _Toc126059714 \h </w:instrText>
        </w:r>
        <w:r w:rsidRPr="00C21460">
          <w:rPr>
            <w:webHidden/>
          </w:rPr>
        </w:r>
        <w:r w:rsidRPr="00C21460">
          <w:rPr>
            <w:webHidden/>
          </w:rPr>
          <w:fldChar w:fldCharType="separate"/>
        </w:r>
        <w:r w:rsidRPr="00C21460">
          <w:rPr>
            <w:webHidden/>
          </w:rPr>
          <w:t>42</w:t>
        </w:r>
        <w:r w:rsidRPr="00C21460">
          <w:rPr>
            <w:webHidden/>
          </w:rPr>
          <w:fldChar w:fldCharType="end"/>
        </w:r>
      </w:hyperlink>
    </w:p>
    <w:p w14:paraId="2C47FD25" w14:textId="12FCD395" w:rsidR="00C21460" w:rsidRPr="00C21460" w:rsidRDefault="00C21460">
      <w:pPr>
        <w:pStyle w:val="31"/>
        <w:rPr>
          <w:rFonts w:eastAsiaTheme="minorEastAsia"/>
          <w:lang w:eastAsia="ru-RU"/>
        </w:rPr>
      </w:pPr>
      <w:hyperlink w:anchor="_Toc126059715" w:history="1">
        <w:r w:rsidRPr="00C21460">
          <w:rPr>
            <w:rStyle w:val="aa"/>
          </w:rPr>
          <w:t>3.1.4. Фармакологическая безопасность</w:t>
        </w:r>
        <w:r w:rsidRPr="00C21460">
          <w:rPr>
            <w:webHidden/>
          </w:rPr>
          <w:tab/>
        </w:r>
        <w:r w:rsidRPr="00C21460">
          <w:rPr>
            <w:webHidden/>
          </w:rPr>
          <w:fldChar w:fldCharType="begin"/>
        </w:r>
        <w:r w:rsidRPr="00C21460">
          <w:rPr>
            <w:webHidden/>
          </w:rPr>
          <w:instrText xml:space="preserve"> PAGEREF _Toc126059715 \h </w:instrText>
        </w:r>
        <w:r w:rsidRPr="00C21460">
          <w:rPr>
            <w:webHidden/>
          </w:rPr>
        </w:r>
        <w:r w:rsidRPr="00C21460">
          <w:rPr>
            <w:webHidden/>
          </w:rPr>
          <w:fldChar w:fldCharType="separate"/>
        </w:r>
        <w:r w:rsidRPr="00C21460">
          <w:rPr>
            <w:webHidden/>
          </w:rPr>
          <w:t>42</w:t>
        </w:r>
        <w:r w:rsidRPr="00C21460">
          <w:rPr>
            <w:webHidden/>
          </w:rPr>
          <w:fldChar w:fldCharType="end"/>
        </w:r>
      </w:hyperlink>
    </w:p>
    <w:p w14:paraId="60C743CA" w14:textId="261F1912" w:rsidR="00C21460" w:rsidRPr="00C21460" w:rsidRDefault="00C21460">
      <w:pPr>
        <w:pStyle w:val="31"/>
        <w:rPr>
          <w:rFonts w:eastAsiaTheme="minorEastAsia"/>
          <w:lang w:eastAsia="ru-RU"/>
        </w:rPr>
      </w:pPr>
      <w:hyperlink w:anchor="_Toc126059716" w:history="1">
        <w:r w:rsidRPr="00C21460">
          <w:rPr>
            <w:rStyle w:val="aa"/>
          </w:rPr>
          <w:t>3.1.5. Фармакодинамические лекарственные взаимодействия</w:t>
        </w:r>
        <w:r w:rsidRPr="00C21460">
          <w:rPr>
            <w:webHidden/>
          </w:rPr>
          <w:tab/>
        </w:r>
        <w:r w:rsidRPr="00C21460">
          <w:rPr>
            <w:webHidden/>
          </w:rPr>
          <w:fldChar w:fldCharType="begin"/>
        </w:r>
        <w:r w:rsidRPr="00C21460">
          <w:rPr>
            <w:webHidden/>
          </w:rPr>
          <w:instrText xml:space="preserve"> PAGEREF _Toc126059716 \h </w:instrText>
        </w:r>
        <w:r w:rsidRPr="00C21460">
          <w:rPr>
            <w:webHidden/>
          </w:rPr>
        </w:r>
        <w:r w:rsidRPr="00C21460">
          <w:rPr>
            <w:webHidden/>
          </w:rPr>
          <w:fldChar w:fldCharType="separate"/>
        </w:r>
        <w:r w:rsidRPr="00C21460">
          <w:rPr>
            <w:webHidden/>
          </w:rPr>
          <w:t>45</w:t>
        </w:r>
        <w:r w:rsidRPr="00C21460">
          <w:rPr>
            <w:webHidden/>
          </w:rPr>
          <w:fldChar w:fldCharType="end"/>
        </w:r>
      </w:hyperlink>
    </w:p>
    <w:p w14:paraId="578083EF" w14:textId="1768FC7A" w:rsidR="00C21460" w:rsidRPr="00C21460" w:rsidRDefault="00C21460">
      <w:pPr>
        <w:pStyle w:val="21"/>
        <w:rPr>
          <w:rFonts w:eastAsiaTheme="minorEastAsia"/>
          <w:noProof/>
          <w:lang w:eastAsia="ru-RU"/>
        </w:rPr>
      </w:pPr>
      <w:hyperlink w:anchor="_Toc126059717" w:history="1">
        <w:r w:rsidRPr="00C21460">
          <w:rPr>
            <w:rStyle w:val="aa"/>
            <w:noProof/>
          </w:rPr>
          <w:t>3.2. Доклиническая фармакокинетика</w:t>
        </w:r>
        <w:r w:rsidRPr="00C21460">
          <w:rPr>
            <w:noProof/>
            <w:webHidden/>
          </w:rPr>
          <w:tab/>
        </w:r>
        <w:r w:rsidRPr="00C21460">
          <w:rPr>
            <w:noProof/>
            <w:webHidden/>
          </w:rPr>
          <w:fldChar w:fldCharType="begin"/>
        </w:r>
        <w:r w:rsidRPr="00C21460">
          <w:rPr>
            <w:noProof/>
            <w:webHidden/>
          </w:rPr>
          <w:instrText xml:space="preserve"> PAGEREF _Toc126059717 \h </w:instrText>
        </w:r>
        <w:r w:rsidRPr="00C21460">
          <w:rPr>
            <w:noProof/>
            <w:webHidden/>
          </w:rPr>
        </w:r>
        <w:r w:rsidRPr="00C21460">
          <w:rPr>
            <w:noProof/>
            <w:webHidden/>
          </w:rPr>
          <w:fldChar w:fldCharType="separate"/>
        </w:r>
        <w:r w:rsidRPr="00C21460">
          <w:rPr>
            <w:noProof/>
            <w:webHidden/>
          </w:rPr>
          <w:t>46</w:t>
        </w:r>
        <w:r w:rsidRPr="00C21460">
          <w:rPr>
            <w:noProof/>
            <w:webHidden/>
          </w:rPr>
          <w:fldChar w:fldCharType="end"/>
        </w:r>
      </w:hyperlink>
    </w:p>
    <w:p w14:paraId="785242B6" w14:textId="0ECBDB89" w:rsidR="00C21460" w:rsidRPr="00C21460" w:rsidRDefault="00C21460">
      <w:pPr>
        <w:pStyle w:val="31"/>
        <w:rPr>
          <w:rFonts w:eastAsiaTheme="minorEastAsia"/>
          <w:lang w:eastAsia="ru-RU"/>
        </w:rPr>
      </w:pPr>
      <w:hyperlink w:anchor="_Toc126059718" w:history="1">
        <w:r w:rsidRPr="00C21460">
          <w:rPr>
            <w:rStyle w:val="aa"/>
          </w:rPr>
          <w:t xml:space="preserve">3.2.1. </w:t>
        </w:r>
        <w:r w:rsidRPr="00C21460">
          <w:rPr>
            <w:rStyle w:val="aa"/>
            <w:bCs/>
            <w:iCs/>
          </w:rPr>
          <w:t>Всасывание</w:t>
        </w:r>
        <w:r w:rsidRPr="00C21460">
          <w:rPr>
            <w:webHidden/>
          </w:rPr>
          <w:tab/>
        </w:r>
        <w:r w:rsidRPr="00C21460">
          <w:rPr>
            <w:webHidden/>
          </w:rPr>
          <w:fldChar w:fldCharType="begin"/>
        </w:r>
        <w:r w:rsidRPr="00C21460">
          <w:rPr>
            <w:webHidden/>
          </w:rPr>
          <w:instrText xml:space="preserve"> PAGEREF _Toc126059718 \h </w:instrText>
        </w:r>
        <w:r w:rsidRPr="00C21460">
          <w:rPr>
            <w:webHidden/>
          </w:rPr>
        </w:r>
        <w:r w:rsidRPr="00C21460">
          <w:rPr>
            <w:webHidden/>
          </w:rPr>
          <w:fldChar w:fldCharType="separate"/>
        </w:r>
        <w:r w:rsidRPr="00C21460">
          <w:rPr>
            <w:webHidden/>
          </w:rPr>
          <w:t>46</w:t>
        </w:r>
        <w:r w:rsidRPr="00C21460">
          <w:rPr>
            <w:webHidden/>
          </w:rPr>
          <w:fldChar w:fldCharType="end"/>
        </w:r>
      </w:hyperlink>
    </w:p>
    <w:p w14:paraId="06D6269F" w14:textId="063EE14F" w:rsidR="00C21460" w:rsidRPr="00C21460" w:rsidRDefault="00C21460">
      <w:pPr>
        <w:pStyle w:val="31"/>
        <w:rPr>
          <w:rFonts w:eastAsiaTheme="minorEastAsia"/>
          <w:lang w:eastAsia="ru-RU"/>
        </w:rPr>
      </w:pPr>
      <w:hyperlink w:anchor="_Toc126059719" w:history="1">
        <w:r w:rsidRPr="00C21460">
          <w:rPr>
            <w:rStyle w:val="aa"/>
          </w:rPr>
          <w:t xml:space="preserve">3.2.2. </w:t>
        </w:r>
        <w:r w:rsidRPr="00C21460">
          <w:rPr>
            <w:rStyle w:val="aa"/>
            <w:bCs/>
          </w:rPr>
          <w:t>Распределение</w:t>
        </w:r>
        <w:r w:rsidRPr="00C21460">
          <w:rPr>
            <w:webHidden/>
          </w:rPr>
          <w:tab/>
        </w:r>
        <w:r w:rsidRPr="00C21460">
          <w:rPr>
            <w:webHidden/>
          </w:rPr>
          <w:fldChar w:fldCharType="begin"/>
        </w:r>
        <w:r w:rsidRPr="00C21460">
          <w:rPr>
            <w:webHidden/>
          </w:rPr>
          <w:instrText xml:space="preserve"> PAGEREF _Toc126059719 \h </w:instrText>
        </w:r>
        <w:r w:rsidRPr="00C21460">
          <w:rPr>
            <w:webHidden/>
          </w:rPr>
        </w:r>
        <w:r w:rsidRPr="00C21460">
          <w:rPr>
            <w:webHidden/>
          </w:rPr>
          <w:fldChar w:fldCharType="separate"/>
        </w:r>
        <w:r w:rsidRPr="00C21460">
          <w:rPr>
            <w:webHidden/>
          </w:rPr>
          <w:t>46</w:t>
        </w:r>
        <w:r w:rsidRPr="00C21460">
          <w:rPr>
            <w:webHidden/>
          </w:rPr>
          <w:fldChar w:fldCharType="end"/>
        </w:r>
      </w:hyperlink>
    </w:p>
    <w:p w14:paraId="609467D1" w14:textId="704E475D" w:rsidR="00C21460" w:rsidRPr="00C21460" w:rsidRDefault="00C21460">
      <w:pPr>
        <w:pStyle w:val="31"/>
        <w:rPr>
          <w:rFonts w:eastAsiaTheme="minorEastAsia"/>
          <w:lang w:eastAsia="ru-RU"/>
        </w:rPr>
      </w:pPr>
      <w:hyperlink w:anchor="_Toc126059720" w:history="1">
        <w:r w:rsidRPr="00C21460">
          <w:rPr>
            <w:rStyle w:val="aa"/>
          </w:rPr>
          <w:t xml:space="preserve">3.2.3. </w:t>
        </w:r>
        <w:r w:rsidRPr="00C21460">
          <w:rPr>
            <w:rStyle w:val="aa"/>
            <w:bCs/>
          </w:rPr>
          <w:t>Связывание с белками плазмы</w:t>
        </w:r>
        <w:r w:rsidRPr="00C21460">
          <w:rPr>
            <w:webHidden/>
          </w:rPr>
          <w:tab/>
        </w:r>
        <w:r w:rsidRPr="00C21460">
          <w:rPr>
            <w:webHidden/>
          </w:rPr>
          <w:fldChar w:fldCharType="begin"/>
        </w:r>
        <w:r w:rsidRPr="00C21460">
          <w:rPr>
            <w:webHidden/>
          </w:rPr>
          <w:instrText xml:space="preserve"> PAGEREF _Toc126059720 \h </w:instrText>
        </w:r>
        <w:r w:rsidRPr="00C21460">
          <w:rPr>
            <w:webHidden/>
          </w:rPr>
        </w:r>
        <w:r w:rsidRPr="00C21460">
          <w:rPr>
            <w:webHidden/>
          </w:rPr>
          <w:fldChar w:fldCharType="separate"/>
        </w:r>
        <w:r w:rsidRPr="00C21460">
          <w:rPr>
            <w:webHidden/>
          </w:rPr>
          <w:t>47</w:t>
        </w:r>
        <w:r w:rsidRPr="00C21460">
          <w:rPr>
            <w:webHidden/>
          </w:rPr>
          <w:fldChar w:fldCharType="end"/>
        </w:r>
      </w:hyperlink>
    </w:p>
    <w:p w14:paraId="385FB6C3" w14:textId="2DD4DB11" w:rsidR="00C21460" w:rsidRPr="00C21460" w:rsidRDefault="00C21460">
      <w:pPr>
        <w:pStyle w:val="31"/>
        <w:rPr>
          <w:rFonts w:eastAsiaTheme="minorEastAsia"/>
          <w:lang w:eastAsia="ru-RU"/>
        </w:rPr>
      </w:pPr>
      <w:hyperlink w:anchor="_Toc126059721" w:history="1">
        <w:r w:rsidRPr="00C21460">
          <w:rPr>
            <w:rStyle w:val="aa"/>
          </w:rPr>
          <w:t xml:space="preserve">3.2.4. </w:t>
        </w:r>
        <w:r w:rsidRPr="00C21460">
          <w:rPr>
            <w:rStyle w:val="aa"/>
            <w:bCs/>
          </w:rPr>
          <w:t>Метаболизм</w:t>
        </w:r>
        <w:r w:rsidRPr="00C21460">
          <w:rPr>
            <w:webHidden/>
          </w:rPr>
          <w:tab/>
        </w:r>
        <w:r w:rsidRPr="00C21460">
          <w:rPr>
            <w:webHidden/>
          </w:rPr>
          <w:fldChar w:fldCharType="begin"/>
        </w:r>
        <w:r w:rsidRPr="00C21460">
          <w:rPr>
            <w:webHidden/>
          </w:rPr>
          <w:instrText xml:space="preserve"> PAGEREF _Toc126059721 \h </w:instrText>
        </w:r>
        <w:r w:rsidRPr="00C21460">
          <w:rPr>
            <w:webHidden/>
          </w:rPr>
        </w:r>
        <w:r w:rsidRPr="00C21460">
          <w:rPr>
            <w:webHidden/>
          </w:rPr>
          <w:fldChar w:fldCharType="separate"/>
        </w:r>
        <w:r w:rsidRPr="00C21460">
          <w:rPr>
            <w:webHidden/>
          </w:rPr>
          <w:t>47</w:t>
        </w:r>
        <w:r w:rsidRPr="00C21460">
          <w:rPr>
            <w:webHidden/>
          </w:rPr>
          <w:fldChar w:fldCharType="end"/>
        </w:r>
      </w:hyperlink>
    </w:p>
    <w:p w14:paraId="4AF317A7" w14:textId="637D54AD" w:rsidR="00C21460" w:rsidRPr="00C21460" w:rsidRDefault="00C21460">
      <w:pPr>
        <w:pStyle w:val="31"/>
        <w:rPr>
          <w:rFonts w:eastAsiaTheme="minorEastAsia"/>
          <w:lang w:eastAsia="ru-RU"/>
        </w:rPr>
      </w:pPr>
      <w:hyperlink w:anchor="_Toc126059722" w:history="1">
        <w:r w:rsidRPr="00C21460">
          <w:rPr>
            <w:rStyle w:val="aa"/>
          </w:rPr>
          <w:t xml:space="preserve">3.2.5. </w:t>
        </w:r>
        <w:r w:rsidRPr="00C21460">
          <w:rPr>
            <w:rStyle w:val="aa"/>
            <w:bCs/>
          </w:rPr>
          <w:t>Выведение</w:t>
        </w:r>
        <w:r w:rsidRPr="00C21460">
          <w:rPr>
            <w:webHidden/>
          </w:rPr>
          <w:tab/>
        </w:r>
        <w:r w:rsidRPr="00C21460">
          <w:rPr>
            <w:webHidden/>
          </w:rPr>
          <w:fldChar w:fldCharType="begin"/>
        </w:r>
        <w:r w:rsidRPr="00C21460">
          <w:rPr>
            <w:webHidden/>
          </w:rPr>
          <w:instrText xml:space="preserve"> PAGEREF _Toc126059722 \h </w:instrText>
        </w:r>
        <w:r w:rsidRPr="00C21460">
          <w:rPr>
            <w:webHidden/>
          </w:rPr>
        </w:r>
        <w:r w:rsidRPr="00C21460">
          <w:rPr>
            <w:webHidden/>
          </w:rPr>
          <w:fldChar w:fldCharType="separate"/>
        </w:r>
        <w:r w:rsidRPr="00C21460">
          <w:rPr>
            <w:webHidden/>
          </w:rPr>
          <w:t>48</w:t>
        </w:r>
        <w:r w:rsidRPr="00C21460">
          <w:rPr>
            <w:webHidden/>
          </w:rPr>
          <w:fldChar w:fldCharType="end"/>
        </w:r>
      </w:hyperlink>
    </w:p>
    <w:p w14:paraId="6ADF4013" w14:textId="5EA8F4BB" w:rsidR="00C21460" w:rsidRPr="00C21460" w:rsidRDefault="00C21460">
      <w:pPr>
        <w:pStyle w:val="31"/>
        <w:rPr>
          <w:rFonts w:eastAsiaTheme="minorEastAsia"/>
          <w:lang w:eastAsia="ru-RU"/>
        </w:rPr>
      </w:pPr>
      <w:hyperlink w:anchor="_Toc126059723" w:history="1">
        <w:r w:rsidRPr="00C21460">
          <w:rPr>
            <w:rStyle w:val="aa"/>
          </w:rPr>
          <w:t xml:space="preserve">3.2.6. </w:t>
        </w:r>
        <w:r w:rsidRPr="00C21460">
          <w:rPr>
            <w:rStyle w:val="aa"/>
            <w:bCs/>
          </w:rPr>
          <w:t>Фармакокинетические лекарственные взаимодействия</w:t>
        </w:r>
        <w:r w:rsidRPr="00C21460">
          <w:rPr>
            <w:webHidden/>
          </w:rPr>
          <w:tab/>
        </w:r>
        <w:r w:rsidRPr="00C21460">
          <w:rPr>
            <w:webHidden/>
          </w:rPr>
          <w:fldChar w:fldCharType="begin"/>
        </w:r>
        <w:r w:rsidRPr="00C21460">
          <w:rPr>
            <w:webHidden/>
          </w:rPr>
          <w:instrText xml:space="preserve"> PAGEREF _Toc126059723 \h </w:instrText>
        </w:r>
        <w:r w:rsidRPr="00C21460">
          <w:rPr>
            <w:webHidden/>
          </w:rPr>
        </w:r>
        <w:r w:rsidRPr="00C21460">
          <w:rPr>
            <w:webHidden/>
          </w:rPr>
          <w:fldChar w:fldCharType="separate"/>
        </w:r>
        <w:r w:rsidRPr="00C21460">
          <w:rPr>
            <w:webHidden/>
          </w:rPr>
          <w:t>48</w:t>
        </w:r>
        <w:r w:rsidRPr="00C21460">
          <w:rPr>
            <w:webHidden/>
          </w:rPr>
          <w:fldChar w:fldCharType="end"/>
        </w:r>
      </w:hyperlink>
    </w:p>
    <w:p w14:paraId="11AA1403" w14:textId="1FA233DD" w:rsidR="00C21460" w:rsidRPr="00C21460" w:rsidRDefault="00C21460">
      <w:pPr>
        <w:pStyle w:val="21"/>
        <w:rPr>
          <w:rFonts w:eastAsiaTheme="minorEastAsia"/>
          <w:noProof/>
          <w:lang w:eastAsia="ru-RU"/>
        </w:rPr>
      </w:pPr>
      <w:hyperlink w:anchor="_Toc126059724" w:history="1">
        <w:r w:rsidRPr="00C21460">
          <w:rPr>
            <w:rStyle w:val="aa"/>
            <w:noProof/>
          </w:rPr>
          <w:t>3.3. Токсикологические исследования</w:t>
        </w:r>
        <w:r w:rsidRPr="00C21460">
          <w:rPr>
            <w:noProof/>
            <w:webHidden/>
          </w:rPr>
          <w:tab/>
        </w:r>
        <w:r w:rsidRPr="00C21460">
          <w:rPr>
            <w:noProof/>
            <w:webHidden/>
          </w:rPr>
          <w:fldChar w:fldCharType="begin"/>
        </w:r>
        <w:r w:rsidRPr="00C21460">
          <w:rPr>
            <w:noProof/>
            <w:webHidden/>
          </w:rPr>
          <w:instrText xml:space="preserve"> PAGEREF _Toc126059724 \h </w:instrText>
        </w:r>
        <w:r w:rsidRPr="00C21460">
          <w:rPr>
            <w:noProof/>
            <w:webHidden/>
          </w:rPr>
        </w:r>
        <w:r w:rsidRPr="00C21460">
          <w:rPr>
            <w:noProof/>
            <w:webHidden/>
          </w:rPr>
          <w:fldChar w:fldCharType="separate"/>
        </w:r>
        <w:r w:rsidRPr="00C21460">
          <w:rPr>
            <w:noProof/>
            <w:webHidden/>
          </w:rPr>
          <w:t>48</w:t>
        </w:r>
        <w:r w:rsidRPr="00C21460">
          <w:rPr>
            <w:noProof/>
            <w:webHidden/>
          </w:rPr>
          <w:fldChar w:fldCharType="end"/>
        </w:r>
      </w:hyperlink>
    </w:p>
    <w:p w14:paraId="44CE7B59" w14:textId="181EBD5F" w:rsidR="00C21460" w:rsidRPr="00C21460" w:rsidRDefault="00C21460">
      <w:pPr>
        <w:pStyle w:val="31"/>
        <w:rPr>
          <w:rFonts w:eastAsiaTheme="minorEastAsia"/>
          <w:lang w:eastAsia="ru-RU"/>
        </w:rPr>
      </w:pPr>
      <w:hyperlink w:anchor="_Toc126059725" w:history="1">
        <w:r w:rsidRPr="00C21460">
          <w:rPr>
            <w:rStyle w:val="aa"/>
          </w:rPr>
          <w:t>3.3.1. Токсичность при однократном введении</w:t>
        </w:r>
        <w:r w:rsidRPr="00C21460">
          <w:rPr>
            <w:webHidden/>
          </w:rPr>
          <w:tab/>
        </w:r>
        <w:r w:rsidRPr="00C21460">
          <w:rPr>
            <w:webHidden/>
          </w:rPr>
          <w:fldChar w:fldCharType="begin"/>
        </w:r>
        <w:r w:rsidRPr="00C21460">
          <w:rPr>
            <w:webHidden/>
          </w:rPr>
          <w:instrText xml:space="preserve"> PAGEREF _Toc126059725 \h </w:instrText>
        </w:r>
        <w:r w:rsidRPr="00C21460">
          <w:rPr>
            <w:webHidden/>
          </w:rPr>
        </w:r>
        <w:r w:rsidRPr="00C21460">
          <w:rPr>
            <w:webHidden/>
          </w:rPr>
          <w:fldChar w:fldCharType="separate"/>
        </w:r>
        <w:r w:rsidRPr="00C21460">
          <w:rPr>
            <w:webHidden/>
          </w:rPr>
          <w:t>48</w:t>
        </w:r>
        <w:r w:rsidRPr="00C21460">
          <w:rPr>
            <w:webHidden/>
          </w:rPr>
          <w:fldChar w:fldCharType="end"/>
        </w:r>
      </w:hyperlink>
    </w:p>
    <w:p w14:paraId="405EF161" w14:textId="42ECAEF1" w:rsidR="00C21460" w:rsidRPr="00C21460" w:rsidRDefault="00C21460">
      <w:pPr>
        <w:pStyle w:val="31"/>
        <w:rPr>
          <w:rFonts w:eastAsiaTheme="minorEastAsia"/>
          <w:lang w:eastAsia="ru-RU"/>
        </w:rPr>
      </w:pPr>
      <w:hyperlink w:anchor="_Toc126059726" w:history="1">
        <w:r w:rsidRPr="00C21460">
          <w:rPr>
            <w:rStyle w:val="aa"/>
          </w:rPr>
          <w:t>3.3.2. Токсичность при многократном введении</w:t>
        </w:r>
        <w:r w:rsidRPr="00C21460">
          <w:rPr>
            <w:webHidden/>
          </w:rPr>
          <w:tab/>
        </w:r>
        <w:r w:rsidRPr="00C21460">
          <w:rPr>
            <w:webHidden/>
          </w:rPr>
          <w:fldChar w:fldCharType="begin"/>
        </w:r>
        <w:r w:rsidRPr="00C21460">
          <w:rPr>
            <w:webHidden/>
          </w:rPr>
          <w:instrText xml:space="preserve"> PAGEREF _Toc126059726 \h </w:instrText>
        </w:r>
        <w:r w:rsidRPr="00C21460">
          <w:rPr>
            <w:webHidden/>
          </w:rPr>
        </w:r>
        <w:r w:rsidRPr="00C21460">
          <w:rPr>
            <w:webHidden/>
          </w:rPr>
          <w:fldChar w:fldCharType="separate"/>
        </w:r>
        <w:r w:rsidRPr="00C21460">
          <w:rPr>
            <w:webHidden/>
          </w:rPr>
          <w:t>49</w:t>
        </w:r>
        <w:r w:rsidRPr="00C21460">
          <w:rPr>
            <w:webHidden/>
          </w:rPr>
          <w:fldChar w:fldCharType="end"/>
        </w:r>
      </w:hyperlink>
    </w:p>
    <w:p w14:paraId="155EED3C" w14:textId="2E7F3762" w:rsidR="00C21460" w:rsidRPr="00C21460" w:rsidRDefault="00C21460">
      <w:pPr>
        <w:pStyle w:val="31"/>
        <w:rPr>
          <w:rFonts w:eastAsiaTheme="minorEastAsia"/>
          <w:lang w:eastAsia="ru-RU"/>
        </w:rPr>
      </w:pPr>
      <w:hyperlink w:anchor="_Toc126059727" w:history="1">
        <w:r w:rsidRPr="00C21460">
          <w:rPr>
            <w:rStyle w:val="aa"/>
          </w:rPr>
          <w:t xml:space="preserve">3.3.3. </w:t>
        </w:r>
        <w:r w:rsidRPr="00C21460">
          <w:rPr>
            <w:rStyle w:val="aa"/>
            <w:rFonts w:eastAsia="Calibri"/>
            <w:shd w:val="clear" w:color="auto" w:fill="FFFFFF"/>
          </w:rPr>
          <w:t>Генотоксичность</w:t>
        </w:r>
        <w:r w:rsidRPr="00C21460">
          <w:rPr>
            <w:webHidden/>
          </w:rPr>
          <w:tab/>
        </w:r>
        <w:r w:rsidRPr="00C21460">
          <w:rPr>
            <w:webHidden/>
          </w:rPr>
          <w:fldChar w:fldCharType="begin"/>
        </w:r>
        <w:r w:rsidRPr="00C21460">
          <w:rPr>
            <w:webHidden/>
          </w:rPr>
          <w:instrText xml:space="preserve"> PAGEREF _Toc126059727 \h </w:instrText>
        </w:r>
        <w:r w:rsidRPr="00C21460">
          <w:rPr>
            <w:webHidden/>
          </w:rPr>
        </w:r>
        <w:r w:rsidRPr="00C21460">
          <w:rPr>
            <w:webHidden/>
          </w:rPr>
          <w:fldChar w:fldCharType="separate"/>
        </w:r>
        <w:r w:rsidRPr="00C21460">
          <w:rPr>
            <w:webHidden/>
          </w:rPr>
          <w:t>50</w:t>
        </w:r>
        <w:r w:rsidRPr="00C21460">
          <w:rPr>
            <w:webHidden/>
          </w:rPr>
          <w:fldChar w:fldCharType="end"/>
        </w:r>
      </w:hyperlink>
    </w:p>
    <w:p w14:paraId="75BFC5D9" w14:textId="5829159A" w:rsidR="00C21460" w:rsidRPr="00C21460" w:rsidRDefault="00C21460">
      <w:pPr>
        <w:pStyle w:val="31"/>
        <w:rPr>
          <w:rFonts w:eastAsiaTheme="minorEastAsia"/>
          <w:lang w:eastAsia="ru-RU"/>
        </w:rPr>
      </w:pPr>
      <w:hyperlink w:anchor="_Toc126059728" w:history="1">
        <w:r w:rsidRPr="00C21460">
          <w:rPr>
            <w:rStyle w:val="aa"/>
          </w:rPr>
          <w:t>3.3.4. Канцерогенность</w:t>
        </w:r>
        <w:r w:rsidRPr="00C21460">
          <w:rPr>
            <w:webHidden/>
          </w:rPr>
          <w:tab/>
        </w:r>
        <w:r w:rsidRPr="00C21460">
          <w:rPr>
            <w:webHidden/>
          </w:rPr>
          <w:fldChar w:fldCharType="begin"/>
        </w:r>
        <w:r w:rsidRPr="00C21460">
          <w:rPr>
            <w:webHidden/>
          </w:rPr>
          <w:instrText xml:space="preserve"> PAGEREF _Toc126059728 \h </w:instrText>
        </w:r>
        <w:r w:rsidRPr="00C21460">
          <w:rPr>
            <w:webHidden/>
          </w:rPr>
        </w:r>
        <w:r w:rsidRPr="00C21460">
          <w:rPr>
            <w:webHidden/>
          </w:rPr>
          <w:fldChar w:fldCharType="separate"/>
        </w:r>
        <w:r w:rsidRPr="00C21460">
          <w:rPr>
            <w:webHidden/>
          </w:rPr>
          <w:t>50</w:t>
        </w:r>
        <w:r w:rsidRPr="00C21460">
          <w:rPr>
            <w:webHidden/>
          </w:rPr>
          <w:fldChar w:fldCharType="end"/>
        </w:r>
      </w:hyperlink>
    </w:p>
    <w:p w14:paraId="591618BB" w14:textId="25FA535A" w:rsidR="00C21460" w:rsidRPr="00C21460" w:rsidRDefault="00C21460">
      <w:pPr>
        <w:pStyle w:val="31"/>
        <w:rPr>
          <w:rFonts w:eastAsiaTheme="minorEastAsia"/>
          <w:lang w:eastAsia="ru-RU"/>
        </w:rPr>
      </w:pPr>
      <w:hyperlink w:anchor="_Toc126059729" w:history="1">
        <w:r w:rsidRPr="00C21460">
          <w:rPr>
            <w:rStyle w:val="aa"/>
          </w:rPr>
          <w:t>3.3.5. Репродуктивная и онтогенетическая токсичность</w:t>
        </w:r>
        <w:r w:rsidRPr="00C21460">
          <w:rPr>
            <w:webHidden/>
          </w:rPr>
          <w:tab/>
        </w:r>
        <w:r w:rsidRPr="00C21460">
          <w:rPr>
            <w:webHidden/>
          </w:rPr>
          <w:fldChar w:fldCharType="begin"/>
        </w:r>
        <w:r w:rsidRPr="00C21460">
          <w:rPr>
            <w:webHidden/>
          </w:rPr>
          <w:instrText xml:space="preserve"> PAGEREF _Toc126059729 \h </w:instrText>
        </w:r>
        <w:r w:rsidRPr="00C21460">
          <w:rPr>
            <w:webHidden/>
          </w:rPr>
        </w:r>
        <w:r w:rsidRPr="00C21460">
          <w:rPr>
            <w:webHidden/>
          </w:rPr>
          <w:fldChar w:fldCharType="separate"/>
        </w:r>
        <w:r w:rsidRPr="00C21460">
          <w:rPr>
            <w:webHidden/>
          </w:rPr>
          <w:t>50</w:t>
        </w:r>
        <w:r w:rsidRPr="00C21460">
          <w:rPr>
            <w:webHidden/>
          </w:rPr>
          <w:fldChar w:fldCharType="end"/>
        </w:r>
      </w:hyperlink>
    </w:p>
    <w:p w14:paraId="3FBFA45C" w14:textId="15332EDB" w:rsidR="00C21460" w:rsidRPr="00C21460" w:rsidRDefault="00C21460">
      <w:pPr>
        <w:pStyle w:val="41"/>
        <w:tabs>
          <w:tab w:val="right" w:leader="dot" w:pos="9346"/>
        </w:tabs>
        <w:rPr>
          <w:rFonts w:eastAsiaTheme="minorEastAsia"/>
          <w:noProof/>
          <w:lang w:eastAsia="ru-RU"/>
        </w:rPr>
      </w:pPr>
      <w:hyperlink w:anchor="_Toc126059730" w:history="1">
        <w:r w:rsidRPr="00C21460">
          <w:rPr>
            <w:rStyle w:val="aa"/>
            <w:noProof/>
          </w:rPr>
          <w:t>3.3.5.1. Влияние на фертильность и ранняя эмбриональная токсичность</w:t>
        </w:r>
        <w:r w:rsidRPr="00C21460">
          <w:rPr>
            <w:noProof/>
            <w:webHidden/>
          </w:rPr>
          <w:tab/>
        </w:r>
        <w:r w:rsidRPr="00C21460">
          <w:rPr>
            <w:noProof/>
            <w:webHidden/>
          </w:rPr>
          <w:fldChar w:fldCharType="begin"/>
        </w:r>
        <w:r w:rsidRPr="00C21460">
          <w:rPr>
            <w:noProof/>
            <w:webHidden/>
          </w:rPr>
          <w:instrText xml:space="preserve"> PAGEREF _Toc126059730 \h </w:instrText>
        </w:r>
        <w:r w:rsidRPr="00C21460">
          <w:rPr>
            <w:noProof/>
            <w:webHidden/>
          </w:rPr>
        </w:r>
        <w:r w:rsidRPr="00C21460">
          <w:rPr>
            <w:noProof/>
            <w:webHidden/>
          </w:rPr>
          <w:fldChar w:fldCharType="separate"/>
        </w:r>
        <w:r w:rsidRPr="00C21460">
          <w:rPr>
            <w:noProof/>
            <w:webHidden/>
          </w:rPr>
          <w:t>50</w:t>
        </w:r>
        <w:r w:rsidRPr="00C21460">
          <w:rPr>
            <w:noProof/>
            <w:webHidden/>
          </w:rPr>
          <w:fldChar w:fldCharType="end"/>
        </w:r>
      </w:hyperlink>
    </w:p>
    <w:p w14:paraId="361142E0" w14:textId="0D527ECA" w:rsidR="00C21460" w:rsidRPr="00C21460" w:rsidRDefault="00C21460">
      <w:pPr>
        <w:pStyle w:val="41"/>
        <w:tabs>
          <w:tab w:val="right" w:leader="dot" w:pos="9346"/>
        </w:tabs>
        <w:rPr>
          <w:rFonts w:eastAsiaTheme="minorEastAsia"/>
          <w:noProof/>
          <w:lang w:eastAsia="ru-RU"/>
        </w:rPr>
      </w:pPr>
      <w:hyperlink w:anchor="_Toc126059731" w:history="1">
        <w:r w:rsidRPr="00C21460">
          <w:rPr>
            <w:rStyle w:val="aa"/>
            <w:noProof/>
          </w:rPr>
          <w:t>3.3.5.2. Эмбрио-фетальная токсичность</w:t>
        </w:r>
        <w:r w:rsidRPr="00C21460">
          <w:rPr>
            <w:noProof/>
            <w:webHidden/>
          </w:rPr>
          <w:tab/>
        </w:r>
        <w:r w:rsidRPr="00C21460">
          <w:rPr>
            <w:noProof/>
            <w:webHidden/>
          </w:rPr>
          <w:fldChar w:fldCharType="begin"/>
        </w:r>
        <w:r w:rsidRPr="00C21460">
          <w:rPr>
            <w:noProof/>
            <w:webHidden/>
          </w:rPr>
          <w:instrText xml:space="preserve"> PAGEREF _Toc126059731 \h </w:instrText>
        </w:r>
        <w:r w:rsidRPr="00C21460">
          <w:rPr>
            <w:noProof/>
            <w:webHidden/>
          </w:rPr>
        </w:r>
        <w:r w:rsidRPr="00C21460">
          <w:rPr>
            <w:noProof/>
            <w:webHidden/>
          </w:rPr>
          <w:fldChar w:fldCharType="separate"/>
        </w:r>
        <w:r w:rsidRPr="00C21460">
          <w:rPr>
            <w:noProof/>
            <w:webHidden/>
          </w:rPr>
          <w:t>51</w:t>
        </w:r>
        <w:r w:rsidRPr="00C21460">
          <w:rPr>
            <w:noProof/>
            <w:webHidden/>
          </w:rPr>
          <w:fldChar w:fldCharType="end"/>
        </w:r>
      </w:hyperlink>
    </w:p>
    <w:p w14:paraId="4F3F62F7" w14:textId="42AEF592" w:rsidR="00C21460" w:rsidRPr="00C21460" w:rsidRDefault="00C21460">
      <w:pPr>
        <w:pStyle w:val="41"/>
        <w:tabs>
          <w:tab w:val="right" w:leader="dot" w:pos="9346"/>
        </w:tabs>
        <w:rPr>
          <w:rFonts w:eastAsiaTheme="minorEastAsia"/>
          <w:noProof/>
          <w:lang w:eastAsia="ru-RU"/>
        </w:rPr>
      </w:pPr>
      <w:hyperlink w:anchor="_Toc126059732" w:history="1">
        <w:r w:rsidRPr="00C21460">
          <w:rPr>
            <w:rStyle w:val="aa"/>
            <w:noProof/>
          </w:rPr>
          <w:t>.3.3.5.3. Влияние на пренатальное и постнатальное развитие</w:t>
        </w:r>
        <w:r w:rsidRPr="00C21460">
          <w:rPr>
            <w:noProof/>
            <w:webHidden/>
          </w:rPr>
          <w:tab/>
        </w:r>
        <w:r w:rsidRPr="00C21460">
          <w:rPr>
            <w:noProof/>
            <w:webHidden/>
          </w:rPr>
          <w:fldChar w:fldCharType="begin"/>
        </w:r>
        <w:r w:rsidRPr="00C21460">
          <w:rPr>
            <w:noProof/>
            <w:webHidden/>
          </w:rPr>
          <w:instrText xml:space="preserve"> PAGEREF _Toc126059732 \h </w:instrText>
        </w:r>
        <w:r w:rsidRPr="00C21460">
          <w:rPr>
            <w:noProof/>
            <w:webHidden/>
          </w:rPr>
        </w:r>
        <w:r w:rsidRPr="00C21460">
          <w:rPr>
            <w:noProof/>
            <w:webHidden/>
          </w:rPr>
          <w:fldChar w:fldCharType="separate"/>
        </w:r>
        <w:r w:rsidRPr="00C21460">
          <w:rPr>
            <w:noProof/>
            <w:webHidden/>
          </w:rPr>
          <w:t>51</w:t>
        </w:r>
        <w:r w:rsidRPr="00C21460">
          <w:rPr>
            <w:noProof/>
            <w:webHidden/>
          </w:rPr>
          <w:fldChar w:fldCharType="end"/>
        </w:r>
      </w:hyperlink>
    </w:p>
    <w:p w14:paraId="4DC48488" w14:textId="150E4CE4" w:rsidR="00C21460" w:rsidRPr="00C21460" w:rsidRDefault="00C21460">
      <w:pPr>
        <w:pStyle w:val="41"/>
        <w:tabs>
          <w:tab w:val="right" w:leader="dot" w:pos="9346"/>
        </w:tabs>
        <w:rPr>
          <w:rFonts w:eastAsiaTheme="minorEastAsia"/>
          <w:noProof/>
          <w:lang w:eastAsia="ru-RU"/>
        </w:rPr>
      </w:pPr>
      <w:hyperlink w:anchor="_Toc126059733" w:history="1">
        <w:r w:rsidRPr="00C21460">
          <w:rPr>
            <w:rStyle w:val="aa"/>
            <w:noProof/>
          </w:rPr>
          <w:t>3.3.5.4. Ювенильная токсичность</w:t>
        </w:r>
        <w:r w:rsidRPr="00C21460">
          <w:rPr>
            <w:noProof/>
            <w:webHidden/>
          </w:rPr>
          <w:tab/>
        </w:r>
        <w:r w:rsidRPr="00C21460">
          <w:rPr>
            <w:noProof/>
            <w:webHidden/>
          </w:rPr>
          <w:fldChar w:fldCharType="begin"/>
        </w:r>
        <w:r w:rsidRPr="00C21460">
          <w:rPr>
            <w:noProof/>
            <w:webHidden/>
          </w:rPr>
          <w:instrText xml:space="preserve"> PAGEREF _Toc126059733 \h </w:instrText>
        </w:r>
        <w:r w:rsidRPr="00C21460">
          <w:rPr>
            <w:noProof/>
            <w:webHidden/>
          </w:rPr>
        </w:r>
        <w:r w:rsidRPr="00C21460">
          <w:rPr>
            <w:noProof/>
            <w:webHidden/>
          </w:rPr>
          <w:fldChar w:fldCharType="separate"/>
        </w:r>
        <w:r w:rsidRPr="00C21460">
          <w:rPr>
            <w:noProof/>
            <w:webHidden/>
          </w:rPr>
          <w:t>53</w:t>
        </w:r>
        <w:r w:rsidRPr="00C21460">
          <w:rPr>
            <w:noProof/>
            <w:webHidden/>
          </w:rPr>
          <w:fldChar w:fldCharType="end"/>
        </w:r>
      </w:hyperlink>
    </w:p>
    <w:p w14:paraId="071D3757" w14:textId="19B8C01D" w:rsidR="00C21460" w:rsidRPr="00C21460" w:rsidRDefault="00C21460">
      <w:pPr>
        <w:pStyle w:val="31"/>
        <w:rPr>
          <w:rFonts w:eastAsiaTheme="minorEastAsia"/>
          <w:lang w:eastAsia="ru-RU"/>
        </w:rPr>
      </w:pPr>
      <w:hyperlink w:anchor="_Toc126059734" w:history="1">
        <w:r w:rsidRPr="00C21460">
          <w:rPr>
            <w:rStyle w:val="aa"/>
          </w:rPr>
          <w:t>3.3.6. Местная переносимость</w:t>
        </w:r>
        <w:r w:rsidRPr="00C21460">
          <w:rPr>
            <w:webHidden/>
          </w:rPr>
          <w:tab/>
        </w:r>
        <w:r w:rsidRPr="00C21460">
          <w:rPr>
            <w:webHidden/>
          </w:rPr>
          <w:fldChar w:fldCharType="begin"/>
        </w:r>
        <w:r w:rsidRPr="00C21460">
          <w:rPr>
            <w:webHidden/>
          </w:rPr>
          <w:instrText xml:space="preserve"> PAGEREF _Toc126059734 \h </w:instrText>
        </w:r>
        <w:r w:rsidRPr="00C21460">
          <w:rPr>
            <w:webHidden/>
          </w:rPr>
        </w:r>
        <w:r w:rsidRPr="00C21460">
          <w:rPr>
            <w:webHidden/>
          </w:rPr>
          <w:fldChar w:fldCharType="separate"/>
        </w:r>
        <w:r w:rsidRPr="00C21460">
          <w:rPr>
            <w:webHidden/>
          </w:rPr>
          <w:t>53</w:t>
        </w:r>
        <w:r w:rsidRPr="00C21460">
          <w:rPr>
            <w:webHidden/>
          </w:rPr>
          <w:fldChar w:fldCharType="end"/>
        </w:r>
      </w:hyperlink>
    </w:p>
    <w:p w14:paraId="06E0C798" w14:textId="0037D6CF" w:rsidR="00C21460" w:rsidRPr="00C21460" w:rsidRDefault="00C21460">
      <w:pPr>
        <w:pStyle w:val="31"/>
        <w:rPr>
          <w:rFonts w:eastAsiaTheme="minorEastAsia"/>
          <w:lang w:eastAsia="ru-RU"/>
        </w:rPr>
      </w:pPr>
      <w:hyperlink w:anchor="_Toc126059735" w:history="1">
        <w:r w:rsidRPr="00C21460">
          <w:rPr>
            <w:rStyle w:val="aa"/>
          </w:rPr>
          <w:t>3.3.7. Токсикокинетика</w:t>
        </w:r>
        <w:r w:rsidRPr="00C21460">
          <w:rPr>
            <w:webHidden/>
          </w:rPr>
          <w:tab/>
        </w:r>
        <w:r w:rsidRPr="00C21460">
          <w:rPr>
            <w:webHidden/>
          </w:rPr>
          <w:fldChar w:fldCharType="begin"/>
        </w:r>
        <w:r w:rsidRPr="00C21460">
          <w:rPr>
            <w:webHidden/>
          </w:rPr>
          <w:instrText xml:space="preserve"> PAGEREF _Toc126059735 \h </w:instrText>
        </w:r>
        <w:r w:rsidRPr="00C21460">
          <w:rPr>
            <w:webHidden/>
          </w:rPr>
        </w:r>
        <w:r w:rsidRPr="00C21460">
          <w:rPr>
            <w:webHidden/>
          </w:rPr>
          <w:fldChar w:fldCharType="separate"/>
        </w:r>
        <w:r w:rsidRPr="00C21460">
          <w:rPr>
            <w:webHidden/>
          </w:rPr>
          <w:t>53</w:t>
        </w:r>
        <w:r w:rsidRPr="00C21460">
          <w:rPr>
            <w:webHidden/>
          </w:rPr>
          <w:fldChar w:fldCharType="end"/>
        </w:r>
      </w:hyperlink>
    </w:p>
    <w:p w14:paraId="7855D487" w14:textId="67AB6C8A" w:rsidR="00C21460" w:rsidRPr="00C21460" w:rsidRDefault="00C21460">
      <w:pPr>
        <w:pStyle w:val="31"/>
        <w:rPr>
          <w:rFonts w:eastAsiaTheme="minorEastAsia"/>
          <w:lang w:eastAsia="ru-RU"/>
        </w:rPr>
      </w:pPr>
      <w:hyperlink w:anchor="_Toc126059736" w:history="1">
        <w:r w:rsidRPr="00C21460">
          <w:rPr>
            <w:rStyle w:val="aa"/>
          </w:rPr>
          <w:t>3.3.8. Прочие исследования</w:t>
        </w:r>
        <w:r w:rsidRPr="00C21460">
          <w:rPr>
            <w:webHidden/>
          </w:rPr>
          <w:tab/>
        </w:r>
        <w:r w:rsidRPr="00C21460">
          <w:rPr>
            <w:webHidden/>
          </w:rPr>
          <w:fldChar w:fldCharType="begin"/>
        </w:r>
        <w:r w:rsidRPr="00C21460">
          <w:rPr>
            <w:webHidden/>
          </w:rPr>
          <w:instrText xml:space="preserve"> PAGEREF _Toc126059736 \h </w:instrText>
        </w:r>
        <w:r w:rsidRPr="00C21460">
          <w:rPr>
            <w:webHidden/>
          </w:rPr>
        </w:r>
        <w:r w:rsidRPr="00C21460">
          <w:rPr>
            <w:webHidden/>
          </w:rPr>
          <w:fldChar w:fldCharType="separate"/>
        </w:r>
        <w:r w:rsidRPr="00C21460">
          <w:rPr>
            <w:webHidden/>
          </w:rPr>
          <w:t>54</w:t>
        </w:r>
        <w:r w:rsidRPr="00C21460">
          <w:rPr>
            <w:webHidden/>
          </w:rPr>
          <w:fldChar w:fldCharType="end"/>
        </w:r>
      </w:hyperlink>
    </w:p>
    <w:p w14:paraId="0FC735BC" w14:textId="29EA2BB5" w:rsidR="00C21460" w:rsidRPr="00C21460" w:rsidRDefault="00C21460">
      <w:pPr>
        <w:pStyle w:val="41"/>
        <w:tabs>
          <w:tab w:val="right" w:leader="dot" w:pos="9346"/>
        </w:tabs>
        <w:rPr>
          <w:rFonts w:eastAsiaTheme="minorEastAsia"/>
          <w:noProof/>
          <w:lang w:eastAsia="ru-RU"/>
        </w:rPr>
      </w:pPr>
      <w:hyperlink w:anchor="_Toc126059737" w:history="1">
        <w:r w:rsidRPr="00C21460">
          <w:rPr>
            <w:rStyle w:val="aa"/>
            <w:noProof/>
          </w:rPr>
          <w:t>3.3.8.1. Фототоксичность</w:t>
        </w:r>
        <w:r w:rsidRPr="00C21460">
          <w:rPr>
            <w:noProof/>
            <w:webHidden/>
          </w:rPr>
          <w:tab/>
        </w:r>
        <w:r w:rsidRPr="00C21460">
          <w:rPr>
            <w:noProof/>
            <w:webHidden/>
          </w:rPr>
          <w:fldChar w:fldCharType="begin"/>
        </w:r>
        <w:r w:rsidRPr="00C21460">
          <w:rPr>
            <w:noProof/>
            <w:webHidden/>
          </w:rPr>
          <w:instrText xml:space="preserve"> PAGEREF _Toc126059737 \h </w:instrText>
        </w:r>
        <w:r w:rsidRPr="00C21460">
          <w:rPr>
            <w:noProof/>
            <w:webHidden/>
          </w:rPr>
        </w:r>
        <w:r w:rsidRPr="00C21460">
          <w:rPr>
            <w:noProof/>
            <w:webHidden/>
          </w:rPr>
          <w:fldChar w:fldCharType="separate"/>
        </w:r>
        <w:r w:rsidRPr="00C21460">
          <w:rPr>
            <w:noProof/>
            <w:webHidden/>
          </w:rPr>
          <w:t>54</w:t>
        </w:r>
        <w:r w:rsidRPr="00C21460">
          <w:rPr>
            <w:noProof/>
            <w:webHidden/>
          </w:rPr>
          <w:fldChar w:fldCharType="end"/>
        </w:r>
      </w:hyperlink>
    </w:p>
    <w:p w14:paraId="686515FB" w14:textId="44E15298" w:rsidR="00C21460" w:rsidRPr="00C21460" w:rsidRDefault="00C21460">
      <w:pPr>
        <w:pStyle w:val="41"/>
        <w:tabs>
          <w:tab w:val="right" w:leader="dot" w:pos="9346"/>
        </w:tabs>
        <w:rPr>
          <w:rFonts w:eastAsiaTheme="minorEastAsia"/>
          <w:noProof/>
          <w:lang w:eastAsia="ru-RU"/>
        </w:rPr>
      </w:pPr>
      <w:hyperlink w:anchor="_Toc126059738" w:history="1">
        <w:r w:rsidRPr="00C21460">
          <w:rPr>
            <w:rStyle w:val="aa"/>
            <w:noProof/>
          </w:rPr>
          <w:t>3.3.8.2. Иммунотоксичность</w:t>
        </w:r>
        <w:r w:rsidRPr="00C21460">
          <w:rPr>
            <w:noProof/>
            <w:webHidden/>
          </w:rPr>
          <w:tab/>
        </w:r>
        <w:r w:rsidRPr="00C21460">
          <w:rPr>
            <w:noProof/>
            <w:webHidden/>
          </w:rPr>
          <w:fldChar w:fldCharType="begin"/>
        </w:r>
        <w:r w:rsidRPr="00C21460">
          <w:rPr>
            <w:noProof/>
            <w:webHidden/>
          </w:rPr>
          <w:instrText xml:space="preserve"> PAGEREF _Toc126059738 \h </w:instrText>
        </w:r>
        <w:r w:rsidRPr="00C21460">
          <w:rPr>
            <w:noProof/>
            <w:webHidden/>
          </w:rPr>
        </w:r>
        <w:r w:rsidRPr="00C21460">
          <w:rPr>
            <w:noProof/>
            <w:webHidden/>
          </w:rPr>
          <w:fldChar w:fldCharType="separate"/>
        </w:r>
        <w:r w:rsidRPr="00C21460">
          <w:rPr>
            <w:noProof/>
            <w:webHidden/>
          </w:rPr>
          <w:t>54</w:t>
        </w:r>
        <w:r w:rsidRPr="00C21460">
          <w:rPr>
            <w:noProof/>
            <w:webHidden/>
          </w:rPr>
          <w:fldChar w:fldCharType="end"/>
        </w:r>
      </w:hyperlink>
    </w:p>
    <w:p w14:paraId="0909303A" w14:textId="0896EC4F" w:rsidR="00C21460" w:rsidRPr="00C21460" w:rsidRDefault="00C21460">
      <w:pPr>
        <w:pStyle w:val="41"/>
        <w:tabs>
          <w:tab w:val="right" w:leader="dot" w:pos="9346"/>
        </w:tabs>
        <w:rPr>
          <w:rFonts w:eastAsiaTheme="minorEastAsia"/>
          <w:noProof/>
          <w:lang w:eastAsia="ru-RU"/>
        </w:rPr>
      </w:pPr>
      <w:hyperlink w:anchor="_Toc126059739" w:history="1">
        <w:r w:rsidRPr="00C21460">
          <w:rPr>
            <w:rStyle w:val="aa"/>
            <w:noProof/>
          </w:rPr>
          <w:t>3.3.8.3. Токичность метаболитов</w:t>
        </w:r>
        <w:r w:rsidRPr="00C21460">
          <w:rPr>
            <w:noProof/>
            <w:webHidden/>
          </w:rPr>
          <w:tab/>
        </w:r>
        <w:r w:rsidRPr="00C21460">
          <w:rPr>
            <w:noProof/>
            <w:webHidden/>
          </w:rPr>
          <w:fldChar w:fldCharType="begin"/>
        </w:r>
        <w:r w:rsidRPr="00C21460">
          <w:rPr>
            <w:noProof/>
            <w:webHidden/>
          </w:rPr>
          <w:instrText xml:space="preserve"> PAGEREF _Toc126059739 \h </w:instrText>
        </w:r>
        <w:r w:rsidRPr="00C21460">
          <w:rPr>
            <w:noProof/>
            <w:webHidden/>
          </w:rPr>
        </w:r>
        <w:r w:rsidRPr="00C21460">
          <w:rPr>
            <w:noProof/>
            <w:webHidden/>
          </w:rPr>
          <w:fldChar w:fldCharType="separate"/>
        </w:r>
        <w:r w:rsidRPr="00C21460">
          <w:rPr>
            <w:noProof/>
            <w:webHidden/>
          </w:rPr>
          <w:t>54</w:t>
        </w:r>
        <w:r w:rsidRPr="00C21460">
          <w:rPr>
            <w:noProof/>
            <w:webHidden/>
          </w:rPr>
          <w:fldChar w:fldCharType="end"/>
        </w:r>
      </w:hyperlink>
    </w:p>
    <w:p w14:paraId="408BE614" w14:textId="21647F59" w:rsidR="00C21460" w:rsidRPr="00C21460" w:rsidRDefault="00C21460">
      <w:pPr>
        <w:pStyle w:val="21"/>
        <w:rPr>
          <w:rFonts w:eastAsiaTheme="minorEastAsia"/>
          <w:noProof/>
          <w:lang w:eastAsia="ru-RU"/>
        </w:rPr>
      </w:pPr>
      <w:hyperlink w:anchor="_Toc126059740" w:history="1">
        <w:r w:rsidRPr="00C21460">
          <w:rPr>
            <w:rStyle w:val="aa"/>
            <w:noProof/>
          </w:rPr>
          <w:t>Список литературы</w:t>
        </w:r>
        <w:r w:rsidRPr="00C21460">
          <w:rPr>
            <w:noProof/>
            <w:webHidden/>
          </w:rPr>
          <w:tab/>
        </w:r>
        <w:r w:rsidRPr="00C21460">
          <w:rPr>
            <w:noProof/>
            <w:webHidden/>
          </w:rPr>
          <w:fldChar w:fldCharType="begin"/>
        </w:r>
        <w:r w:rsidRPr="00C21460">
          <w:rPr>
            <w:noProof/>
            <w:webHidden/>
          </w:rPr>
          <w:instrText xml:space="preserve"> PAGEREF _Toc126059740 \h </w:instrText>
        </w:r>
        <w:r w:rsidRPr="00C21460">
          <w:rPr>
            <w:noProof/>
            <w:webHidden/>
          </w:rPr>
        </w:r>
        <w:r w:rsidRPr="00C21460">
          <w:rPr>
            <w:noProof/>
            <w:webHidden/>
          </w:rPr>
          <w:fldChar w:fldCharType="separate"/>
        </w:r>
        <w:r w:rsidRPr="00C21460">
          <w:rPr>
            <w:noProof/>
            <w:webHidden/>
          </w:rPr>
          <w:t>55</w:t>
        </w:r>
        <w:r w:rsidRPr="00C21460">
          <w:rPr>
            <w:noProof/>
            <w:webHidden/>
          </w:rPr>
          <w:fldChar w:fldCharType="end"/>
        </w:r>
      </w:hyperlink>
    </w:p>
    <w:p w14:paraId="52067245" w14:textId="735C0051" w:rsidR="00C21460" w:rsidRPr="00C21460" w:rsidRDefault="00C21460">
      <w:pPr>
        <w:pStyle w:val="14"/>
        <w:rPr>
          <w:rFonts w:eastAsiaTheme="minorEastAsia"/>
          <w:noProof/>
          <w:lang w:eastAsia="ru-RU"/>
        </w:rPr>
      </w:pPr>
      <w:hyperlink w:anchor="_Toc126059741" w:history="1">
        <w:r w:rsidRPr="00C21460">
          <w:rPr>
            <w:rStyle w:val="aa"/>
            <w:noProof/>
          </w:rPr>
          <w:t>4.ДЕЙСТВИЕ У ЧЕЛОВЕКА</w:t>
        </w:r>
        <w:r w:rsidRPr="00C21460">
          <w:rPr>
            <w:noProof/>
            <w:webHidden/>
          </w:rPr>
          <w:tab/>
        </w:r>
        <w:r w:rsidRPr="00C21460">
          <w:rPr>
            <w:noProof/>
            <w:webHidden/>
          </w:rPr>
          <w:fldChar w:fldCharType="begin"/>
        </w:r>
        <w:r w:rsidRPr="00C21460">
          <w:rPr>
            <w:noProof/>
            <w:webHidden/>
          </w:rPr>
          <w:instrText xml:space="preserve"> PAGEREF _Toc126059741 \h </w:instrText>
        </w:r>
        <w:r w:rsidRPr="00C21460">
          <w:rPr>
            <w:noProof/>
            <w:webHidden/>
          </w:rPr>
        </w:r>
        <w:r w:rsidRPr="00C21460">
          <w:rPr>
            <w:noProof/>
            <w:webHidden/>
          </w:rPr>
          <w:fldChar w:fldCharType="separate"/>
        </w:r>
        <w:r w:rsidRPr="00C21460">
          <w:rPr>
            <w:noProof/>
            <w:webHidden/>
          </w:rPr>
          <w:t>56</w:t>
        </w:r>
        <w:r w:rsidRPr="00C21460">
          <w:rPr>
            <w:noProof/>
            <w:webHidden/>
          </w:rPr>
          <w:fldChar w:fldCharType="end"/>
        </w:r>
      </w:hyperlink>
    </w:p>
    <w:p w14:paraId="5C5A9536" w14:textId="6021B97C" w:rsidR="00C21460" w:rsidRPr="00C21460" w:rsidRDefault="00C21460">
      <w:pPr>
        <w:pStyle w:val="21"/>
        <w:rPr>
          <w:rFonts w:eastAsiaTheme="minorEastAsia"/>
          <w:noProof/>
          <w:lang w:eastAsia="ru-RU"/>
        </w:rPr>
      </w:pPr>
      <w:hyperlink w:anchor="_Toc126059742" w:history="1">
        <w:r w:rsidRPr="00C21460">
          <w:rPr>
            <w:rStyle w:val="aa"/>
            <w:noProof/>
          </w:rPr>
          <w:t>Введение и резюме</w:t>
        </w:r>
        <w:r w:rsidRPr="00C21460">
          <w:rPr>
            <w:noProof/>
            <w:webHidden/>
          </w:rPr>
          <w:tab/>
        </w:r>
        <w:r w:rsidRPr="00C21460">
          <w:rPr>
            <w:noProof/>
            <w:webHidden/>
          </w:rPr>
          <w:fldChar w:fldCharType="begin"/>
        </w:r>
        <w:r w:rsidRPr="00C21460">
          <w:rPr>
            <w:noProof/>
            <w:webHidden/>
          </w:rPr>
          <w:instrText xml:space="preserve"> PAGEREF _Toc126059742 \h </w:instrText>
        </w:r>
        <w:r w:rsidRPr="00C21460">
          <w:rPr>
            <w:noProof/>
            <w:webHidden/>
          </w:rPr>
        </w:r>
        <w:r w:rsidRPr="00C21460">
          <w:rPr>
            <w:noProof/>
            <w:webHidden/>
          </w:rPr>
          <w:fldChar w:fldCharType="separate"/>
        </w:r>
        <w:r w:rsidRPr="00C21460">
          <w:rPr>
            <w:noProof/>
            <w:webHidden/>
          </w:rPr>
          <w:t>56</w:t>
        </w:r>
        <w:r w:rsidRPr="00C21460">
          <w:rPr>
            <w:noProof/>
            <w:webHidden/>
          </w:rPr>
          <w:fldChar w:fldCharType="end"/>
        </w:r>
      </w:hyperlink>
    </w:p>
    <w:p w14:paraId="1A1B11C9" w14:textId="301948A0" w:rsidR="00C21460" w:rsidRPr="00C21460" w:rsidRDefault="00C21460">
      <w:pPr>
        <w:pStyle w:val="21"/>
        <w:rPr>
          <w:rFonts w:eastAsiaTheme="minorEastAsia"/>
          <w:noProof/>
          <w:lang w:eastAsia="ru-RU"/>
        </w:rPr>
      </w:pPr>
      <w:hyperlink w:anchor="_Toc126059743" w:history="1">
        <w:r w:rsidRPr="00C21460">
          <w:rPr>
            <w:rStyle w:val="aa"/>
            <w:noProof/>
          </w:rPr>
          <w:t>4.1. Фармакокинетика у человека</w:t>
        </w:r>
        <w:r w:rsidRPr="00C21460">
          <w:rPr>
            <w:noProof/>
            <w:webHidden/>
          </w:rPr>
          <w:tab/>
        </w:r>
        <w:r w:rsidRPr="00C21460">
          <w:rPr>
            <w:noProof/>
            <w:webHidden/>
          </w:rPr>
          <w:fldChar w:fldCharType="begin"/>
        </w:r>
        <w:r w:rsidRPr="00C21460">
          <w:rPr>
            <w:noProof/>
            <w:webHidden/>
          </w:rPr>
          <w:instrText xml:space="preserve"> PAGEREF _Toc126059743 \h </w:instrText>
        </w:r>
        <w:r w:rsidRPr="00C21460">
          <w:rPr>
            <w:noProof/>
            <w:webHidden/>
          </w:rPr>
        </w:r>
        <w:r w:rsidRPr="00C21460">
          <w:rPr>
            <w:noProof/>
            <w:webHidden/>
          </w:rPr>
          <w:fldChar w:fldCharType="separate"/>
        </w:r>
        <w:r w:rsidRPr="00C21460">
          <w:rPr>
            <w:noProof/>
            <w:webHidden/>
          </w:rPr>
          <w:t>60</w:t>
        </w:r>
        <w:r w:rsidRPr="00C21460">
          <w:rPr>
            <w:noProof/>
            <w:webHidden/>
          </w:rPr>
          <w:fldChar w:fldCharType="end"/>
        </w:r>
      </w:hyperlink>
    </w:p>
    <w:p w14:paraId="1B860558" w14:textId="1B0F88D3" w:rsidR="00C21460" w:rsidRPr="00C21460" w:rsidRDefault="00C21460">
      <w:pPr>
        <w:pStyle w:val="31"/>
        <w:rPr>
          <w:rFonts w:eastAsiaTheme="minorEastAsia"/>
          <w:lang w:eastAsia="ru-RU"/>
        </w:rPr>
      </w:pPr>
      <w:hyperlink w:anchor="_Toc126059744" w:history="1">
        <w:r w:rsidRPr="00C21460">
          <w:rPr>
            <w:rStyle w:val="aa"/>
          </w:rPr>
          <w:t>4.1.1. Всасывание</w:t>
        </w:r>
        <w:r w:rsidRPr="00C21460">
          <w:rPr>
            <w:webHidden/>
          </w:rPr>
          <w:tab/>
        </w:r>
        <w:r w:rsidRPr="00C21460">
          <w:rPr>
            <w:webHidden/>
          </w:rPr>
          <w:fldChar w:fldCharType="begin"/>
        </w:r>
        <w:r w:rsidRPr="00C21460">
          <w:rPr>
            <w:webHidden/>
          </w:rPr>
          <w:instrText xml:space="preserve"> PAGEREF _Toc126059744 \h </w:instrText>
        </w:r>
        <w:r w:rsidRPr="00C21460">
          <w:rPr>
            <w:webHidden/>
          </w:rPr>
        </w:r>
        <w:r w:rsidRPr="00C21460">
          <w:rPr>
            <w:webHidden/>
          </w:rPr>
          <w:fldChar w:fldCharType="separate"/>
        </w:r>
        <w:r w:rsidRPr="00C21460">
          <w:rPr>
            <w:webHidden/>
          </w:rPr>
          <w:t>60</w:t>
        </w:r>
        <w:r w:rsidRPr="00C21460">
          <w:rPr>
            <w:webHidden/>
          </w:rPr>
          <w:fldChar w:fldCharType="end"/>
        </w:r>
      </w:hyperlink>
    </w:p>
    <w:p w14:paraId="7F87B2B8" w14:textId="554B55CB" w:rsidR="00C21460" w:rsidRPr="00C21460" w:rsidRDefault="00C21460">
      <w:pPr>
        <w:pStyle w:val="31"/>
        <w:rPr>
          <w:rFonts w:eastAsiaTheme="minorEastAsia"/>
          <w:lang w:eastAsia="ru-RU"/>
        </w:rPr>
      </w:pPr>
      <w:hyperlink w:anchor="_Toc126059745" w:history="1">
        <w:r w:rsidRPr="00C21460">
          <w:rPr>
            <w:rStyle w:val="aa"/>
          </w:rPr>
          <w:t>4.1.2. Распределение</w:t>
        </w:r>
        <w:r w:rsidRPr="00C21460">
          <w:rPr>
            <w:webHidden/>
          </w:rPr>
          <w:tab/>
        </w:r>
        <w:r w:rsidRPr="00C21460">
          <w:rPr>
            <w:webHidden/>
          </w:rPr>
          <w:fldChar w:fldCharType="begin"/>
        </w:r>
        <w:r w:rsidRPr="00C21460">
          <w:rPr>
            <w:webHidden/>
          </w:rPr>
          <w:instrText xml:space="preserve"> PAGEREF _Toc126059745 \h </w:instrText>
        </w:r>
        <w:r w:rsidRPr="00C21460">
          <w:rPr>
            <w:webHidden/>
          </w:rPr>
        </w:r>
        <w:r w:rsidRPr="00C21460">
          <w:rPr>
            <w:webHidden/>
          </w:rPr>
          <w:fldChar w:fldCharType="separate"/>
        </w:r>
        <w:r w:rsidRPr="00C21460">
          <w:rPr>
            <w:webHidden/>
          </w:rPr>
          <w:t>60</w:t>
        </w:r>
        <w:r w:rsidRPr="00C21460">
          <w:rPr>
            <w:webHidden/>
          </w:rPr>
          <w:fldChar w:fldCharType="end"/>
        </w:r>
      </w:hyperlink>
    </w:p>
    <w:p w14:paraId="13E02E10" w14:textId="1560FEAA" w:rsidR="00C21460" w:rsidRPr="00C21460" w:rsidRDefault="00C21460">
      <w:pPr>
        <w:pStyle w:val="31"/>
        <w:rPr>
          <w:rFonts w:eastAsiaTheme="minorEastAsia"/>
          <w:lang w:eastAsia="ru-RU"/>
        </w:rPr>
      </w:pPr>
      <w:hyperlink w:anchor="_Toc126059746" w:history="1">
        <w:r w:rsidRPr="00C21460">
          <w:rPr>
            <w:rStyle w:val="aa"/>
          </w:rPr>
          <w:t>4.1.3. Метаболизм</w:t>
        </w:r>
        <w:r w:rsidRPr="00C21460">
          <w:rPr>
            <w:webHidden/>
          </w:rPr>
          <w:tab/>
        </w:r>
        <w:r w:rsidRPr="00C21460">
          <w:rPr>
            <w:webHidden/>
          </w:rPr>
          <w:fldChar w:fldCharType="begin"/>
        </w:r>
        <w:r w:rsidRPr="00C21460">
          <w:rPr>
            <w:webHidden/>
          </w:rPr>
          <w:instrText xml:space="preserve"> PAGEREF _Toc126059746 \h </w:instrText>
        </w:r>
        <w:r w:rsidRPr="00C21460">
          <w:rPr>
            <w:webHidden/>
          </w:rPr>
        </w:r>
        <w:r w:rsidRPr="00C21460">
          <w:rPr>
            <w:webHidden/>
          </w:rPr>
          <w:fldChar w:fldCharType="separate"/>
        </w:r>
        <w:r w:rsidRPr="00C21460">
          <w:rPr>
            <w:webHidden/>
          </w:rPr>
          <w:t>60</w:t>
        </w:r>
        <w:r w:rsidRPr="00C21460">
          <w:rPr>
            <w:webHidden/>
          </w:rPr>
          <w:fldChar w:fldCharType="end"/>
        </w:r>
      </w:hyperlink>
    </w:p>
    <w:p w14:paraId="1A53E0F9" w14:textId="19899506" w:rsidR="00C21460" w:rsidRPr="00C21460" w:rsidRDefault="00C21460">
      <w:pPr>
        <w:pStyle w:val="31"/>
        <w:rPr>
          <w:rFonts w:eastAsiaTheme="minorEastAsia"/>
          <w:lang w:eastAsia="ru-RU"/>
        </w:rPr>
      </w:pPr>
      <w:hyperlink w:anchor="_Toc126059747" w:history="1">
        <w:r w:rsidRPr="00C21460">
          <w:rPr>
            <w:rStyle w:val="aa"/>
          </w:rPr>
          <w:t>4.1.4. Выведение</w:t>
        </w:r>
        <w:r w:rsidRPr="00C21460">
          <w:rPr>
            <w:webHidden/>
          </w:rPr>
          <w:tab/>
        </w:r>
        <w:r w:rsidRPr="00C21460">
          <w:rPr>
            <w:webHidden/>
          </w:rPr>
          <w:fldChar w:fldCharType="begin"/>
        </w:r>
        <w:r w:rsidRPr="00C21460">
          <w:rPr>
            <w:webHidden/>
          </w:rPr>
          <w:instrText xml:space="preserve"> PAGEREF _Toc126059747 \h </w:instrText>
        </w:r>
        <w:r w:rsidRPr="00C21460">
          <w:rPr>
            <w:webHidden/>
          </w:rPr>
        </w:r>
        <w:r w:rsidRPr="00C21460">
          <w:rPr>
            <w:webHidden/>
          </w:rPr>
          <w:fldChar w:fldCharType="separate"/>
        </w:r>
        <w:r w:rsidRPr="00C21460">
          <w:rPr>
            <w:webHidden/>
          </w:rPr>
          <w:t>61</w:t>
        </w:r>
        <w:r w:rsidRPr="00C21460">
          <w:rPr>
            <w:webHidden/>
          </w:rPr>
          <w:fldChar w:fldCharType="end"/>
        </w:r>
      </w:hyperlink>
    </w:p>
    <w:p w14:paraId="1EEA7D09" w14:textId="7CFD352A" w:rsidR="00C21460" w:rsidRPr="00C21460" w:rsidRDefault="00C21460">
      <w:pPr>
        <w:pStyle w:val="31"/>
        <w:rPr>
          <w:rFonts w:eastAsiaTheme="minorEastAsia"/>
          <w:lang w:eastAsia="ru-RU"/>
        </w:rPr>
      </w:pPr>
      <w:hyperlink w:anchor="_Toc126059748" w:history="1">
        <w:r w:rsidRPr="00C21460">
          <w:rPr>
            <w:rStyle w:val="aa"/>
          </w:rPr>
          <w:t>4.1.5. Линейность фармакокинетики</w:t>
        </w:r>
        <w:r w:rsidRPr="00C21460">
          <w:rPr>
            <w:webHidden/>
          </w:rPr>
          <w:tab/>
        </w:r>
        <w:r w:rsidRPr="00C21460">
          <w:rPr>
            <w:webHidden/>
          </w:rPr>
          <w:fldChar w:fldCharType="begin"/>
        </w:r>
        <w:r w:rsidRPr="00C21460">
          <w:rPr>
            <w:webHidden/>
          </w:rPr>
          <w:instrText xml:space="preserve"> PAGEREF _Toc126059748 \h </w:instrText>
        </w:r>
        <w:r w:rsidRPr="00C21460">
          <w:rPr>
            <w:webHidden/>
          </w:rPr>
        </w:r>
        <w:r w:rsidRPr="00C21460">
          <w:rPr>
            <w:webHidden/>
          </w:rPr>
          <w:fldChar w:fldCharType="separate"/>
        </w:r>
        <w:r w:rsidRPr="00C21460">
          <w:rPr>
            <w:webHidden/>
          </w:rPr>
          <w:t>61</w:t>
        </w:r>
        <w:r w:rsidRPr="00C21460">
          <w:rPr>
            <w:webHidden/>
          </w:rPr>
          <w:fldChar w:fldCharType="end"/>
        </w:r>
      </w:hyperlink>
    </w:p>
    <w:p w14:paraId="24CB8E2D" w14:textId="1663E3C3" w:rsidR="00C21460" w:rsidRPr="00C21460" w:rsidRDefault="00C21460">
      <w:pPr>
        <w:pStyle w:val="31"/>
        <w:rPr>
          <w:rFonts w:eastAsiaTheme="minorEastAsia"/>
          <w:lang w:eastAsia="ru-RU"/>
        </w:rPr>
      </w:pPr>
      <w:hyperlink w:anchor="_Toc126059749" w:history="1">
        <w:r w:rsidRPr="00C21460">
          <w:rPr>
            <w:rStyle w:val="aa"/>
          </w:rPr>
          <w:t>4.1.6. Фармакокинетика у особых групп пациентов</w:t>
        </w:r>
        <w:r w:rsidRPr="00C21460">
          <w:rPr>
            <w:webHidden/>
          </w:rPr>
          <w:tab/>
        </w:r>
        <w:r w:rsidRPr="00C21460">
          <w:rPr>
            <w:webHidden/>
          </w:rPr>
          <w:fldChar w:fldCharType="begin"/>
        </w:r>
        <w:r w:rsidRPr="00C21460">
          <w:rPr>
            <w:webHidden/>
          </w:rPr>
          <w:instrText xml:space="preserve"> PAGEREF _Toc126059749 \h </w:instrText>
        </w:r>
        <w:r w:rsidRPr="00C21460">
          <w:rPr>
            <w:webHidden/>
          </w:rPr>
        </w:r>
        <w:r w:rsidRPr="00C21460">
          <w:rPr>
            <w:webHidden/>
          </w:rPr>
          <w:fldChar w:fldCharType="separate"/>
        </w:r>
        <w:r w:rsidRPr="00C21460">
          <w:rPr>
            <w:webHidden/>
          </w:rPr>
          <w:t>61</w:t>
        </w:r>
        <w:r w:rsidRPr="00C21460">
          <w:rPr>
            <w:webHidden/>
          </w:rPr>
          <w:fldChar w:fldCharType="end"/>
        </w:r>
      </w:hyperlink>
    </w:p>
    <w:p w14:paraId="301A07E6" w14:textId="1E0C65A8" w:rsidR="00C21460" w:rsidRPr="00C21460" w:rsidRDefault="00C21460">
      <w:pPr>
        <w:pStyle w:val="41"/>
        <w:tabs>
          <w:tab w:val="right" w:leader="dot" w:pos="9346"/>
        </w:tabs>
        <w:rPr>
          <w:rFonts w:eastAsiaTheme="minorEastAsia"/>
          <w:noProof/>
          <w:lang w:eastAsia="ru-RU"/>
        </w:rPr>
      </w:pPr>
      <w:hyperlink w:anchor="_Toc126059750" w:history="1">
        <w:r w:rsidRPr="00C21460">
          <w:rPr>
            <w:rStyle w:val="aa"/>
            <w:noProof/>
          </w:rPr>
          <w:t>4.1.6.1. Влияние возраста, массы тела, пола и расы</w:t>
        </w:r>
        <w:r w:rsidRPr="00C21460">
          <w:rPr>
            <w:noProof/>
            <w:webHidden/>
          </w:rPr>
          <w:tab/>
        </w:r>
        <w:r w:rsidRPr="00C21460">
          <w:rPr>
            <w:noProof/>
            <w:webHidden/>
          </w:rPr>
          <w:fldChar w:fldCharType="begin"/>
        </w:r>
        <w:r w:rsidRPr="00C21460">
          <w:rPr>
            <w:noProof/>
            <w:webHidden/>
          </w:rPr>
          <w:instrText xml:space="preserve"> PAGEREF _Toc126059750 \h </w:instrText>
        </w:r>
        <w:r w:rsidRPr="00C21460">
          <w:rPr>
            <w:noProof/>
            <w:webHidden/>
          </w:rPr>
        </w:r>
        <w:r w:rsidRPr="00C21460">
          <w:rPr>
            <w:noProof/>
            <w:webHidden/>
          </w:rPr>
          <w:fldChar w:fldCharType="separate"/>
        </w:r>
        <w:r w:rsidRPr="00C21460">
          <w:rPr>
            <w:noProof/>
            <w:webHidden/>
          </w:rPr>
          <w:t>61</w:t>
        </w:r>
        <w:r w:rsidRPr="00C21460">
          <w:rPr>
            <w:noProof/>
            <w:webHidden/>
          </w:rPr>
          <w:fldChar w:fldCharType="end"/>
        </w:r>
      </w:hyperlink>
    </w:p>
    <w:p w14:paraId="71ADDB31" w14:textId="4E52B599" w:rsidR="00C21460" w:rsidRPr="00C21460" w:rsidRDefault="00C21460">
      <w:pPr>
        <w:pStyle w:val="41"/>
        <w:tabs>
          <w:tab w:val="right" w:leader="dot" w:pos="9346"/>
        </w:tabs>
        <w:rPr>
          <w:rFonts w:eastAsiaTheme="minorEastAsia"/>
          <w:noProof/>
          <w:lang w:eastAsia="ru-RU"/>
        </w:rPr>
      </w:pPr>
      <w:hyperlink w:anchor="_Toc126059751" w:history="1">
        <w:r w:rsidRPr="00C21460">
          <w:rPr>
            <w:rStyle w:val="aa"/>
            <w:noProof/>
          </w:rPr>
          <w:t>4.1.6.2. Почечная недостаточность</w:t>
        </w:r>
        <w:r w:rsidRPr="00C21460">
          <w:rPr>
            <w:noProof/>
            <w:webHidden/>
          </w:rPr>
          <w:tab/>
        </w:r>
        <w:r w:rsidRPr="00C21460">
          <w:rPr>
            <w:noProof/>
            <w:webHidden/>
          </w:rPr>
          <w:fldChar w:fldCharType="begin"/>
        </w:r>
        <w:r w:rsidRPr="00C21460">
          <w:rPr>
            <w:noProof/>
            <w:webHidden/>
          </w:rPr>
          <w:instrText xml:space="preserve"> PAGEREF _Toc126059751 \h </w:instrText>
        </w:r>
        <w:r w:rsidRPr="00C21460">
          <w:rPr>
            <w:noProof/>
            <w:webHidden/>
          </w:rPr>
        </w:r>
        <w:r w:rsidRPr="00C21460">
          <w:rPr>
            <w:noProof/>
            <w:webHidden/>
          </w:rPr>
          <w:fldChar w:fldCharType="separate"/>
        </w:r>
        <w:r w:rsidRPr="00C21460">
          <w:rPr>
            <w:noProof/>
            <w:webHidden/>
          </w:rPr>
          <w:t>62</w:t>
        </w:r>
        <w:r w:rsidRPr="00C21460">
          <w:rPr>
            <w:noProof/>
            <w:webHidden/>
          </w:rPr>
          <w:fldChar w:fldCharType="end"/>
        </w:r>
      </w:hyperlink>
    </w:p>
    <w:p w14:paraId="35BEE26F" w14:textId="7CBBC922" w:rsidR="00C21460" w:rsidRPr="00C21460" w:rsidRDefault="00C21460">
      <w:pPr>
        <w:pStyle w:val="41"/>
        <w:tabs>
          <w:tab w:val="right" w:leader="dot" w:pos="9346"/>
        </w:tabs>
        <w:rPr>
          <w:rFonts w:eastAsiaTheme="minorEastAsia"/>
          <w:noProof/>
          <w:lang w:eastAsia="ru-RU"/>
        </w:rPr>
      </w:pPr>
      <w:hyperlink w:anchor="_Toc126059752" w:history="1">
        <w:r w:rsidRPr="00C21460">
          <w:rPr>
            <w:rStyle w:val="aa"/>
            <w:noProof/>
          </w:rPr>
          <w:t>4.1.6.3. Печеночная недостаточность</w:t>
        </w:r>
        <w:r w:rsidRPr="00C21460">
          <w:rPr>
            <w:noProof/>
            <w:webHidden/>
          </w:rPr>
          <w:tab/>
        </w:r>
        <w:r w:rsidRPr="00C21460">
          <w:rPr>
            <w:noProof/>
            <w:webHidden/>
          </w:rPr>
          <w:fldChar w:fldCharType="begin"/>
        </w:r>
        <w:r w:rsidRPr="00C21460">
          <w:rPr>
            <w:noProof/>
            <w:webHidden/>
          </w:rPr>
          <w:instrText xml:space="preserve"> PAGEREF _Toc126059752 \h </w:instrText>
        </w:r>
        <w:r w:rsidRPr="00C21460">
          <w:rPr>
            <w:noProof/>
            <w:webHidden/>
          </w:rPr>
        </w:r>
        <w:r w:rsidRPr="00C21460">
          <w:rPr>
            <w:noProof/>
            <w:webHidden/>
          </w:rPr>
          <w:fldChar w:fldCharType="separate"/>
        </w:r>
        <w:r w:rsidRPr="00C21460">
          <w:rPr>
            <w:noProof/>
            <w:webHidden/>
          </w:rPr>
          <w:t>62</w:t>
        </w:r>
        <w:r w:rsidRPr="00C21460">
          <w:rPr>
            <w:noProof/>
            <w:webHidden/>
          </w:rPr>
          <w:fldChar w:fldCharType="end"/>
        </w:r>
      </w:hyperlink>
    </w:p>
    <w:p w14:paraId="77018B12" w14:textId="73748818" w:rsidR="00C21460" w:rsidRPr="00C21460" w:rsidRDefault="00C21460">
      <w:pPr>
        <w:pStyle w:val="21"/>
        <w:rPr>
          <w:rFonts w:eastAsiaTheme="minorEastAsia"/>
          <w:noProof/>
          <w:lang w:eastAsia="ru-RU"/>
        </w:rPr>
      </w:pPr>
      <w:hyperlink w:anchor="_Toc126059753" w:history="1">
        <w:r w:rsidRPr="00C21460">
          <w:rPr>
            <w:rStyle w:val="aa"/>
            <w:noProof/>
          </w:rPr>
          <w:t>4.2. Фармакодинамика у человека</w:t>
        </w:r>
        <w:r w:rsidRPr="00C21460">
          <w:rPr>
            <w:noProof/>
            <w:webHidden/>
          </w:rPr>
          <w:tab/>
        </w:r>
        <w:r w:rsidRPr="00C21460">
          <w:rPr>
            <w:noProof/>
            <w:webHidden/>
          </w:rPr>
          <w:fldChar w:fldCharType="begin"/>
        </w:r>
        <w:r w:rsidRPr="00C21460">
          <w:rPr>
            <w:noProof/>
            <w:webHidden/>
          </w:rPr>
          <w:instrText xml:space="preserve"> PAGEREF _Toc126059753 \h </w:instrText>
        </w:r>
        <w:r w:rsidRPr="00C21460">
          <w:rPr>
            <w:noProof/>
            <w:webHidden/>
          </w:rPr>
        </w:r>
        <w:r w:rsidRPr="00C21460">
          <w:rPr>
            <w:noProof/>
            <w:webHidden/>
          </w:rPr>
          <w:fldChar w:fldCharType="separate"/>
        </w:r>
        <w:r w:rsidRPr="00C21460">
          <w:rPr>
            <w:noProof/>
            <w:webHidden/>
          </w:rPr>
          <w:t>64</w:t>
        </w:r>
        <w:r w:rsidRPr="00C21460">
          <w:rPr>
            <w:noProof/>
            <w:webHidden/>
          </w:rPr>
          <w:fldChar w:fldCharType="end"/>
        </w:r>
      </w:hyperlink>
    </w:p>
    <w:p w14:paraId="11412E13" w14:textId="0BC59821" w:rsidR="00C21460" w:rsidRPr="00C21460" w:rsidRDefault="00C21460">
      <w:pPr>
        <w:pStyle w:val="31"/>
        <w:rPr>
          <w:rFonts w:eastAsiaTheme="minorEastAsia"/>
          <w:lang w:eastAsia="ru-RU"/>
        </w:rPr>
      </w:pPr>
      <w:hyperlink w:anchor="_Toc126059754" w:history="1">
        <w:r w:rsidRPr="00C21460">
          <w:rPr>
            <w:rStyle w:val="aa"/>
          </w:rPr>
          <w:t>4.2.1. Фармакодинамика и механизм действия</w:t>
        </w:r>
        <w:r w:rsidRPr="00C21460">
          <w:rPr>
            <w:webHidden/>
          </w:rPr>
          <w:tab/>
        </w:r>
        <w:r w:rsidRPr="00C21460">
          <w:rPr>
            <w:webHidden/>
          </w:rPr>
          <w:fldChar w:fldCharType="begin"/>
        </w:r>
        <w:r w:rsidRPr="00C21460">
          <w:rPr>
            <w:webHidden/>
          </w:rPr>
          <w:instrText xml:space="preserve"> PAGEREF _Toc126059754 \h </w:instrText>
        </w:r>
        <w:r w:rsidRPr="00C21460">
          <w:rPr>
            <w:webHidden/>
          </w:rPr>
        </w:r>
        <w:r w:rsidRPr="00C21460">
          <w:rPr>
            <w:webHidden/>
          </w:rPr>
          <w:fldChar w:fldCharType="separate"/>
        </w:r>
        <w:r w:rsidRPr="00C21460">
          <w:rPr>
            <w:webHidden/>
          </w:rPr>
          <w:t>64</w:t>
        </w:r>
        <w:r w:rsidRPr="00C21460">
          <w:rPr>
            <w:webHidden/>
          </w:rPr>
          <w:fldChar w:fldCharType="end"/>
        </w:r>
      </w:hyperlink>
    </w:p>
    <w:p w14:paraId="0C913E30" w14:textId="1A5CC601" w:rsidR="00C21460" w:rsidRPr="00C21460" w:rsidRDefault="00C21460">
      <w:pPr>
        <w:pStyle w:val="31"/>
        <w:rPr>
          <w:rFonts w:eastAsiaTheme="minorEastAsia"/>
          <w:lang w:eastAsia="ru-RU"/>
        </w:rPr>
      </w:pPr>
      <w:hyperlink w:anchor="_Toc126059755" w:history="1">
        <w:r w:rsidRPr="00C21460">
          <w:rPr>
            <w:rStyle w:val="aa"/>
            <w:bCs/>
          </w:rPr>
          <w:t xml:space="preserve">4.2.3. </w:t>
        </w:r>
        <w:r w:rsidRPr="00C21460">
          <w:rPr>
            <w:rStyle w:val="aa"/>
          </w:rPr>
          <w:t xml:space="preserve">Фармакодинамические </w:t>
        </w:r>
        <w:r w:rsidRPr="00C21460">
          <w:rPr>
            <w:rStyle w:val="aa"/>
            <w:bCs/>
          </w:rPr>
          <w:t>лекарственные взаимодействия</w:t>
        </w:r>
        <w:r w:rsidRPr="00C21460">
          <w:rPr>
            <w:webHidden/>
          </w:rPr>
          <w:tab/>
        </w:r>
        <w:r w:rsidRPr="00C21460">
          <w:rPr>
            <w:webHidden/>
          </w:rPr>
          <w:fldChar w:fldCharType="begin"/>
        </w:r>
        <w:r w:rsidRPr="00C21460">
          <w:rPr>
            <w:webHidden/>
          </w:rPr>
          <w:instrText xml:space="preserve"> PAGEREF _Toc126059755 \h </w:instrText>
        </w:r>
        <w:r w:rsidRPr="00C21460">
          <w:rPr>
            <w:webHidden/>
          </w:rPr>
        </w:r>
        <w:r w:rsidRPr="00C21460">
          <w:rPr>
            <w:webHidden/>
          </w:rPr>
          <w:fldChar w:fldCharType="separate"/>
        </w:r>
        <w:r w:rsidRPr="00C21460">
          <w:rPr>
            <w:webHidden/>
          </w:rPr>
          <w:t>65</w:t>
        </w:r>
        <w:r w:rsidRPr="00C21460">
          <w:rPr>
            <w:webHidden/>
          </w:rPr>
          <w:fldChar w:fldCharType="end"/>
        </w:r>
      </w:hyperlink>
    </w:p>
    <w:p w14:paraId="3B0B5C27" w14:textId="68540021" w:rsidR="00C21460" w:rsidRPr="00C21460" w:rsidRDefault="00C21460">
      <w:pPr>
        <w:pStyle w:val="21"/>
        <w:rPr>
          <w:rFonts w:eastAsiaTheme="minorEastAsia"/>
          <w:noProof/>
          <w:lang w:eastAsia="ru-RU"/>
        </w:rPr>
      </w:pPr>
      <w:hyperlink w:anchor="_Toc126059756" w:history="1">
        <w:r w:rsidRPr="00C21460">
          <w:rPr>
            <w:rStyle w:val="aa"/>
            <w:noProof/>
          </w:rPr>
          <w:t>4.3. Безопасность и эффективность</w:t>
        </w:r>
        <w:r w:rsidRPr="00C21460">
          <w:rPr>
            <w:noProof/>
            <w:webHidden/>
          </w:rPr>
          <w:tab/>
        </w:r>
        <w:r w:rsidRPr="00C21460">
          <w:rPr>
            <w:noProof/>
            <w:webHidden/>
          </w:rPr>
          <w:fldChar w:fldCharType="begin"/>
        </w:r>
        <w:r w:rsidRPr="00C21460">
          <w:rPr>
            <w:noProof/>
            <w:webHidden/>
          </w:rPr>
          <w:instrText xml:space="preserve"> PAGEREF _Toc126059756 \h </w:instrText>
        </w:r>
        <w:r w:rsidRPr="00C21460">
          <w:rPr>
            <w:noProof/>
            <w:webHidden/>
          </w:rPr>
        </w:r>
        <w:r w:rsidRPr="00C21460">
          <w:rPr>
            <w:noProof/>
            <w:webHidden/>
          </w:rPr>
          <w:fldChar w:fldCharType="separate"/>
        </w:r>
        <w:r w:rsidRPr="00C21460">
          <w:rPr>
            <w:noProof/>
            <w:webHidden/>
          </w:rPr>
          <w:t>65</w:t>
        </w:r>
        <w:r w:rsidRPr="00C21460">
          <w:rPr>
            <w:noProof/>
            <w:webHidden/>
          </w:rPr>
          <w:fldChar w:fldCharType="end"/>
        </w:r>
      </w:hyperlink>
    </w:p>
    <w:p w14:paraId="3DDB1E28" w14:textId="56FB8E4E" w:rsidR="00C21460" w:rsidRPr="00C21460" w:rsidRDefault="00C21460">
      <w:pPr>
        <w:pStyle w:val="31"/>
        <w:rPr>
          <w:rFonts w:eastAsiaTheme="minorEastAsia"/>
          <w:lang w:eastAsia="ru-RU"/>
        </w:rPr>
      </w:pPr>
      <w:hyperlink w:anchor="_Toc126059757" w:history="1">
        <w:r w:rsidRPr="00C21460">
          <w:rPr>
            <w:rStyle w:val="aa"/>
          </w:rPr>
          <w:t>4.3.1. Клиническая эффективность</w:t>
        </w:r>
        <w:r w:rsidRPr="00C21460">
          <w:rPr>
            <w:webHidden/>
          </w:rPr>
          <w:tab/>
        </w:r>
        <w:r w:rsidRPr="00C21460">
          <w:rPr>
            <w:webHidden/>
          </w:rPr>
          <w:fldChar w:fldCharType="begin"/>
        </w:r>
        <w:r w:rsidRPr="00C21460">
          <w:rPr>
            <w:webHidden/>
          </w:rPr>
          <w:instrText xml:space="preserve"> PAGEREF _Toc126059757 \h </w:instrText>
        </w:r>
        <w:r w:rsidRPr="00C21460">
          <w:rPr>
            <w:webHidden/>
          </w:rPr>
        </w:r>
        <w:r w:rsidRPr="00C21460">
          <w:rPr>
            <w:webHidden/>
          </w:rPr>
          <w:fldChar w:fldCharType="separate"/>
        </w:r>
        <w:r w:rsidRPr="00C21460">
          <w:rPr>
            <w:webHidden/>
          </w:rPr>
          <w:t>65</w:t>
        </w:r>
        <w:r w:rsidRPr="00C21460">
          <w:rPr>
            <w:webHidden/>
          </w:rPr>
          <w:fldChar w:fldCharType="end"/>
        </w:r>
      </w:hyperlink>
    </w:p>
    <w:p w14:paraId="1A20C424" w14:textId="18963D96" w:rsidR="00C21460" w:rsidRPr="00C21460" w:rsidRDefault="00C21460">
      <w:pPr>
        <w:pStyle w:val="41"/>
        <w:tabs>
          <w:tab w:val="right" w:leader="dot" w:pos="9346"/>
        </w:tabs>
        <w:rPr>
          <w:rFonts w:eastAsiaTheme="minorEastAsia"/>
          <w:noProof/>
          <w:lang w:eastAsia="ru-RU"/>
        </w:rPr>
      </w:pPr>
      <w:hyperlink w:anchor="_Toc126059758" w:history="1">
        <w:r w:rsidRPr="00C21460">
          <w:rPr>
            <w:rStyle w:val="aa"/>
            <w:noProof/>
          </w:rPr>
          <w:t>4.3.1.1. Дифференцированный рак щитовидной железы</w:t>
        </w:r>
        <w:r w:rsidRPr="00C21460">
          <w:rPr>
            <w:noProof/>
            <w:webHidden/>
          </w:rPr>
          <w:tab/>
        </w:r>
        <w:r w:rsidRPr="00C21460">
          <w:rPr>
            <w:noProof/>
            <w:webHidden/>
          </w:rPr>
          <w:fldChar w:fldCharType="begin"/>
        </w:r>
        <w:r w:rsidRPr="00C21460">
          <w:rPr>
            <w:noProof/>
            <w:webHidden/>
          </w:rPr>
          <w:instrText xml:space="preserve"> PAGEREF _Toc126059758 \h </w:instrText>
        </w:r>
        <w:r w:rsidRPr="00C21460">
          <w:rPr>
            <w:noProof/>
            <w:webHidden/>
          </w:rPr>
        </w:r>
        <w:r w:rsidRPr="00C21460">
          <w:rPr>
            <w:noProof/>
            <w:webHidden/>
          </w:rPr>
          <w:fldChar w:fldCharType="separate"/>
        </w:r>
        <w:r w:rsidRPr="00C21460">
          <w:rPr>
            <w:noProof/>
            <w:webHidden/>
          </w:rPr>
          <w:t>66</w:t>
        </w:r>
        <w:r w:rsidRPr="00C21460">
          <w:rPr>
            <w:noProof/>
            <w:webHidden/>
          </w:rPr>
          <w:fldChar w:fldCharType="end"/>
        </w:r>
      </w:hyperlink>
    </w:p>
    <w:p w14:paraId="76116A39" w14:textId="04871877" w:rsidR="00C21460" w:rsidRPr="00C21460" w:rsidRDefault="00C21460">
      <w:pPr>
        <w:pStyle w:val="41"/>
        <w:tabs>
          <w:tab w:val="right" w:leader="dot" w:pos="9346"/>
        </w:tabs>
        <w:rPr>
          <w:rFonts w:eastAsiaTheme="minorEastAsia"/>
          <w:noProof/>
          <w:lang w:eastAsia="ru-RU"/>
        </w:rPr>
      </w:pPr>
      <w:hyperlink w:anchor="_Toc126059759" w:history="1">
        <w:r w:rsidRPr="00C21460">
          <w:rPr>
            <w:rStyle w:val="aa"/>
            <w:noProof/>
          </w:rPr>
          <w:t>4.3.1.2. Гепатоцеллюлярный рак</w:t>
        </w:r>
        <w:r w:rsidRPr="00C21460">
          <w:rPr>
            <w:noProof/>
            <w:webHidden/>
          </w:rPr>
          <w:tab/>
        </w:r>
        <w:r w:rsidRPr="00C21460">
          <w:rPr>
            <w:noProof/>
            <w:webHidden/>
          </w:rPr>
          <w:fldChar w:fldCharType="begin"/>
        </w:r>
        <w:r w:rsidRPr="00C21460">
          <w:rPr>
            <w:noProof/>
            <w:webHidden/>
          </w:rPr>
          <w:instrText xml:space="preserve"> PAGEREF _Toc126059759 \h </w:instrText>
        </w:r>
        <w:r w:rsidRPr="00C21460">
          <w:rPr>
            <w:noProof/>
            <w:webHidden/>
          </w:rPr>
        </w:r>
        <w:r w:rsidRPr="00C21460">
          <w:rPr>
            <w:noProof/>
            <w:webHidden/>
          </w:rPr>
          <w:fldChar w:fldCharType="separate"/>
        </w:r>
        <w:r w:rsidRPr="00C21460">
          <w:rPr>
            <w:noProof/>
            <w:webHidden/>
          </w:rPr>
          <w:t>68</w:t>
        </w:r>
        <w:r w:rsidRPr="00C21460">
          <w:rPr>
            <w:noProof/>
            <w:webHidden/>
          </w:rPr>
          <w:fldChar w:fldCharType="end"/>
        </w:r>
      </w:hyperlink>
    </w:p>
    <w:p w14:paraId="1525020C" w14:textId="0D8EF937" w:rsidR="00C21460" w:rsidRPr="00C21460" w:rsidRDefault="00C21460">
      <w:pPr>
        <w:pStyle w:val="41"/>
        <w:tabs>
          <w:tab w:val="right" w:leader="dot" w:pos="9346"/>
        </w:tabs>
        <w:rPr>
          <w:rFonts w:eastAsiaTheme="minorEastAsia"/>
          <w:noProof/>
          <w:lang w:eastAsia="ru-RU"/>
        </w:rPr>
      </w:pPr>
      <w:hyperlink w:anchor="_Toc126059760" w:history="1">
        <w:r w:rsidRPr="00C21460">
          <w:rPr>
            <w:rStyle w:val="aa"/>
            <w:noProof/>
          </w:rPr>
          <w:t>4.3.1.3. Рак эндометрия</w:t>
        </w:r>
        <w:r w:rsidRPr="00C21460">
          <w:rPr>
            <w:noProof/>
            <w:webHidden/>
          </w:rPr>
          <w:tab/>
        </w:r>
        <w:r w:rsidRPr="00C21460">
          <w:rPr>
            <w:noProof/>
            <w:webHidden/>
          </w:rPr>
          <w:fldChar w:fldCharType="begin"/>
        </w:r>
        <w:r w:rsidRPr="00C21460">
          <w:rPr>
            <w:noProof/>
            <w:webHidden/>
          </w:rPr>
          <w:instrText xml:space="preserve"> PAGEREF _Toc126059760 \h </w:instrText>
        </w:r>
        <w:r w:rsidRPr="00C21460">
          <w:rPr>
            <w:noProof/>
            <w:webHidden/>
          </w:rPr>
        </w:r>
        <w:r w:rsidRPr="00C21460">
          <w:rPr>
            <w:noProof/>
            <w:webHidden/>
          </w:rPr>
          <w:fldChar w:fldCharType="separate"/>
        </w:r>
        <w:r w:rsidRPr="00C21460">
          <w:rPr>
            <w:noProof/>
            <w:webHidden/>
          </w:rPr>
          <w:t>69</w:t>
        </w:r>
        <w:r w:rsidRPr="00C21460">
          <w:rPr>
            <w:noProof/>
            <w:webHidden/>
          </w:rPr>
          <w:fldChar w:fldCharType="end"/>
        </w:r>
      </w:hyperlink>
    </w:p>
    <w:p w14:paraId="47CC4B38" w14:textId="1C82E626" w:rsidR="00C21460" w:rsidRPr="00C21460" w:rsidRDefault="00C21460">
      <w:pPr>
        <w:pStyle w:val="41"/>
        <w:tabs>
          <w:tab w:val="right" w:leader="dot" w:pos="9346"/>
        </w:tabs>
        <w:rPr>
          <w:rFonts w:eastAsiaTheme="minorEastAsia"/>
          <w:noProof/>
          <w:lang w:eastAsia="ru-RU"/>
        </w:rPr>
      </w:pPr>
      <w:hyperlink w:anchor="_Toc126059761" w:history="1">
        <w:r w:rsidRPr="00C21460">
          <w:rPr>
            <w:rStyle w:val="aa"/>
            <w:noProof/>
          </w:rPr>
          <w:t>4.3.1.4. Почечно-клеточный рак</w:t>
        </w:r>
        <w:r w:rsidRPr="00C21460">
          <w:rPr>
            <w:noProof/>
            <w:webHidden/>
          </w:rPr>
          <w:tab/>
        </w:r>
        <w:r w:rsidRPr="00C21460">
          <w:rPr>
            <w:noProof/>
            <w:webHidden/>
          </w:rPr>
          <w:fldChar w:fldCharType="begin"/>
        </w:r>
        <w:r w:rsidRPr="00C21460">
          <w:rPr>
            <w:noProof/>
            <w:webHidden/>
          </w:rPr>
          <w:instrText xml:space="preserve"> PAGEREF _Toc126059761 \h </w:instrText>
        </w:r>
        <w:r w:rsidRPr="00C21460">
          <w:rPr>
            <w:noProof/>
            <w:webHidden/>
          </w:rPr>
        </w:r>
        <w:r w:rsidRPr="00C21460">
          <w:rPr>
            <w:noProof/>
            <w:webHidden/>
          </w:rPr>
          <w:fldChar w:fldCharType="separate"/>
        </w:r>
        <w:r w:rsidRPr="00C21460">
          <w:rPr>
            <w:noProof/>
            <w:webHidden/>
          </w:rPr>
          <w:t>71</w:t>
        </w:r>
        <w:r w:rsidRPr="00C21460">
          <w:rPr>
            <w:noProof/>
            <w:webHidden/>
          </w:rPr>
          <w:fldChar w:fldCharType="end"/>
        </w:r>
      </w:hyperlink>
    </w:p>
    <w:p w14:paraId="036E7A6A" w14:textId="6CEEE54B" w:rsidR="00C21460" w:rsidRPr="00C21460" w:rsidRDefault="00C21460">
      <w:pPr>
        <w:pStyle w:val="31"/>
        <w:rPr>
          <w:rFonts w:eastAsiaTheme="minorEastAsia"/>
          <w:lang w:eastAsia="ru-RU"/>
        </w:rPr>
      </w:pPr>
      <w:hyperlink w:anchor="_Toc126059762" w:history="1">
        <w:r w:rsidRPr="00C21460">
          <w:rPr>
            <w:rStyle w:val="aa"/>
            <w:lang w:eastAsia="en-US"/>
          </w:rPr>
          <w:t>4.3.2. Клиническая безопасность</w:t>
        </w:r>
        <w:r w:rsidRPr="00C21460">
          <w:rPr>
            <w:webHidden/>
          </w:rPr>
          <w:tab/>
        </w:r>
        <w:r w:rsidRPr="00C21460">
          <w:rPr>
            <w:webHidden/>
          </w:rPr>
          <w:fldChar w:fldCharType="begin"/>
        </w:r>
        <w:r w:rsidRPr="00C21460">
          <w:rPr>
            <w:webHidden/>
          </w:rPr>
          <w:instrText xml:space="preserve"> PAGEREF _Toc126059762 \h </w:instrText>
        </w:r>
        <w:r w:rsidRPr="00C21460">
          <w:rPr>
            <w:webHidden/>
          </w:rPr>
        </w:r>
        <w:r w:rsidRPr="00C21460">
          <w:rPr>
            <w:webHidden/>
          </w:rPr>
          <w:fldChar w:fldCharType="separate"/>
        </w:r>
        <w:r w:rsidRPr="00C21460">
          <w:rPr>
            <w:webHidden/>
          </w:rPr>
          <w:t>73</w:t>
        </w:r>
        <w:r w:rsidRPr="00C21460">
          <w:rPr>
            <w:webHidden/>
          </w:rPr>
          <w:fldChar w:fldCharType="end"/>
        </w:r>
      </w:hyperlink>
    </w:p>
    <w:p w14:paraId="405AEA88" w14:textId="6E031797" w:rsidR="00C21460" w:rsidRPr="00C21460" w:rsidRDefault="00C21460">
      <w:pPr>
        <w:pStyle w:val="31"/>
        <w:rPr>
          <w:rFonts w:eastAsiaTheme="minorEastAsia"/>
          <w:lang w:eastAsia="ru-RU"/>
        </w:rPr>
      </w:pPr>
      <w:hyperlink w:anchor="_Toc126059763" w:history="1">
        <w:r w:rsidRPr="00C21460">
          <w:rPr>
            <w:rStyle w:val="aa"/>
            <w:bCs/>
          </w:rPr>
          <w:t>4.3.2.1. Группоспецифические эффекты</w:t>
        </w:r>
        <w:r w:rsidRPr="00C21460">
          <w:rPr>
            <w:webHidden/>
          </w:rPr>
          <w:tab/>
        </w:r>
        <w:r w:rsidRPr="00C21460">
          <w:rPr>
            <w:webHidden/>
          </w:rPr>
          <w:fldChar w:fldCharType="begin"/>
        </w:r>
        <w:r w:rsidRPr="00C21460">
          <w:rPr>
            <w:webHidden/>
          </w:rPr>
          <w:instrText xml:space="preserve"> PAGEREF _Toc126059763 \h </w:instrText>
        </w:r>
        <w:r w:rsidRPr="00C21460">
          <w:rPr>
            <w:webHidden/>
          </w:rPr>
        </w:r>
        <w:r w:rsidRPr="00C21460">
          <w:rPr>
            <w:webHidden/>
          </w:rPr>
          <w:fldChar w:fldCharType="separate"/>
        </w:r>
        <w:r w:rsidRPr="00C21460">
          <w:rPr>
            <w:webHidden/>
          </w:rPr>
          <w:t>73</w:t>
        </w:r>
        <w:r w:rsidRPr="00C21460">
          <w:rPr>
            <w:webHidden/>
          </w:rPr>
          <w:fldChar w:fldCharType="end"/>
        </w:r>
      </w:hyperlink>
    </w:p>
    <w:p w14:paraId="7AE43BD2" w14:textId="557C4E42" w:rsidR="00C21460" w:rsidRPr="00C21460" w:rsidRDefault="00C21460">
      <w:pPr>
        <w:pStyle w:val="31"/>
        <w:rPr>
          <w:rFonts w:eastAsiaTheme="minorEastAsia"/>
          <w:lang w:eastAsia="ru-RU"/>
        </w:rPr>
      </w:pPr>
      <w:hyperlink w:anchor="_Toc126059764" w:history="1">
        <w:r w:rsidRPr="00C21460">
          <w:rPr>
            <w:rStyle w:val="aa"/>
            <w:bCs/>
          </w:rPr>
          <w:t>4.3.2.2. Препарат-специфичные эффекты</w:t>
        </w:r>
        <w:r w:rsidRPr="00C21460">
          <w:rPr>
            <w:webHidden/>
          </w:rPr>
          <w:tab/>
        </w:r>
        <w:r w:rsidRPr="00C21460">
          <w:rPr>
            <w:webHidden/>
          </w:rPr>
          <w:fldChar w:fldCharType="begin"/>
        </w:r>
        <w:r w:rsidRPr="00C21460">
          <w:rPr>
            <w:webHidden/>
          </w:rPr>
          <w:instrText xml:space="preserve"> PAGEREF _Toc126059764 \h </w:instrText>
        </w:r>
        <w:r w:rsidRPr="00C21460">
          <w:rPr>
            <w:webHidden/>
          </w:rPr>
        </w:r>
        <w:r w:rsidRPr="00C21460">
          <w:rPr>
            <w:webHidden/>
          </w:rPr>
          <w:fldChar w:fldCharType="separate"/>
        </w:r>
        <w:r w:rsidRPr="00C21460">
          <w:rPr>
            <w:webHidden/>
          </w:rPr>
          <w:t>73</w:t>
        </w:r>
        <w:r w:rsidRPr="00C21460">
          <w:rPr>
            <w:webHidden/>
          </w:rPr>
          <w:fldChar w:fldCharType="end"/>
        </w:r>
      </w:hyperlink>
    </w:p>
    <w:p w14:paraId="20D7CE05" w14:textId="2449EE53" w:rsidR="00C21460" w:rsidRPr="00C21460" w:rsidRDefault="00C21460">
      <w:pPr>
        <w:pStyle w:val="31"/>
        <w:rPr>
          <w:rFonts w:eastAsiaTheme="minorEastAsia"/>
          <w:lang w:eastAsia="ru-RU"/>
        </w:rPr>
      </w:pPr>
      <w:hyperlink w:anchor="_Toc126059765" w:history="1">
        <w:r w:rsidRPr="00C21460">
          <w:rPr>
            <w:rStyle w:val="aa"/>
            <w:rFonts w:eastAsia="Times New Roman"/>
            <w:bCs/>
            <w:iCs/>
            <w:lang w:eastAsia="en-US"/>
          </w:rPr>
          <w:t>4.3.3. Пострегистрационный опыт применения</w:t>
        </w:r>
        <w:r w:rsidRPr="00C21460">
          <w:rPr>
            <w:webHidden/>
          </w:rPr>
          <w:tab/>
        </w:r>
        <w:r w:rsidRPr="00C21460">
          <w:rPr>
            <w:webHidden/>
          </w:rPr>
          <w:fldChar w:fldCharType="begin"/>
        </w:r>
        <w:r w:rsidRPr="00C21460">
          <w:rPr>
            <w:webHidden/>
          </w:rPr>
          <w:instrText xml:space="preserve"> PAGEREF _Toc126059765 \h </w:instrText>
        </w:r>
        <w:r w:rsidRPr="00C21460">
          <w:rPr>
            <w:webHidden/>
          </w:rPr>
        </w:r>
        <w:r w:rsidRPr="00C21460">
          <w:rPr>
            <w:webHidden/>
          </w:rPr>
          <w:fldChar w:fldCharType="separate"/>
        </w:r>
        <w:r w:rsidRPr="00C21460">
          <w:rPr>
            <w:webHidden/>
          </w:rPr>
          <w:t>76</w:t>
        </w:r>
        <w:r w:rsidRPr="00C21460">
          <w:rPr>
            <w:webHidden/>
          </w:rPr>
          <w:fldChar w:fldCharType="end"/>
        </w:r>
      </w:hyperlink>
    </w:p>
    <w:p w14:paraId="12074A7E" w14:textId="03A40E37" w:rsidR="00C21460" w:rsidRPr="00C21460" w:rsidRDefault="00C21460">
      <w:pPr>
        <w:pStyle w:val="21"/>
        <w:rPr>
          <w:rFonts w:eastAsiaTheme="minorEastAsia"/>
          <w:noProof/>
          <w:lang w:eastAsia="ru-RU"/>
        </w:rPr>
      </w:pPr>
      <w:hyperlink w:anchor="_Toc126059766" w:history="1">
        <w:r w:rsidRPr="00C21460">
          <w:rPr>
            <w:rStyle w:val="aa"/>
            <w:noProof/>
          </w:rPr>
          <w:t>Список</w:t>
        </w:r>
        <w:r w:rsidRPr="00C21460">
          <w:rPr>
            <w:rStyle w:val="aa"/>
            <w:noProof/>
            <w:lang w:val="en-US"/>
          </w:rPr>
          <w:t xml:space="preserve"> </w:t>
        </w:r>
        <w:r w:rsidRPr="00C21460">
          <w:rPr>
            <w:rStyle w:val="aa"/>
            <w:noProof/>
          </w:rPr>
          <w:t>литературы</w:t>
        </w:r>
        <w:r w:rsidRPr="00C21460">
          <w:rPr>
            <w:noProof/>
            <w:webHidden/>
          </w:rPr>
          <w:tab/>
        </w:r>
        <w:r w:rsidRPr="00C21460">
          <w:rPr>
            <w:noProof/>
            <w:webHidden/>
          </w:rPr>
          <w:fldChar w:fldCharType="begin"/>
        </w:r>
        <w:r w:rsidRPr="00C21460">
          <w:rPr>
            <w:noProof/>
            <w:webHidden/>
          </w:rPr>
          <w:instrText xml:space="preserve"> PAGEREF _Toc126059766 \h </w:instrText>
        </w:r>
        <w:r w:rsidRPr="00C21460">
          <w:rPr>
            <w:noProof/>
            <w:webHidden/>
          </w:rPr>
        </w:r>
        <w:r w:rsidRPr="00C21460">
          <w:rPr>
            <w:noProof/>
            <w:webHidden/>
          </w:rPr>
          <w:fldChar w:fldCharType="separate"/>
        </w:r>
        <w:r w:rsidRPr="00C21460">
          <w:rPr>
            <w:noProof/>
            <w:webHidden/>
          </w:rPr>
          <w:t>76</w:t>
        </w:r>
        <w:r w:rsidRPr="00C21460">
          <w:rPr>
            <w:noProof/>
            <w:webHidden/>
          </w:rPr>
          <w:fldChar w:fldCharType="end"/>
        </w:r>
      </w:hyperlink>
    </w:p>
    <w:p w14:paraId="3CC191D9" w14:textId="2A71B85E" w:rsidR="00C21460" w:rsidRPr="00C21460" w:rsidRDefault="00C21460">
      <w:pPr>
        <w:pStyle w:val="14"/>
        <w:rPr>
          <w:rFonts w:eastAsiaTheme="minorEastAsia"/>
          <w:noProof/>
          <w:lang w:eastAsia="ru-RU"/>
        </w:rPr>
      </w:pPr>
      <w:hyperlink w:anchor="_Toc126059767" w:history="1">
        <w:r w:rsidRPr="00C21460">
          <w:rPr>
            <w:rStyle w:val="aa"/>
            <w:noProof/>
          </w:rPr>
          <w:t>5. ОБСУЖДЕНИЕ ДАННЫХ И ИНСТРУКЦИИ ДЛЯ ИССЛЕДОВАТЕЛЯ</w:t>
        </w:r>
        <w:r w:rsidRPr="00C21460">
          <w:rPr>
            <w:noProof/>
            <w:webHidden/>
          </w:rPr>
          <w:tab/>
        </w:r>
        <w:r w:rsidRPr="00C21460">
          <w:rPr>
            <w:noProof/>
            <w:webHidden/>
          </w:rPr>
          <w:fldChar w:fldCharType="begin"/>
        </w:r>
        <w:r w:rsidRPr="00C21460">
          <w:rPr>
            <w:noProof/>
            <w:webHidden/>
          </w:rPr>
          <w:instrText xml:space="preserve"> PAGEREF _Toc126059767 \h </w:instrText>
        </w:r>
        <w:r w:rsidRPr="00C21460">
          <w:rPr>
            <w:noProof/>
            <w:webHidden/>
          </w:rPr>
        </w:r>
        <w:r w:rsidRPr="00C21460">
          <w:rPr>
            <w:noProof/>
            <w:webHidden/>
          </w:rPr>
          <w:fldChar w:fldCharType="separate"/>
        </w:r>
        <w:r w:rsidRPr="00C21460">
          <w:rPr>
            <w:noProof/>
            <w:webHidden/>
          </w:rPr>
          <w:t>78</w:t>
        </w:r>
        <w:r w:rsidRPr="00C21460">
          <w:rPr>
            <w:noProof/>
            <w:webHidden/>
          </w:rPr>
          <w:fldChar w:fldCharType="end"/>
        </w:r>
      </w:hyperlink>
    </w:p>
    <w:p w14:paraId="69051602" w14:textId="698B3536" w:rsidR="00C21460" w:rsidRPr="00C21460" w:rsidRDefault="00C21460">
      <w:pPr>
        <w:pStyle w:val="21"/>
        <w:rPr>
          <w:rFonts w:eastAsiaTheme="minorEastAsia"/>
          <w:noProof/>
          <w:lang w:eastAsia="ru-RU"/>
        </w:rPr>
      </w:pPr>
      <w:hyperlink w:anchor="_Toc126059768" w:history="1">
        <w:r w:rsidRPr="00C21460">
          <w:rPr>
            <w:rStyle w:val="aa"/>
            <w:noProof/>
          </w:rPr>
          <w:t>5.1. Обсуждение данных доклинических исследований</w:t>
        </w:r>
        <w:r w:rsidRPr="00C21460">
          <w:rPr>
            <w:noProof/>
            <w:webHidden/>
          </w:rPr>
          <w:tab/>
        </w:r>
        <w:r w:rsidRPr="00C21460">
          <w:rPr>
            <w:noProof/>
            <w:webHidden/>
          </w:rPr>
          <w:fldChar w:fldCharType="begin"/>
        </w:r>
        <w:r w:rsidRPr="00C21460">
          <w:rPr>
            <w:noProof/>
            <w:webHidden/>
          </w:rPr>
          <w:instrText xml:space="preserve"> PAGEREF _Toc126059768 \h </w:instrText>
        </w:r>
        <w:r w:rsidRPr="00C21460">
          <w:rPr>
            <w:noProof/>
            <w:webHidden/>
          </w:rPr>
        </w:r>
        <w:r w:rsidRPr="00C21460">
          <w:rPr>
            <w:noProof/>
            <w:webHidden/>
          </w:rPr>
          <w:fldChar w:fldCharType="separate"/>
        </w:r>
        <w:r w:rsidRPr="00C21460">
          <w:rPr>
            <w:noProof/>
            <w:webHidden/>
          </w:rPr>
          <w:t>78</w:t>
        </w:r>
        <w:r w:rsidRPr="00C21460">
          <w:rPr>
            <w:noProof/>
            <w:webHidden/>
          </w:rPr>
          <w:fldChar w:fldCharType="end"/>
        </w:r>
      </w:hyperlink>
    </w:p>
    <w:p w14:paraId="032A4550" w14:textId="1F6556F7" w:rsidR="00C21460" w:rsidRPr="00C21460" w:rsidRDefault="00C21460">
      <w:pPr>
        <w:pStyle w:val="21"/>
        <w:rPr>
          <w:rFonts w:eastAsiaTheme="minorEastAsia"/>
          <w:noProof/>
          <w:lang w:eastAsia="ru-RU"/>
        </w:rPr>
      </w:pPr>
      <w:hyperlink w:anchor="_Toc126059769" w:history="1">
        <w:r w:rsidRPr="00C21460">
          <w:rPr>
            <w:rStyle w:val="aa"/>
            <w:noProof/>
          </w:rPr>
          <w:t>5.2. Обсуждение данных клинических исследований</w:t>
        </w:r>
        <w:r w:rsidRPr="00C21460">
          <w:rPr>
            <w:noProof/>
            <w:webHidden/>
          </w:rPr>
          <w:tab/>
        </w:r>
        <w:r w:rsidRPr="00C21460">
          <w:rPr>
            <w:noProof/>
            <w:webHidden/>
          </w:rPr>
          <w:fldChar w:fldCharType="begin"/>
        </w:r>
        <w:r w:rsidRPr="00C21460">
          <w:rPr>
            <w:noProof/>
            <w:webHidden/>
          </w:rPr>
          <w:instrText xml:space="preserve"> PAGEREF _Toc126059769 \h </w:instrText>
        </w:r>
        <w:r w:rsidRPr="00C21460">
          <w:rPr>
            <w:noProof/>
            <w:webHidden/>
          </w:rPr>
        </w:r>
        <w:r w:rsidRPr="00C21460">
          <w:rPr>
            <w:noProof/>
            <w:webHidden/>
          </w:rPr>
          <w:fldChar w:fldCharType="separate"/>
        </w:r>
        <w:r w:rsidRPr="00C21460">
          <w:rPr>
            <w:noProof/>
            <w:webHidden/>
          </w:rPr>
          <w:t>82</w:t>
        </w:r>
        <w:r w:rsidRPr="00C21460">
          <w:rPr>
            <w:noProof/>
            <w:webHidden/>
          </w:rPr>
          <w:fldChar w:fldCharType="end"/>
        </w:r>
      </w:hyperlink>
    </w:p>
    <w:p w14:paraId="07B1C7D6" w14:textId="4ECEBDC4" w:rsidR="00C21460" w:rsidRPr="00C21460" w:rsidRDefault="00C21460">
      <w:pPr>
        <w:pStyle w:val="21"/>
        <w:rPr>
          <w:rFonts w:eastAsiaTheme="minorEastAsia"/>
          <w:noProof/>
          <w:lang w:eastAsia="ru-RU"/>
        </w:rPr>
      </w:pPr>
      <w:hyperlink w:anchor="_Toc126059770" w:history="1">
        <w:r w:rsidRPr="00C21460">
          <w:rPr>
            <w:rStyle w:val="aa"/>
            <w:noProof/>
          </w:rPr>
          <w:t>5.3. Инструкции для исследователя</w:t>
        </w:r>
        <w:r w:rsidRPr="00C21460">
          <w:rPr>
            <w:noProof/>
            <w:webHidden/>
          </w:rPr>
          <w:tab/>
        </w:r>
        <w:r w:rsidRPr="00C21460">
          <w:rPr>
            <w:noProof/>
            <w:webHidden/>
          </w:rPr>
          <w:fldChar w:fldCharType="begin"/>
        </w:r>
        <w:r w:rsidRPr="00C21460">
          <w:rPr>
            <w:noProof/>
            <w:webHidden/>
          </w:rPr>
          <w:instrText xml:space="preserve"> PAGEREF _Toc126059770 \h </w:instrText>
        </w:r>
        <w:r w:rsidRPr="00C21460">
          <w:rPr>
            <w:noProof/>
            <w:webHidden/>
          </w:rPr>
        </w:r>
        <w:r w:rsidRPr="00C21460">
          <w:rPr>
            <w:noProof/>
            <w:webHidden/>
          </w:rPr>
          <w:fldChar w:fldCharType="separate"/>
        </w:r>
        <w:r w:rsidRPr="00C21460">
          <w:rPr>
            <w:noProof/>
            <w:webHidden/>
          </w:rPr>
          <w:t>91</w:t>
        </w:r>
        <w:r w:rsidRPr="00C21460">
          <w:rPr>
            <w:noProof/>
            <w:webHidden/>
          </w:rPr>
          <w:fldChar w:fldCharType="end"/>
        </w:r>
      </w:hyperlink>
    </w:p>
    <w:p w14:paraId="4A4C11F1" w14:textId="0062A859" w:rsidR="00C21460" w:rsidRPr="00C21460" w:rsidRDefault="00C21460">
      <w:pPr>
        <w:pStyle w:val="31"/>
        <w:rPr>
          <w:rFonts w:eastAsiaTheme="minorEastAsia"/>
          <w:lang w:eastAsia="ru-RU"/>
        </w:rPr>
      </w:pPr>
      <w:hyperlink w:anchor="_Toc126059771" w:history="1">
        <w:r w:rsidRPr="00C21460">
          <w:rPr>
            <w:rStyle w:val="aa"/>
          </w:rPr>
          <w:t>5.3.1. Показания к применению</w:t>
        </w:r>
        <w:r w:rsidRPr="00C21460">
          <w:rPr>
            <w:webHidden/>
          </w:rPr>
          <w:tab/>
        </w:r>
        <w:r w:rsidRPr="00C21460">
          <w:rPr>
            <w:webHidden/>
          </w:rPr>
          <w:fldChar w:fldCharType="begin"/>
        </w:r>
        <w:r w:rsidRPr="00C21460">
          <w:rPr>
            <w:webHidden/>
          </w:rPr>
          <w:instrText xml:space="preserve"> PAGEREF _Toc126059771 \h </w:instrText>
        </w:r>
        <w:r w:rsidRPr="00C21460">
          <w:rPr>
            <w:webHidden/>
          </w:rPr>
        </w:r>
        <w:r w:rsidRPr="00C21460">
          <w:rPr>
            <w:webHidden/>
          </w:rPr>
          <w:fldChar w:fldCharType="separate"/>
        </w:r>
        <w:r w:rsidRPr="00C21460">
          <w:rPr>
            <w:webHidden/>
          </w:rPr>
          <w:t>91</w:t>
        </w:r>
        <w:r w:rsidRPr="00C21460">
          <w:rPr>
            <w:webHidden/>
          </w:rPr>
          <w:fldChar w:fldCharType="end"/>
        </w:r>
      </w:hyperlink>
    </w:p>
    <w:p w14:paraId="63593A08" w14:textId="79EE5C17" w:rsidR="00C21460" w:rsidRPr="00C21460" w:rsidRDefault="00C21460">
      <w:pPr>
        <w:pStyle w:val="31"/>
        <w:rPr>
          <w:rFonts w:eastAsiaTheme="minorEastAsia"/>
          <w:lang w:eastAsia="ru-RU"/>
        </w:rPr>
      </w:pPr>
      <w:hyperlink w:anchor="_Toc126059772" w:history="1">
        <w:r w:rsidRPr="00C21460">
          <w:rPr>
            <w:rStyle w:val="aa"/>
          </w:rPr>
          <w:t>5.3.2. Противопоказания</w:t>
        </w:r>
        <w:r w:rsidRPr="00C21460">
          <w:rPr>
            <w:webHidden/>
          </w:rPr>
          <w:tab/>
        </w:r>
        <w:r w:rsidRPr="00C21460">
          <w:rPr>
            <w:webHidden/>
          </w:rPr>
          <w:fldChar w:fldCharType="begin"/>
        </w:r>
        <w:r w:rsidRPr="00C21460">
          <w:rPr>
            <w:webHidden/>
          </w:rPr>
          <w:instrText xml:space="preserve"> PAGEREF _Toc126059772 \h </w:instrText>
        </w:r>
        <w:r w:rsidRPr="00C21460">
          <w:rPr>
            <w:webHidden/>
          </w:rPr>
        </w:r>
        <w:r w:rsidRPr="00C21460">
          <w:rPr>
            <w:webHidden/>
          </w:rPr>
          <w:fldChar w:fldCharType="separate"/>
        </w:r>
        <w:r w:rsidRPr="00C21460">
          <w:rPr>
            <w:webHidden/>
          </w:rPr>
          <w:t>92</w:t>
        </w:r>
        <w:r w:rsidRPr="00C21460">
          <w:rPr>
            <w:webHidden/>
          </w:rPr>
          <w:fldChar w:fldCharType="end"/>
        </w:r>
      </w:hyperlink>
    </w:p>
    <w:p w14:paraId="7114409C" w14:textId="114616BC" w:rsidR="00C21460" w:rsidRPr="00C21460" w:rsidRDefault="00C21460">
      <w:pPr>
        <w:pStyle w:val="31"/>
        <w:rPr>
          <w:rFonts w:eastAsiaTheme="minorEastAsia"/>
          <w:lang w:eastAsia="ru-RU"/>
        </w:rPr>
      </w:pPr>
      <w:hyperlink w:anchor="_Toc126059773" w:history="1">
        <w:r w:rsidRPr="00C21460">
          <w:rPr>
            <w:rStyle w:val="aa"/>
          </w:rPr>
          <w:t>5.3.3. Применение при беременности и в период грудного вскармливания</w:t>
        </w:r>
        <w:r w:rsidRPr="00C21460">
          <w:rPr>
            <w:webHidden/>
          </w:rPr>
          <w:tab/>
        </w:r>
        <w:r w:rsidRPr="00C21460">
          <w:rPr>
            <w:webHidden/>
          </w:rPr>
          <w:fldChar w:fldCharType="begin"/>
        </w:r>
        <w:r w:rsidRPr="00C21460">
          <w:rPr>
            <w:webHidden/>
          </w:rPr>
          <w:instrText xml:space="preserve"> PAGEREF _Toc126059773 \h </w:instrText>
        </w:r>
        <w:r w:rsidRPr="00C21460">
          <w:rPr>
            <w:webHidden/>
          </w:rPr>
        </w:r>
        <w:r w:rsidRPr="00C21460">
          <w:rPr>
            <w:webHidden/>
          </w:rPr>
          <w:fldChar w:fldCharType="separate"/>
        </w:r>
        <w:r w:rsidRPr="00C21460">
          <w:rPr>
            <w:webHidden/>
          </w:rPr>
          <w:t>92</w:t>
        </w:r>
        <w:r w:rsidRPr="00C21460">
          <w:rPr>
            <w:webHidden/>
          </w:rPr>
          <w:fldChar w:fldCharType="end"/>
        </w:r>
      </w:hyperlink>
    </w:p>
    <w:p w14:paraId="30FF9C9B" w14:textId="3B697CC2" w:rsidR="00C21460" w:rsidRPr="00C21460" w:rsidRDefault="00C21460">
      <w:pPr>
        <w:pStyle w:val="31"/>
        <w:rPr>
          <w:rFonts w:eastAsiaTheme="minorEastAsia"/>
          <w:lang w:eastAsia="ru-RU"/>
        </w:rPr>
      </w:pPr>
      <w:hyperlink w:anchor="_Toc126059774" w:history="1">
        <w:r w:rsidRPr="00C21460">
          <w:rPr>
            <w:rStyle w:val="aa"/>
          </w:rPr>
          <w:t>5.3.4. Способ применения и дозы</w:t>
        </w:r>
        <w:r w:rsidRPr="00C21460">
          <w:rPr>
            <w:webHidden/>
          </w:rPr>
          <w:tab/>
        </w:r>
        <w:r w:rsidRPr="00C21460">
          <w:rPr>
            <w:webHidden/>
          </w:rPr>
          <w:fldChar w:fldCharType="begin"/>
        </w:r>
        <w:r w:rsidRPr="00C21460">
          <w:rPr>
            <w:webHidden/>
          </w:rPr>
          <w:instrText xml:space="preserve"> PAGEREF _Toc126059774 \h </w:instrText>
        </w:r>
        <w:r w:rsidRPr="00C21460">
          <w:rPr>
            <w:webHidden/>
          </w:rPr>
        </w:r>
        <w:r w:rsidRPr="00C21460">
          <w:rPr>
            <w:webHidden/>
          </w:rPr>
          <w:fldChar w:fldCharType="separate"/>
        </w:r>
        <w:r w:rsidRPr="00C21460">
          <w:rPr>
            <w:webHidden/>
          </w:rPr>
          <w:t>92</w:t>
        </w:r>
        <w:r w:rsidRPr="00C21460">
          <w:rPr>
            <w:webHidden/>
          </w:rPr>
          <w:fldChar w:fldCharType="end"/>
        </w:r>
      </w:hyperlink>
    </w:p>
    <w:p w14:paraId="5927AA91" w14:textId="7AC3D8E7" w:rsidR="00C21460" w:rsidRPr="00C21460" w:rsidRDefault="00C21460">
      <w:pPr>
        <w:pStyle w:val="31"/>
        <w:rPr>
          <w:rFonts w:eastAsiaTheme="minorEastAsia"/>
          <w:lang w:eastAsia="ru-RU"/>
        </w:rPr>
      </w:pPr>
      <w:hyperlink w:anchor="_Toc126059775" w:history="1">
        <w:r w:rsidRPr="00C21460">
          <w:rPr>
            <w:rStyle w:val="aa"/>
          </w:rPr>
          <w:t>5.3.5. Побочное действие</w:t>
        </w:r>
        <w:r w:rsidRPr="00C21460">
          <w:rPr>
            <w:webHidden/>
          </w:rPr>
          <w:tab/>
        </w:r>
        <w:r w:rsidRPr="00C21460">
          <w:rPr>
            <w:webHidden/>
          </w:rPr>
          <w:fldChar w:fldCharType="begin"/>
        </w:r>
        <w:r w:rsidRPr="00C21460">
          <w:rPr>
            <w:webHidden/>
          </w:rPr>
          <w:instrText xml:space="preserve"> PAGEREF _Toc126059775 \h </w:instrText>
        </w:r>
        <w:r w:rsidRPr="00C21460">
          <w:rPr>
            <w:webHidden/>
          </w:rPr>
        </w:r>
        <w:r w:rsidRPr="00C21460">
          <w:rPr>
            <w:webHidden/>
          </w:rPr>
          <w:fldChar w:fldCharType="separate"/>
        </w:r>
        <w:r w:rsidRPr="00C21460">
          <w:rPr>
            <w:webHidden/>
          </w:rPr>
          <w:t>99</w:t>
        </w:r>
        <w:r w:rsidRPr="00C21460">
          <w:rPr>
            <w:webHidden/>
          </w:rPr>
          <w:fldChar w:fldCharType="end"/>
        </w:r>
      </w:hyperlink>
    </w:p>
    <w:p w14:paraId="61C768B8" w14:textId="42781FCD" w:rsidR="00C21460" w:rsidRPr="00C21460" w:rsidRDefault="00C21460">
      <w:pPr>
        <w:pStyle w:val="31"/>
        <w:rPr>
          <w:rFonts w:eastAsiaTheme="minorEastAsia"/>
          <w:lang w:eastAsia="ru-RU"/>
        </w:rPr>
      </w:pPr>
      <w:hyperlink w:anchor="_Toc126059776" w:history="1">
        <w:r w:rsidRPr="00C21460">
          <w:rPr>
            <w:rStyle w:val="aa"/>
          </w:rPr>
          <w:t>5.3.6. Передозировка</w:t>
        </w:r>
        <w:r w:rsidRPr="00C21460">
          <w:rPr>
            <w:webHidden/>
          </w:rPr>
          <w:tab/>
        </w:r>
        <w:r w:rsidRPr="00C21460">
          <w:rPr>
            <w:webHidden/>
          </w:rPr>
          <w:fldChar w:fldCharType="begin"/>
        </w:r>
        <w:r w:rsidRPr="00C21460">
          <w:rPr>
            <w:webHidden/>
          </w:rPr>
          <w:instrText xml:space="preserve"> PAGEREF _Toc126059776 \h </w:instrText>
        </w:r>
        <w:r w:rsidRPr="00C21460">
          <w:rPr>
            <w:webHidden/>
          </w:rPr>
        </w:r>
        <w:r w:rsidRPr="00C21460">
          <w:rPr>
            <w:webHidden/>
          </w:rPr>
          <w:fldChar w:fldCharType="separate"/>
        </w:r>
        <w:r w:rsidRPr="00C21460">
          <w:rPr>
            <w:webHidden/>
          </w:rPr>
          <w:t>103</w:t>
        </w:r>
        <w:r w:rsidRPr="00C21460">
          <w:rPr>
            <w:webHidden/>
          </w:rPr>
          <w:fldChar w:fldCharType="end"/>
        </w:r>
      </w:hyperlink>
    </w:p>
    <w:p w14:paraId="3A095833" w14:textId="5DC9704D" w:rsidR="00C21460" w:rsidRPr="00C21460" w:rsidRDefault="00C21460">
      <w:pPr>
        <w:pStyle w:val="31"/>
        <w:rPr>
          <w:rFonts w:eastAsiaTheme="minorEastAsia"/>
          <w:lang w:eastAsia="ru-RU"/>
        </w:rPr>
      </w:pPr>
      <w:hyperlink w:anchor="_Toc126059777" w:history="1">
        <w:r w:rsidRPr="00C21460">
          <w:rPr>
            <w:rStyle w:val="aa"/>
          </w:rPr>
          <w:t xml:space="preserve">5.3.7. </w:t>
        </w:r>
        <w:r w:rsidRPr="00C21460">
          <w:rPr>
            <w:rStyle w:val="aa"/>
            <w:rFonts w:eastAsia="Courier New"/>
            <w:lang w:eastAsia="ru-RU" w:bidi="ru-RU"/>
          </w:rPr>
          <w:t>Взаимодействие с другими лекарственными средствами</w:t>
        </w:r>
        <w:r w:rsidRPr="00C21460">
          <w:rPr>
            <w:webHidden/>
          </w:rPr>
          <w:tab/>
        </w:r>
        <w:r w:rsidRPr="00C21460">
          <w:rPr>
            <w:webHidden/>
          </w:rPr>
          <w:fldChar w:fldCharType="begin"/>
        </w:r>
        <w:r w:rsidRPr="00C21460">
          <w:rPr>
            <w:webHidden/>
          </w:rPr>
          <w:instrText xml:space="preserve"> PAGEREF _Toc126059777 \h </w:instrText>
        </w:r>
        <w:r w:rsidRPr="00C21460">
          <w:rPr>
            <w:webHidden/>
          </w:rPr>
        </w:r>
        <w:r w:rsidRPr="00C21460">
          <w:rPr>
            <w:webHidden/>
          </w:rPr>
          <w:fldChar w:fldCharType="separate"/>
        </w:r>
        <w:r w:rsidRPr="00C21460">
          <w:rPr>
            <w:webHidden/>
          </w:rPr>
          <w:t>104</w:t>
        </w:r>
        <w:r w:rsidRPr="00C21460">
          <w:rPr>
            <w:webHidden/>
          </w:rPr>
          <w:fldChar w:fldCharType="end"/>
        </w:r>
      </w:hyperlink>
    </w:p>
    <w:p w14:paraId="138971F3" w14:textId="73D694F3" w:rsidR="00C21460" w:rsidRPr="00C21460" w:rsidRDefault="00C21460">
      <w:pPr>
        <w:pStyle w:val="31"/>
        <w:rPr>
          <w:rFonts w:eastAsiaTheme="minorEastAsia"/>
          <w:lang w:eastAsia="ru-RU"/>
        </w:rPr>
      </w:pPr>
      <w:hyperlink w:anchor="_Toc126059778" w:history="1">
        <w:r w:rsidRPr="00C21460">
          <w:rPr>
            <w:rStyle w:val="aa"/>
          </w:rPr>
          <w:t xml:space="preserve">5.3.8. </w:t>
        </w:r>
        <w:r w:rsidRPr="00C21460">
          <w:rPr>
            <w:rStyle w:val="aa"/>
            <w:rFonts w:eastAsia="Courier New"/>
            <w:lang w:eastAsia="ru-RU" w:bidi="ru-RU"/>
          </w:rPr>
          <w:t>Особые указания</w:t>
        </w:r>
        <w:r w:rsidRPr="00C21460">
          <w:rPr>
            <w:webHidden/>
          </w:rPr>
          <w:tab/>
        </w:r>
        <w:r w:rsidRPr="00C21460">
          <w:rPr>
            <w:webHidden/>
          </w:rPr>
          <w:fldChar w:fldCharType="begin"/>
        </w:r>
        <w:r w:rsidRPr="00C21460">
          <w:rPr>
            <w:webHidden/>
          </w:rPr>
          <w:instrText xml:space="preserve"> PAGEREF _Toc126059778 \h </w:instrText>
        </w:r>
        <w:r w:rsidRPr="00C21460">
          <w:rPr>
            <w:webHidden/>
          </w:rPr>
        </w:r>
        <w:r w:rsidRPr="00C21460">
          <w:rPr>
            <w:webHidden/>
          </w:rPr>
          <w:fldChar w:fldCharType="separate"/>
        </w:r>
        <w:r w:rsidRPr="00C21460">
          <w:rPr>
            <w:webHidden/>
          </w:rPr>
          <w:t>105</w:t>
        </w:r>
        <w:r w:rsidRPr="00C21460">
          <w:rPr>
            <w:webHidden/>
          </w:rPr>
          <w:fldChar w:fldCharType="end"/>
        </w:r>
      </w:hyperlink>
    </w:p>
    <w:p w14:paraId="1AE52D74" w14:textId="1DF47C3F" w:rsidR="00C21460" w:rsidRPr="00C21460" w:rsidRDefault="00C21460">
      <w:pPr>
        <w:pStyle w:val="31"/>
        <w:rPr>
          <w:rFonts w:eastAsiaTheme="minorEastAsia"/>
          <w:lang w:eastAsia="ru-RU"/>
        </w:rPr>
      </w:pPr>
      <w:hyperlink w:anchor="_Toc126059779" w:history="1">
        <w:r w:rsidRPr="00C21460">
          <w:rPr>
            <w:rStyle w:val="aa"/>
          </w:rPr>
          <w:t>5.3.9 Влияние на способность управлять транспортными средствами и механизмами</w:t>
        </w:r>
        <w:r w:rsidRPr="00C21460">
          <w:rPr>
            <w:webHidden/>
          </w:rPr>
          <w:tab/>
        </w:r>
        <w:r w:rsidRPr="00C21460">
          <w:rPr>
            <w:webHidden/>
          </w:rPr>
          <w:fldChar w:fldCharType="begin"/>
        </w:r>
        <w:r w:rsidRPr="00C21460">
          <w:rPr>
            <w:webHidden/>
          </w:rPr>
          <w:instrText xml:space="preserve"> PAGEREF _Toc126059779 \h </w:instrText>
        </w:r>
        <w:r w:rsidRPr="00C21460">
          <w:rPr>
            <w:webHidden/>
          </w:rPr>
        </w:r>
        <w:r w:rsidRPr="00C21460">
          <w:rPr>
            <w:webHidden/>
          </w:rPr>
          <w:fldChar w:fldCharType="separate"/>
        </w:r>
        <w:r w:rsidRPr="00C21460">
          <w:rPr>
            <w:webHidden/>
          </w:rPr>
          <w:t>109</w:t>
        </w:r>
        <w:r w:rsidRPr="00C21460">
          <w:rPr>
            <w:webHidden/>
          </w:rPr>
          <w:fldChar w:fldCharType="end"/>
        </w:r>
      </w:hyperlink>
    </w:p>
    <w:p w14:paraId="650D7B21" w14:textId="593A165A" w:rsidR="00C21460" w:rsidRDefault="00C21460">
      <w:pPr>
        <w:pStyle w:val="14"/>
        <w:rPr>
          <w:rFonts w:asciiTheme="minorHAnsi" w:eastAsiaTheme="minorEastAsia" w:hAnsiTheme="minorHAnsi" w:cstheme="minorBidi"/>
          <w:noProof/>
          <w:sz w:val="22"/>
          <w:szCs w:val="22"/>
          <w:lang w:eastAsia="ru-RU"/>
        </w:rPr>
      </w:pPr>
      <w:hyperlink w:anchor="_Toc126059780" w:history="1">
        <w:r w:rsidRPr="00C21460">
          <w:rPr>
            <w:rStyle w:val="aa"/>
            <w:noProof/>
          </w:rPr>
          <w:t>6. ЗАКЛЮЧЕНИЕ</w:t>
        </w:r>
        <w:r w:rsidRPr="00C21460">
          <w:rPr>
            <w:noProof/>
            <w:webHidden/>
          </w:rPr>
          <w:tab/>
        </w:r>
        <w:r w:rsidRPr="00C21460">
          <w:rPr>
            <w:noProof/>
            <w:webHidden/>
          </w:rPr>
          <w:fldChar w:fldCharType="begin"/>
        </w:r>
        <w:r w:rsidRPr="00C21460">
          <w:rPr>
            <w:noProof/>
            <w:webHidden/>
          </w:rPr>
          <w:instrText xml:space="preserve"> PAGEREF _Toc126059780 \h </w:instrText>
        </w:r>
        <w:r w:rsidRPr="00C21460">
          <w:rPr>
            <w:noProof/>
            <w:webHidden/>
          </w:rPr>
        </w:r>
        <w:r w:rsidRPr="00C21460">
          <w:rPr>
            <w:noProof/>
            <w:webHidden/>
          </w:rPr>
          <w:fldChar w:fldCharType="separate"/>
        </w:r>
        <w:r w:rsidRPr="00C21460">
          <w:rPr>
            <w:noProof/>
            <w:webHidden/>
          </w:rPr>
          <w:t>109</w:t>
        </w:r>
        <w:r w:rsidRPr="00C21460">
          <w:rPr>
            <w:noProof/>
            <w:webHidden/>
          </w:rPr>
          <w:fldChar w:fldCharType="end"/>
        </w:r>
      </w:hyperlink>
      <w:bookmarkEnd w:id="2"/>
    </w:p>
    <w:p w14:paraId="0C1EBE2C" w14:textId="64A14310" w:rsidR="00856CA4" w:rsidRPr="00094E98" w:rsidRDefault="005C3F89" w:rsidP="00094E98">
      <w:pPr>
        <w:ind w:firstLine="709"/>
        <w:rPr>
          <w:bCs/>
          <w:color w:val="000000" w:themeColor="text1"/>
        </w:rPr>
      </w:pPr>
      <w:r w:rsidRPr="00094E98">
        <w:rPr>
          <w:color w:val="000000" w:themeColor="text1"/>
        </w:rPr>
        <w:fldChar w:fldCharType="end"/>
      </w:r>
    </w:p>
    <w:p w14:paraId="4FA4DE7E" w14:textId="02F85D32" w:rsidR="0014689C" w:rsidRPr="00094E98" w:rsidRDefault="0014689C" w:rsidP="00094E98">
      <w:pPr>
        <w:ind w:firstLine="709"/>
        <w:rPr>
          <w:bCs/>
          <w:color w:val="000000" w:themeColor="text1"/>
        </w:rPr>
      </w:pPr>
    </w:p>
    <w:p w14:paraId="0D1BFD57" w14:textId="32E2A46B" w:rsidR="0014689C" w:rsidRDefault="0014689C">
      <w:pPr>
        <w:ind w:firstLine="709"/>
        <w:rPr>
          <w:bCs/>
          <w:color w:val="000000" w:themeColor="text1"/>
        </w:rPr>
      </w:pPr>
    </w:p>
    <w:p w14:paraId="3BCA6314" w14:textId="2DC7A808" w:rsidR="0014689C" w:rsidRDefault="0014689C">
      <w:pPr>
        <w:ind w:firstLine="709"/>
        <w:rPr>
          <w:bCs/>
          <w:color w:val="000000" w:themeColor="text1"/>
        </w:rPr>
      </w:pPr>
    </w:p>
    <w:p w14:paraId="5F86089B" w14:textId="6B231A7B" w:rsidR="0014689C" w:rsidRDefault="0014689C">
      <w:pPr>
        <w:ind w:firstLine="709"/>
        <w:rPr>
          <w:bCs/>
          <w:color w:val="000000" w:themeColor="text1"/>
        </w:rPr>
      </w:pPr>
    </w:p>
    <w:p w14:paraId="3CBBCDDB" w14:textId="7531CE6B" w:rsidR="0014689C" w:rsidRDefault="0014689C">
      <w:pPr>
        <w:ind w:firstLine="709"/>
        <w:rPr>
          <w:bCs/>
          <w:color w:val="000000" w:themeColor="text1"/>
        </w:rPr>
      </w:pPr>
    </w:p>
    <w:p w14:paraId="12C8DD81" w14:textId="7A53AE7E" w:rsidR="0014689C" w:rsidRDefault="0014689C">
      <w:pPr>
        <w:ind w:firstLine="709"/>
        <w:rPr>
          <w:bCs/>
          <w:color w:val="000000" w:themeColor="text1"/>
        </w:rPr>
      </w:pPr>
    </w:p>
    <w:p w14:paraId="775A07DD" w14:textId="43A487C2" w:rsidR="0014689C" w:rsidRDefault="0014689C">
      <w:pPr>
        <w:ind w:firstLine="709"/>
        <w:rPr>
          <w:bCs/>
          <w:color w:val="000000" w:themeColor="text1"/>
        </w:rPr>
      </w:pPr>
    </w:p>
    <w:p w14:paraId="19F9015C" w14:textId="36F6535B" w:rsidR="0014689C" w:rsidRDefault="0014689C">
      <w:pPr>
        <w:ind w:firstLine="709"/>
        <w:rPr>
          <w:bCs/>
          <w:color w:val="000000" w:themeColor="text1"/>
        </w:rPr>
      </w:pPr>
    </w:p>
    <w:p w14:paraId="22E895BD" w14:textId="33FEE8C5" w:rsidR="0014689C" w:rsidRDefault="0014689C">
      <w:pPr>
        <w:ind w:firstLine="709"/>
        <w:rPr>
          <w:bCs/>
          <w:color w:val="000000" w:themeColor="text1"/>
        </w:rPr>
      </w:pPr>
    </w:p>
    <w:p w14:paraId="5534A6BB" w14:textId="6006EECE" w:rsidR="0014689C" w:rsidRDefault="0014689C">
      <w:pPr>
        <w:ind w:firstLine="709"/>
        <w:rPr>
          <w:bCs/>
          <w:color w:val="000000" w:themeColor="text1"/>
        </w:rPr>
      </w:pPr>
    </w:p>
    <w:p w14:paraId="05044049" w14:textId="4F5DECA1" w:rsidR="0014689C" w:rsidRDefault="0014689C">
      <w:pPr>
        <w:ind w:firstLine="709"/>
        <w:rPr>
          <w:bCs/>
          <w:color w:val="000000" w:themeColor="text1"/>
        </w:rPr>
      </w:pPr>
    </w:p>
    <w:p w14:paraId="614BB8A6" w14:textId="00932188" w:rsidR="0014689C" w:rsidRDefault="0014689C">
      <w:pPr>
        <w:ind w:firstLine="709"/>
        <w:rPr>
          <w:bCs/>
          <w:color w:val="000000" w:themeColor="text1"/>
        </w:rPr>
      </w:pPr>
    </w:p>
    <w:p w14:paraId="277A09B7" w14:textId="69093B0F" w:rsidR="0014689C" w:rsidRDefault="0014689C">
      <w:pPr>
        <w:ind w:firstLine="709"/>
        <w:rPr>
          <w:bCs/>
          <w:color w:val="000000" w:themeColor="text1"/>
        </w:rPr>
      </w:pPr>
    </w:p>
    <w:p w14:paraId="222BA13E" w14:textId="1AC308B8" w:rsidR="0014689C" w:rsidRDefault="0014689C">
      <w:pPr>
        <w:ind w:firstLine="709"/>
        <w:rPr>
          <w:bCs/>
          <w:color w:val="000000" w:themeColor="text1"/>
        </w:rPr>
      </w:pPr>
    </w:p>
    <w:p w14:paraId="47323EBB" w14:textId="4636CF9C" w:rsidR="0014689C" w:rsidRDefault="0014689C">
      <w:pPr>
        <w:ind w:firstLine="709"/>
        <w:rPr>
          <w:bCs/>
          <w:color w:val="000000" w:themeColor="text1"/>
        </w:rPr>
      </w:pPr>
    </w:p>
    <w:p w14:paraId="3FC75B74" w14:textId="2EC2364B" w:rsidR="0014689C" w:rsidRDefault="0014689C">
      <w:pPr>
        <w:ind w:firstLine="709"/>
        <w:rPr>
          <w:bCs/>
          <w:color w:val="000000" w:themeColor="text1"/>
        </w:rPr>
      </w:pPr>
    </w:p>
    <w:p w14:paraId="6BA9ABB7" w14:textId="32D8AB8E" w:rsidR="0014689C" w:rsidRDefault="0014689C">
      <w:pPr>
        <w:ind w:firstLine="709"/>
        <w:rPr>
          <w:bCs/>
          <w:color w:val="000000" w:themeColor="text1"/>
        </w:rPr>
      </w:pPr>
    </w:p>
    <w:p w14:paraId="3D3A406D" w14:textId="407CA5CE" w:rsidR="0014689C" w:rsidRDefault="0014689C">
      <w:pPr>
        <w:ind w:firstLine="709"/>
        <w:rPr>
          <w:bCs/>
          <w:color w:val="000000" w:themeColor="text1"/>
        </w:rPr>
      </w:pPr>
    </w:p>
    <w:p w14:paraId="08F1A28F" w14:textId="0BB9F0B8" w:rsidR="0014689C" w:rsidRDefault="0014689C">
      <w:pPr>
        <w:ind w:firstLine="709"/>
        <w:rPr>
          <w:bCs/>
          <w:color w:val="000000" w:themeColor="text1"/>
        </w:rPr>
      </w:pPr>
    </w:p>
    <w:p w14:paraId="775483E1" w14:textId="59D12FC6" w:rsidR="0014689C" w:rsidRDefault="0014689C">
      <w:pPr>
        <w:ind w:firstLine="709"/>
        <w:rPr>
          <w:bCs/>
          <w:color w:val="000000" w:themeColor="text1"/>
        </w:rPr>
      </w:pPr>
    </w:p>
    <w:p w14:paraId="4922A3B5" w14:textId="5318DD0D" w:rsidR="0014689C" w:rsidRDefault="0014689C">
      <w:pPr>
        <w:ind w:firstLine="709"/>
        <w:rPr>
          <w:bCs/>
          <w:color w:val="000000" w:themeColor="text1"/>
        </w:rPr>
      </w:pPr>
    </w:p>
    <w:p w14:paraId="7BE51E66" w14:textId="455C1F57" w:rsidR="0014689C" w:rsidRDefault="0014689C">
      <w:pPr>
        <w:ind w:firstLine="709"/>
        <w:rPr>
          <w:bCs/>
          <w:color w:val="000000" w:themeColor="text1"/>
        </w:rPr>
      </w:pPr>
    </w:p>
    <w:p w14:paraId="7A2B1EF3" w14:textId="268C09A5" w:rsidR="0014689C" w:rsidRDefault="0014689C">
      <w:pPr>
        <w:ind w:firstLine="709"/>
        <w:rPr>
          <w:bCs/>
          <w:color w:val="000000" w:themeColor="text1"/>
        </w:rPr>
      </w:pPr>
    </w:p>
    <w:p w14:paraId="655AC24D" w14:textId="65DCE920" w:rsidR="000F203D" w:rsidRDefault="000F203D">
      <w:pPr>
        <w:ind w:firstLine="709"/>
        <w:rPr>
          <w:bCs/>
          <w:color w:val="000000" w:themeColor="text1"/>
        </w:rPr>
      </w:pPr>
    </w:p>
    <w:p w14:paraId="66E852B4" w14:textId="79B9BAAC" w:rsidR="000F203D" w:rsidRDefault="000F203D">
      <w:pPr>
        <w:ind w:firstLine="709"/>
        <w:rPr>
          <w:bCs/>
          <w:color w:val="000000" w:themeColor="text1"/>
        </w:rPr>
      </w:pPr>
    </w:p>
    <w:p w14:paraId="653B5F47" w14:textId="31C31E4E" w:rsidR="000F203D" w:rsidRDefault="000F203D">
      <w:pPr>
        <w:ind w:firstLine="709"/>
        <w:rPr>
          <w:bCs/>
          <w:color w:val="000000" w:themeColor="text1"/>
        </w:rPr>
      </w:pPr>
    </w:p>
    <w:p w14:paraId="256E6550" w14:textId="173172C6" w:rsidR="000F203D" w:rsidRDefault="000F203D">
      <w:pPr>
        <w:ind w:firstLine="709"/>
        <w:rPr>
          <w:bCs/>
          <w:color w:val="000000" w:themeColor="text1"/>
        </w:rPr>
      </w:pPr>
    </w:p>
    <w:p w14:paraId="5F0CDF0F" w14:textId="77777777" w:rsidR="000F203D" w:rsidRDefault="000F203D">
      <w:pPr>
        <w:ind w:firstLine="709"/>
        <w:rPr>
          <w:bCs/>
          <w:color w:val="000000" w:themeColor="text1"/>
        </w:rPr>
      </w:pPr>
    </w:p>
    <w:p w14:paraId="36FF42CD" w14:textId="709D1CBD" w:rsidR="0014689C" w:rsidRDefault="0014689C">
      <w:pPr>
        <w:ind w:firstLine="709"/>
        <w:rPr>
          <w:bCs/>
          <w:color w:val="000000" w:themeColor="text1"/>
        </w:rPr>
      </w:pPr>
    </w:p>
    <w:p w14:paraId="56646D41" w14:textId="1C463439" w:rsidR="00DC43E0" w:rsidRDefault="00DC43E0">
      <w:pPr>
        <w:rPr>
          <w:bCs/>
          <w:color w:val="000000" w:themeColor="text1"/>
        </w:rPr>
      </w:pPr>
      <w:r>
        <w:rPr>
          <w:bCs/>
          <w:color w:val="000000" w:themeColor="text1"/>
        </w:rPr>
        <w:br w:type="page"/>
      </w:r>
    </w:p>
    <w:p w14:paraId="0ED712ED" w14:textId="77777777" w:rsidR="0014689C" w:rsidRDefault="0014689C">
      <w:pPr>
        <w:ind w:firstLine="709"/>
        <w:rPr>
          <w:bCs/>
          <w:color w:val="000000" w:themeColor="text1"/>
        </w:rPr>
      </w:pPr>
    </w:p>
    <w:p w14:paraId="100E8E3D" w14:textId="77777777" w:rsidR="0014689C" w:rsidRPr="007A68B5" w:rsidRDefault="0014689C" w:rsidP="0014689C">
      <w:pPr>
        <w:spacing w:after="240"/>
        <w:outlineLvl w:val="0"/>
        <w:rPr>
          <w:b/>
        </w:rPr>
      </w:pPr>
      <w:bookmarkStart w:id="3" w:name="_Toc126059677"/>
      <w:r>
        <w:rPr>
          <w:b/>
        </w:rPr>
        <w:t>ЛИСТ СОГЛАСОВАНИЯ</w:t>
      </w:r>
      <w:bookmarkEnd w:id="3"/>
    </w:p>
    <w:p w14:paraId="0F0DBCE8" w14:textId="4D2362E9" w:rsidR="00257A45" w:rsidRPr="009324E3" w:rsidRDefault="0014689C" w:rsidP="00257A45">
      <w:r w:rsidRPr="009324E3">
        <w:t xml:space="preserve">к версии № 1.0 от </w:t>
      </w:r>
      <w:r w:rsidR="00762053">
        <w:t>30</w:t>
      </w:r>
      <w:r w:rsidR="00AB24FF" w:rsidRPr="009324E3">
        <w:t xml:space="preserve"> </w:t>
      </w:r>
      <w:r w:rsidR="00DC43E0">
        <w:t>января</w:t>
      </w:r>
      <w:r w:rsidRPr="009324E3">
        <w:t xml:space="preserve"> 202</w:t>
      </w:r>
      <w:r w:rsidR="00DC43E0">
        <w:t>3</w:t>
      </w:r>
      <w:r w:rsidRPr="009324E3">
        <w:t xml:space="preserve"> г. </w:t>
      </w:r>
      <w:r w:rsidR="009324E3" w:rsidRPr="009324E3">
        <w:t xml:space="preserve">Брошюры исследователя по препарату </w:t>
      </w:r>
      <w:r w:rsidR="009324E3" w:rsidRPr="009324E3">
        <w:rPr>
          <w:lang w:val="en-US"/>
        </w:rPr>
        <w:t>DT</w:t>
      </w:r>
      <w:r w:rsidR="009324E3" w:rsidRPr="009324E3">
        <w:t>-</w:t>
      </w:r>
      <w:r w:rsidR="009324E3" w:rsidRPr="009324E3">
        <w:rPr>
          <w:lang w:val="en-US"/>
        </w:rPr>
        <w:t>LNV</w:t>
      </w:r>
      <w:r w:rsidR="009324E3" w:rsidRPr="009324E3">
        <w:t xml:space="preserve"> </w:t>
      </w:r>
      <w:r w:rsidR="00257A45" w:rsidRPr="009324E3">
        <w:t xml:space="preserve">(МНН: </w:t>
      </w:r>
      <w:r w:rsidR="00257A45" w:rsidRPr="009324E3">
        <w:rPr>
          <w:bCs/>
        </w:rPr>
        <w:t>ленватиниб)</w:t>
      </w:r>
      <w:r w:rsidR="00257A45" w:rsidRPr="009324E3">
        <w:t>, капсулы 4 мг</w:t>
      </w:r>
      <w:r w:rsidR="009324E3" w:rsidRPr="009324E3">
        <w:t xml:space="preserve"> и</w:t>
      </w:r>
      <w:r w:rsidR="00257A45" w:rsidRPr="009324E3">
        <w:t xml:space="preserve"> 10 мг (производитель: АО «Р-Фарм», Россия), являющегося воспроизведенным препаратом по отношению к оригинальному препарату Ленвима</w:t>
      </w:r>
      <w:r w:rsidR="00257A45" w:rsidRPr="009324E3">
        <w:rPr>
          <w:vertAlign w:val="superscript"/>
        </w:rPr>
        <w:t>®</w:t>
      </w:r>
      <w:r w:rsidR="00257A45" w:rsidRPr="009324E3">
        <w:t xml:space="preserve"> (МНН: </w:t>
      </w:r>
      <w:r w:rsidR="00257A45" w:rsidRPr="009324E3">
        <w:rPr>
          <w:bCs/>
        </w:rPr>
        <w:t>ленватиниб</w:t>
      </w:r>
      <w:r w:rsidR="00257A45" w:rsidRPr="009324E3">
        <w:t>), капсулы 4 мг</w:t>
      </w:r>
      <w:r w:rsidR="009324E3" w:rsidRPr="009324E3">
        <w:t xml:space="preserve"> и </w:t>
      </w:r>
      <w:r w:rsidR="00257A45" w:rsidRPr="009324E3">
        <w:t>10 мг (</w:t>
      </w:r>
      <w:r w:rsidR="00257A45" w:rsidRPr="009324E3">
        <w:rPr>
          <w:rFonts w:eastAsia="Calibri"/>
          <w:bCs/>
        </w:rPr>
        <w:t>владелец РУ: Эйсай Юроп Лимитед, Соединенное Королевство</w:t>
      </w:r>
      <w:r w:rsidR="00257A45" w:rsidRPr="009324E3">
        <w:t>).</w:t>
      </w:r>
    </w:p>
    <w:p w14:paraId="1D14BC31" w14:textId="77777777" w:rsidR="00257A45" w:rsidRPr="004B41F8" w:rsidRDefault="00257A45" w:rsidP="00257A45">
      <w:pPr>
        <w:rPr>
          <w:b/>
          <w:color w:val="FF0000"/>
        </w:rPr>
      </w:pPr>
    </w:p>
    <w:p w14:paraId="639B5634" w14:textId="1D4E555B" w:rsidR="004B41F8" w:rsidRPr="00624215" w:rsidRDefault="0014689C" w:rsidP="00624215">
      <w:pPr>
        <w:pStyle w:val="OT"/>
        <w:spacing w:after="0"/>
        <w:rPr>
          <w:sz w:val="24"/>
          <w:szCs w:val="24"/>
        </w:rPr>
      </w:pPr>
      <w:r w:rsidRPr="00624215">
        <w:rPr>
          <w:b/>
          <w:sz w:val="24"/>
          <w:szCs w:val="24"/>
        </w:rPr>
        <w:t>Заявляемые показания:</w:t>
      </w:r>
      <w:r w:rsidRPr="00624215">
        <w:rPr>
          <w:sz w:val="24"/>
          <w:szCs w:val="24"/>
        </w:rPr>
        <w:t xml:space="preserve"> </w:t>
      </w:r>
    </w:p>
    <w:p w14:paraId="2E39AA22" w14:textId="77777777" w:rsidR="00624215" w:rsidRPr="00624215" w:rsidRDefault="00624215" w:rsidP="00624215">
      <w:pPr>
        <w:pStyle w:val="af3"/>
        <w:numPr>
          <w:ilvl w:val="0"/>
          <w:numId w:val="40"/>
        </w:numPr>
        <w:rPr>
          <w:b/>
          <w:bCs/>
          <w:noProof/>
          <w:sz w:val="22"/>
          <w:szCs w:val="22"/>
        </w:rPr>
      </w:pPr>
      <w:r w:rsidRPr="00624215">
        <w:rPr>
          <w:b/>
          <w:bCs/>
          <w:noProof/>
          <w:sz w:val="22"/>
          <w:szCs w:val="22"/>
        </w:rPr>
        <w:t>Дифференцированный рак щитовидной железы</w:t>
      </w:r>
    </w:p>
    <w:p w14:paraId="7540B7B6" w14:textId="6F5C54DE" w:rsidR="00624215" w:rsidRPr="00624215" w:rsidRDefault="00624215" w:rsidP="00624215">
      <w:pPr>
        <w:ind w:firstLine="360"/>
        <w:rPr>
          <w:noProof/>
          <w:sz w:val="22"/>
          <w:szCs w:val="22"/>
        </w:rPr>
      </w:pPr>
      <w:r w:rsidRPr="00624215">
        <w:rPr>
          <w:noProof/>
          <w:sz w:val="22"/>
          <w:szCs w:val="22"/>
        </w:rPr>
        <w:t>Л</w:t>
      </w:r>
      <w:r w:rsidRPr="00624215">
        <w:rPr>
          <w:sz w:val="22"/>
          <w:szCs w:val="22"/>
        </w:rPr>
        <w:t xml:space="preserve">енватиниб </w:t>
      </w:r>
      <w:r w:rsidRPr="00624215">
        <w:rPr>
          <w:noProof/>
          <w:sz w:val="22"/>
          <w:szCs w:val="22"/>
        </w:rPr>
        <w:t xml:space="preserve">показан к применению в монотерапии у взрослых пациентов с прогрессирующим местно-распространенным или метастатическим дифференцированным (папиллярным, фолликулярным, из клеток Гюртле) </w:t>
      </w:r>
      <w:r w:rsidR="00456CD5">
        <w:rPr>
          <w:noProof/>
          <w:sz w:val="22"/>
          <w:szCs w:val="22"/>
        </w:rPr>
        <w:t>раком щитовидной железы</w:t>
      </w:r>
      <w:r w:rsidRPr="00624215">
        <w:rPr>
          <w:noProof/>
          <w:sz w:val="22"/>
          <w:szCs w:val="22"/>
        </w:rPr>
        <w:t>, рефрактерным к терапии радиоактивным йодом.</w:t>
      </w:r>
    </w:p>
    <w:p w14:paraId="4ED4A765" w14:textId="77777777" w:rsidR="00624215" w:rsidRPr="00624215" w:rsidRDefault="00624215" w:rsidP="00624215">
      <w:pPr>
        <w:pStyle w:val="af3"/>
        <w:numPr>
          <w:ilvl w:val="0"/>
          <w:numId w:val="40"/>
        </w:numPr>
        <w:rPr>
          <w:b/>
          <w:bCs/>
          <w:noProof/>
          <w:sz w:val="22"/>
          <w:szCs w:val="22"/>
        </w:rPr>
      </w:pPr>
      <w:r w:rsidRPr="00624215">
        <w:rPr>
          <w:b/>
          <w:bCs/>
          <w:noProof/>
          <w:sz w:val="22"/>
          <w:szCs w:val="22"/>
        </w:rPr>
        <w:t>Гепатоцеллюлярный рак</w:t>
      </w:r>
    </w:p>
    <w:p w14:paraId="4F26A548" w14:textId="312A694A" w:rsidR="00624215" w:rsidRPr="00624215" w:rsidRDefault="00624215" w:rsidP="00624215">
      <w:pPr>
        <w:ind w:firstLine="360"/>
        <w:rPr>
          <w:noProof/>
          <w:sz w:val="22"/>
          <w:szCs w:val="22"/>
        </w:rPr>
      </w:pPr>
      <w:r w:rsidRPr="00624215">
        <w:rPr>
          <w:noProof/>
          <w:sz w:val="22"/>
          <w:szCs w:val="22"/>
        </w:rPr>
        <w:t>Л</w:t>
      </w:r>
      <w:r w:rsidRPr="00624215">
        <w:rPr>
          <w:sz w:val="22"/>
          <w:szCs w:val="22"/>
        </w:rPr>
        <w:t xml:space="preserve">енватиниб </w:t>
      </w:r>
      <w:r w:rsidRPr="00624215">
        <w:rPr>
          <w:noProof/>
          <w:sz w:val="22"/>
          <w:szCs w:val="22"/>
        </w:rPr>
        <w:t xml:space="preserve">показан к применению в монотерапии у взросльгх пациентов с прогрессирующим или неоперабельным </w:t>
      </w:r>
      <w:r w:rsidR="00456CD5">
        <w:rPr>
          <w:noProof/>
          <w:sz w:val="22"/>
          <w:szCs w:val="22"/>
        </w:rPr>
        <w:t>гепатоцеллюлярным раком</w:t>
      </w:r>
      <w:r w:rsidRPr="00624215">
        <w:rPr>
          <w:noProof/>
          <w:sz w:val="22"/>
          <w:szCs w:val="22"/>
        </w:rPr>
        <w:t>, ранее не получавших системной терапии.</w:t>
      </w:r>
    </w:p>
    <w:p w14:paraId="189FA1F6" w14:textId="77777777" w:rsidR="00624215" w:rsidRPr="00624215" w:rsidRDefault="00624215" w:rsidP="00624215">
      <w:pPr>
        <w:pStyle w:val="af3"/>
        <w:numPr>
          <w:ilvl w:val="0"/>
          <w:numId w:val="40"/>
        </w:numPr>
        <w:rPr>
          <w:b/>
          <w:bCs/>
          <w:noProof/>
          <w:sz w:val="22"/>
          <w:szCs w:val="22"/>
        </w:rPr>
      </w:pPr>
      <w:r w:rsidRPr="00624215">
        <w:rPr>
          <w:b/>
          <w:bCs/>
          <w:noProof/>
          <w:sz w:val="22"/>
          <w:szCs w:val="22"/>
        </w:rPr>
        <w:t>Почечно-клеточный рак</w:t>
      </w:r>
    </w:p>
    <w:p w14:paraId="3F1515F0" w14:textId="1E91F3BE" w:rsidR="00624215" w:rsidRPr="00624215" w:rsidRDefault="00624215" w:rsidP="00624215">
      <w:pPr>
        <w:ind w:firstLine="360"/>
        <w:rPr>
          <w:noProof/>
          <w:sz w:val="22"/>
          <w:szCs w:val="22"/>
        </w:rPr>
      </w:pPr>
      <w:r w:rsidRPr="00624215">
        <w:rPr>
          <w:noProof/>
          <w:sz w:val="22"/>
          <w:szCs w:val="22"/>
        </w:rPr>
        <w:t>Л</w:t>
      </w:r>
      <w:r w:rsidRPr="00624215">
        <w:rPr>
          <w:sz w:val="22"/>
          <w:szCs w:val="22"/>
        </w:rPr>
        <w:t xml:space="preserve">енватиниб </w:t>
      </w:r>
      <w:r w:rsidRPr="00624215">
        <w:rPr>
          <w:noProof/>
          <w:sz w:val="22"/>
          <w:szCs w:val="22"/>
        </w:rPr>
        <w:t>показан к применению в комбинации с пембролизумабом в качестве</w:t>
      </w:r>
      <w:r w:rsidR="00087A74">
        <w:rPr>
          <w:noProof/>
          <w:sz w:val="22"/>
          <w:szCs w:val="22"/>
        </w:rPr>
        <w:t xml:space="preserve"> </w:t>
      </w:r>
      <w:r w:rsidRPr="00624215">
        <w:rPr>
          <w:noProof/>
          <w:sz w:val="22"/>
          <w:szCs w:val="22"/>
        </w:rPr>
        <w:t xml:space="preserve">1-й линии терапии у взрослых пациентов с распространенным </w:t>
      </w:r>
      <w:r w:rsidR="00456CD5">
        <w:rPr>
          <w:noProof/>
          <w:sz w:val="22"/>
          <w:szCs w:val="22"/>
        </w:rPr>
        <w:t>почечно-клеточным раком (ПКР)</w:t>
      </w:r>
      <w:r w:rsidRPr="00624215">
        <w:rPr>
          <w:noProof/>
          <w:sz w:val="22"/>
          <w:szCs w:val="22"/>
        </w:rPr>
        <w:t xml:space="preserve">. </w:t>
      </w:r>
      <w:r w:rsidR="00456CD5">
        <w:rPr>
          <w:noProof/>
          <w:sz w:val="22"/>
          <w:szCs w:val="22"/>
        </w:rPr>
        <w:t>Ленватиниб</w:t>
      </w:r>
      <w:r w:rsidRPr="00624215">
        <w:rPr>
          <w:noProof/>
          <w:sz w:val="22"/>
          <w:szCs w:val="22"/>
        </w:rPr>
        <w:t xml:space="preserve"> показан к применению в комбинации с эверолимусом у взрослых пациентов с распространенным ПКР, после одного предшествующего курса таргетной терапии ингибиторами рецепторов фактора роста эндотелия сосудов.</w:t>
      </w:r>
    </w:p>
    <w:p w14:paraId="26F75B2D" w14:textId="77777777" w:rsidR="00624215" w:rsidRPr="00624215" w:rsidRDefault="00624215" w:rsidP="00624215">
      <w:pPr>
        <w:pStyle w:val="af3"/>
        <w:numPr>
          <w:ilvl w:val="0"/>
          <w:numId w:val="40"/>
        </w:numPr>
        <w:rPr>
          <w:b/>
          <w:bCs/>
          <w:noProof/>
          <w:sz w:val="22"/>
          <w:szCs w:val="22"/>
        </w:rPr>
      </w:pPr>
      <w:r w:rsidRPr="00624215">
        <w:rPr>
          <w:b/>
          <w:bCs/>
          <w:noProof/>
          <w:sz w:val="22"/>
          <w:szCs w:val="22"/>
        </w:rPr>
        <w:t>Рак эндометрия</w:t>
      </w:r>
    </w:p>
    <w:p w14:paraId="20EBBB19" w14:textId="274C5ECB" w:rsidR="00624215" w:rsidRPr="00624215" w:rsidRDefault="00D5370A" w:rsidP="00624215">
      <w:pPr>
        <w:pStyle w:val="OT"/>
        <w:spacing w:after="0"/>
        <w:ind w:firstLine="360"/>
        <w:rPr>
          <w:noProof/>
          <w:szCs w:val="22"/>
        </w:rPr>
      </w:pPr>
      <w:r>
        <w:rPr>
          <w:noProof/>
          <w:szCs w:val="22"/>
        </w:rPr>
        <w:t>Л</w:t>
      </w:r>
      <w:r w:rsidR="00624215" w:rsidRPr="00624215">
        <w:rPr>
          <w:szCs w:val="22"/>
        </w:rPr>
        <w:t xml:space="preserve">енватиниб </w:t>
      </w:r>
      <w:r w:rsidR="00624215" w:rsidRPr="00624215">
        <w:rPr>
          <w:noProof/>
          <w:szCs w:val="22"/>
        </w:rPr>
        <w:t xml:space="preserve">показан к применению в комбинации с пембролизумабом у взрослых пациентов с распространенным раком эндометрия в случае отсутствия высокой микросателлитной нестабильности (MSI-H) или нарушений системы репарации </w:t>
      </w:r>
      <w:r w:rsidR="00624215" w:rsidRPr="00624215">
        <w:rPr>
          <w:rFonts w:eastAsiaTheme="minorEastAsia"/>
          <w:szCs w:val="22"/>
        </w:rPr>
        <w:t>дезоксирибонуклеиновой кислоты</w:t>
      </w:r>
      <w:r w:rsidR="00624215" w:rsidRPr="00624215">
        <w:rPr>
          <w:noProof/>
          <w:szCs w:val="22"/>
        </w:rPr>
        <w:t xml:space="preserve"> (ДНК) (dMMR) с прогрессированием заболевания после предшествующей системной терапии в любом режиме, которым не показано хирургическое лечение или лучевая терапия.</w:t>
      </w:r>
    </w:p>
    <w:p w14:paraId="42F74E94" w14:textId="77777777" w:rsidR="00624215" w:rsidRPr="00624215" w:rsidRDefault="00624215" w:rsidP="00624215">
      <w:pPr>
        <w:pStyle w:val="OT"/>
        <w:spacing w:after="0"/>
        <w:rPr>
          <w:sz w:val="24"/>
          <w:szCs w:val="24"/>
        </w:rPr>
      </w:pPr>
    </w:p>
    <w:p w14:paraId="4B1CF4AC" w14:textId="18E6A6D7" w:rsidR="0014689C" w:rsidRPr="004B41F8" w:rsidRDefault="0014689C" w:rsidP="00624215">
      <w:pPr>
        <w:pStyle w:val="OT"/>
        <w:spacing w:after="0"/>
        <w:ind w:firstLine="709"/>
        <w:rPr>
          <w:sz w:val="24"/>
          <w:szCs w:val="24"/>
        </w:rPr>
      </w:pPr>
      <w:r w:rsidRPr="00624215">
        <w:rPr>
          <w:sz w:val="24"/>
          <w:szCs w:val="24"/>
        </w:rPr>
        <w:t>Я, нижеподписавшийся, одобряю Брошюру исследователя и гарантирую, что, ознакомившись с ней, Исследователь получит исчерпывающую, объективную</w:t>
      </w:r>
      <w:r w:rsidRPr="004B41F8">
        <w:rPr>
          <w:sz w:val="24"/>
          <w:szCs w:val="24"/>
        </w:rPr>
        <w:t xml:space="preserve">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8202894" w14:textId="68666593" w:rsidR="0014689C" w:rsidRDefault="0014689C" w:rsidP="001E5A97">
      <w:pPr>
        <w:pStyle w:val="OT"/>
        <w:spacing w:after="0"/>
        <w:ind w:firstLine="709"/>
      </w:pPr>
      <w:r w:rsidRPr="004B41F8">
        <w:rPr>
          <w:sz w:val="24"/>
          <w:szCs w:val="24"/>
        </w:rPr>
        <w:t xml:space="preserve">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w:t>
      </w:r>
      <w:r w:rsidR="001E5A97">
        <w:rPr>
          <w:sz w:val="24"/>
          <w:szCs w:val="24"/>
        </w:rPr>
        <w:t>сотрудниками компании-Спонсора.</w:t>
      </w:r>
      <w:r w:rsidRPr="00347876">
        <w:t xml:space="preserve"> </w:t>
      </w:r>
    </w:p>
    <w:p w14:paraId="3B53A666" w14:textId="77777777" w:rsidR="00762053" w:rsidRDefault="00762053" w:rsidP="001E5A97">
      <w:pPr>
        <w:pStyle w:val="OT"/>
        <w:spacing w:after="0"/>
        <w:ind w:firstLine="709"/>
      </w:pPr>
    </w:p>
    <w:tbl>
      <w:tblPr>
        <w:tblW w:w="9640" w:type="dxa"/>
        <w:tblInd w:w="-142" w:type="dxa"/>
        <w:tblLook w:val="04A0" w:firstRow="1" w:lastRow="0" w:firstColumn="1" w:lastColumn="0" w:noHBand="0" w:noVBand="1"/>
      </w:tblPr>
      <w:tblGrid>
        <w:gridCol w:w="5103"/>
        <w:gridCol w:w="4537"/>
      </w:tblGrid>
      <w:tr w:rsidR="00762053" w:rsidRPr="00707D60" w14:paraId="55271268" w14:textId="77777777" w:rsidTr="00762053">
        <w:tc>
          <w:tcPr>
            <w:tcW w:w="5103" w:type="dxa"/>
          </w:tcPr>
          <w:p w14:paraId="729C906F" w14:textId="77777777" w:rsidR="00762053" w:rsidRDefault="00762053" w:rsidP="00762053">
            <w:pPr>
              <w:rPr>
                <w:b/>
                <w:lang w:eastAsia="ru-RU"/>
              </w:rPr>
            </w:pPr>
            <w:r>
              <w:rPr>
                <w:b/>
                <w:lang w:eastAsia="ru-RU"/>
              </w:rPr>
              <w:t>Представитель Спонсора:</w:t>
            </w:r>
          </w:p>
          <w:p w14:paraId="7B5DED0E" w14:textId="77777777" w:rsidR="00762053" w:rsidRDefault="00762053" w:rsidP="00762053">
            <w:pPr>
              <w:rPr>
                <w:lang w:eastAsia="ru-RU"/>
              </w:rPr>
            </w:pPr>
            <w:r>
              <w:rPr>
                <w:lang w:eastAsia="ru-RU"/>
              </w:rPr>
              <w:t>Филон Ольга Владимировна</w:t>
            </w:r>
          </w:p>
          <w:p w14:paraId="5D5C204E" w14:textId="77777777" w:rsidR="00762053" w:rsidRDefault="00762053" w:rsidP="00762053">
            <w:pPr>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325031AB" w14:textId="77777777" w:rsidR="00762053" w:rsidRPr="00707D60" w:rsidRDefault="00762053" w:rsidP="00762053">
            <w:pPr>
              <w:ind w:left="-108"/>
              <w:rPr>
                <w:b/>
                <w:vertAlign w:val="superscript"/>
                <w:lang w:eastAsia="ru-RU"/>
              </w:rPr>
            </w:pPr>
          </w:p>
        </w:tc>
        <w:tc>
          <w:tcPr>
            <w:tcW w:w="4537" w:type="dxa"/>
          </w:tcPr>
          <w:p w14:paraId="498E4516" w14:textId="77777777" w:rsidR="00762053" w:rsidRDefault="00762053" w:rsidP="00762053">
            <w:pPr>
              <w:rPr>
                <w:lang w:eastAsia="ru-RU"/>
              </w:rPr>
            </w:pPr>
          </w:p>
          <w:p w14:paraId="71FD4045" w14:textId="77777777" w:rsidR="00762053" w:rsidRDefault="00762053" w:rsidP="00762053">
            <w:pPr>
              <w:jc w:val="center"/>
              <w:rPr>
                <w:lang w:eastAsia="ru-RU"/>
              </w:rPr>
            </w:pPr>
          </w:p>
          <w:p w14:paraId="1B978AC2" w14:textId="77777777" w:rsidR="00762053" w:rsidRDefault="00762053" w:rsidP="00762053">
            <w:pPr>
              <w:jc w:val="center"/>
              <w:rPr>
                <w:lang w:eastAsia="ru-RU"/>
              </w:rPr>
            </w:pPr>
            <w:r>
              <w:rPr>
                <w:lang w:eastAsia="ru-RU"/>
              </w:rPr>
              <w:t>______________________________</w:t>
            </w:r>
          </w:p>
          <w:p w14:paraId="1FB2F957" w14:textId="77777777" w:rsidR="00762053" w:rsidRDefault="00762053" w:rsidP="00762053">
            <w:pPr>
              <w:jc w:val="center"/>
              <w:rPr>
                <w:vertAlign w:val="superscript"/>
                <w:lang w:eastAsia="ru-RU"/>
              </w:rPr>
            </w:pPr>
            <w:r>
              <w:rPr>
                <w:vertAlign w:val="superscript"/>
                <w:lang w:eastAsia="ru-RU"/>
              </w:rPr>
              <w:t>Подпись</w:t>
            </w:r>
          </w:p>
          <w:p w14:paraId="30142F4F" w14:textId="77777777" w:rsidR="00762053" w:rsidRDefault="00762053" w:rsidP="00762053">
            <w:pPr>
              <w:jc w:val="center"/>
              <w:rPr>
                <w:lang w:eastAsia="ru-RU"/>
              </w:rPr>
            </w:pPr>
            <w:r>
              <w:rPr>
                <w:lang w:eastAsia="ru-RU"/>
              </w:rPr>
              <w:t>______________________________</w:t>
            </w:r>
          </w:p>
          <w:p w14:paraId="1167C617" w14:textId="77777777" w:rsidR="00762053" w:rsidRPr="00707D60" w:rsidRDefault="00762053" w:rsidP="00762053">
            <w:pPr>
              <w:jc w:val="center"/>
              <w:rPr>
                <w:sz w:val="20"/>
                <w:szCs w:val="20"/>
                <w:lang w:eastAsia="ru-RU"/>
              </w:rPr>
            </w:pPr>
            <w:r>
              <w:rPr>
                <w:vertAlign w:val="superscript"/>
                <w:lang w:eastAsia="ru-RU"/>
              </w:rPr>
              <w:t>Дата</w:t>
            </w:r>
          </w:p>
        </w:tc>
      </w:tr>
    </w:tbl>
    <w:p w14:paraId="5B331A24" w14:textId="31627366" w:rsidR="00E34F04" w:rsidRDefault="00762053" w:rsidP="00762053">
      <w:pPr>
        <w:jc w:val="left"/>
        <w:rPr>
          <w:color w:val="000000" w:themeColor="text1"/>
        </w:rPr>
      </w:pPr>
      <w:r w:rsidRPr="00707D60">
        <w:rPr>
          <w:color w:val="000000" w:themeColor="text1"/>
        </w:rPr>
        <w:br w:type="page"/>
      </w:r>
    </w:p>
    <w:p w14:paraId="517E0E80" w14:textId="77777777" w:rsidR="00762053" w:rsidRPr="00DB25F1" w:rsidRDefault="00762053" w:rsidP="00762053">
      <w:pPr>
        <w:rPr>
          <w:color w:val="000000" w:themeColor="text1"/>
        </w:rPr>
        <w:sectPr w:rsidR="00762053" w:rsidRPr="00DB25F1"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1A059A2C" w14:textId="23B83166" w:rsidR="000139E5" w:rsidRDefault="000139E5" w:rsidP="009324E3">
      <w:pPr>
        <w:pStyle w:val="12"/>
        <w:spacing w:before="0" w:line="240" w:lineRule="auto"/>
        <w:rPr>
          <w:rFonts w:cs="Times New Roman"/>
          <w:color w:val="000000" w:themeColor="text1"/>
        </w:rPr>
      </w:pPr>
      <w:bookmarkStart w:id="4" w:name="_Toc99740759"/>
      <w:bookmarkStart w:id="5" w:name="_Toc395011854"/>
      <w:bookmarkStart w:id="6" w:name="_Toc126059678"/>
      <w:r w:rsidRPr="005E6358">
        <w:rPr>
          <w:rFonts w:cs="Times New Roman"/>
          <w:color w:val="000000" w:themeColor="text1"/>
        </w:rPr>
        <w:lastRenderedPageBreak/>
        <w:t>СПИСОК СОКРАЩЕНИЙ</w:t>
      </w:r>
      <w:bookmarkEnd w:id="4"/>
      <w:bookmarkEnd w:id="6"/>
    </w:p>
    <w:tbl>
      <w:tblPr>
        <w:tblStyle w:val="a8"/>
        <w:tblW w:w="0" w:type="auto"/>
        <w:tblLook w:val="04A0" w:firstRow="1" w:lastRow="0" w:firstColumn="1" w:lastColumn="0" w:noHBand="0" w:noVBand="1"/>
      </w:tblPr>
      <w:tblGrid>
        <w:gridCol w:w="1956"/>
        <w:gridCol w:w="7389"/>
      </w:tblGrid>
      <w:tr w:rsidR="0078396C" w:rsidRPr="00A032E6" w14:paraId="65CEF4F7" w14:textId="77777777" w:rsidTr="0051021C">
        <w:trPr>
          <w:trHeight w:val="20"/>
        </w:trPr>
        <w:tc>
          <w:tcPr>
            <w:tcW w:w="1956" w:type="dxa"/>
            <w:vAlign w:val="center"/>
          </w:tcPr>
          <w:p w14:paraId="11FACEF9" w14:textId="77777777" w:rsidR="0078396C" w:rsidRPr="00A032E6" w:rsidRDefault="0078396C" w:rsidP="00A85019">
            <w:pPr>
              <w:pStyle w:val="afff8"/>
              <w:rPr>
                <w:rFonts w:eastAsiaTheme="minorEastAsia"/>
                <w:sz w:val="24"/>
              </w:rPr>
            </w:pPr>
            <w:r w:rsidRPr="00A032E6">
              <w:rPr>
                <w:rFonts w:eastAsiaTheme="minorEastAsia"/>
                <w:sz w:val="24"/>
              </w:rPr>
              <w:t>AUC</w:t>
            </w:r>
          </w:p>
        </w:tc>
        <w:tc>
          <w:tcPr>
            <w:tcW w:w="7389" w:type="dxa"/>
            <w:vAlign w:val="center"/>
          </w:tcPr>
          <w:p w14:paraId="5DE2EDF0" w14:textId="77777777" w:rsidR="0078396C" w:rsidRPr="00A032E6" w:rsidRDefault="0078396C" w:rsidP="00A85019">
            <w:pPr>
              <w:pStyle w:val="afff8"/>
              <w:rPr>
                <w:rFonts w:eastAsiaTheme="minorEastAsia"/>
                <w:sz w:val="24"/>
              </w:rPr>
            </w:pPr>
            <w:r w:rsidRPr="00A032E6">
              <w:rPr>
                <w:rFonts w:eastAsiaTheme="minorEastAsia"/>
                <w:sz w:val="24"/>
              </w:rPr>
              <w:t>Площадь под кривой зависимости концентрации от времени</w:t>
            </w:r>
          </w:p>
        </w:tc>
      </w:tr>
      <w:tr w:rsidR="0078396C" w:rsidRPr="00A032E6" w14:paraId="1F18A6C9" w14:textId="77777777" w:rsidTr="0051021C">
        <w:trPr>
          <w:trHeight w:val="20"/>
        </w:trPr>
        <w:tc>
          <w:tcPr>
            <w:tcW w:w="1956" w:type="dxa"/>
            <w:vAlign w:val="center"/>
          </w:tcPr>
          <w:p w14:paraId="7469A470" w14:textId="771DB847" w:rsidR="0078396C" w:rsidRPr="00086C50" w:rsidRDefault="0078396C" w:rsidP="00A85019">
            <w:pPr>
              <w:pStyle w:val="afff8"/>
              <w:rPr>
                <w:rFonts w:eastAsiaTheme="minorEastAsia"/>
                <w:color w:val="000000" w:themeColor="text1"/>
                <w:sz w:val="24"/>
                <w:lang w:val="en-US"/>
              </w:rPr>
            </w:pPr>
            <w:r w:rsidRPr="0078396C">
              <w:rPr>
                <w:rFonts w:eastAsiaTheme="minorEastAsia"/>
                <w:color w:val="000000" w:themeColor="text1"/>
                <w:sz w:val="24"/>
              </w:rPr>
              <w:t>Bethesda Thyroid Classification,</w:t>
            </w:r>
          </w:p>
        </w:tc>
        <w:tc>
          <w:tcPr>
            <w:tcW w:w="7389" w:type="dxa"/>
            <w:vAlign w:val="center"/>
          </w:tcPr>
          <w:p w14:paraId="13D64B6F" w14:textId="021B5D38" w:rsidR="0078396C" w:rsidRPr="00086C50" w:rsidRDefault="0078396C" w:rsidP="00A85019">
            <w:pPr>
              <w:pStyle w:val="afff8"/>
              <w:rPr>
                <w:rFonts w:eastAsiaTheme="minorEastAsia"/>
                <w:color w:val="000000" w:themeColor="text1"/>
                <w:sz w:val="24"/>
              </w:rPr>
            </w:pPr>
            <w:r>
              <w:rPr>
                <w:rFonts w:eastAsiaTheme="minorEastAsia"/>
                <w:color w:val="000000" w:themeColor="text1"/>
                <w:sz w:val="24"/>
              </w:rPr>
              <w:t>С</w:t>
            </w:r>
            <w:r w:rsidRPr="0078396C">
              <w:rPr>
                <w:rFonts w:eastAsiaTheme="minorEastAsia"/>
                <w:color w:val="000000" w:themeColor="text1"/>
                <w:sz w:val="24"/>
              </w:rPr>
              <w:t>тандартизированная система описания протокола цитологического исследования пунктатов щитовидной железы.</w:t>
            </w:r>
          </w:p>
        </w:tc>
      </w:tr>
      <w:tr w:rsidR="00A02BC4" w:rsidRPr="00A032E6" w14:paraId="050F3FF6" w14:textId="77777777" w:rsidTr="00D050C7">
        <w:trPr>
          <w:trHeight w:val="20"/>
        </w:trPr>
        <w:tc>
          <w:tcPr>
            <w:tcW w:w="1956" w:type="dxa"/>
          </w:tcPr>
          <w:p w14:paraId="575A7CA8" w14:textId="7BD46C9D" w:rsidR="00A02BC4" w:rsidRPr="00A02BC4" w:rsidRDefault="00A02BC4" w:rsidP="00A02BC4">
            <w:pPr>
              <w:pStyle w:val="afff8"/>
              <w:rPr>
                <w:rFonts w:eastAsiaTheme="minorEastAsia"/>
                <w:color w:val="000000" w:themeColor="text1"/>
                <w:sz w:val="24"/>
              </w:rPr>
            </w:pPr>
            <w:r w:rsidRPr="00D050C7">
              <w:rPr>
                <w:sz w:val="24"/>
              </w:rPr>
              <w:t>BSEP</w:t>
            </w:r>
          </w:p>
        </w:tc>
        <w:tc>
          <w:tcPr>
            <w:tcW w:w="7389" w:type="dxa"/>
          </w:tcPr>
          <w:p w14:paraId="456D16C4" w14:textId="0B513804" w:rsidR="00A02BC4" w:rsidRPr="00A02BC4" w:rsidRDefault="00A02BC4" w:rsidP="00A02BC4">
            <w:pPr>
              <w:pStyle w:val="afff8"/>
              <w:rPr>
                <w:rFonts w:eastAsiaTheme="minorEastAsia"/>
                <w:color w:val="000000" w:themeColor="text1"/>
                <w:sz w:val="24"/>
              </w:rPr>
            </w:pPr>
            <w:r w:rsidRPr="00A02BC4">
              <w:rPr>
                <w:sz w:val="24"/>
              </w:rPr>
              <w:t>Белок</w:t>
            </w:r>
            <w:r w:rsidRPr="00D050C7">
              <w:rPr>
                <w:sz w:val="24"/>
              </w:rPr>
              <w:t>-переносчик солей желчных кислот (B</w:t>
            </w:r>
            <w:r w:rsidRPr="00A02BC4">
              <w:rPr>
                <w:sz w:val="24"/>
              </w:rPr>
              <w:t>ile salt export pump</w:t>
            </w:r>
            <w:r w:rsidRPr="00D050C7">
              <w:rPr>
                <w:sz w:val="24"/>
              </w:rPr>
              <w:t>)</w:t>
            </w:r>
          </w:p>
        </w:tc>
      </w:tr>
      <w:tr w:rsidR="00962E7A" w:rsidRPr="00A032E6" w14:paraId="2037AAA3" w14:textId="77777777" w:rsidTr="00A02BC4">
        <w:trPr>
          <w:trHeight w:val="20"/>
        </w:trPr>
        <w:tc>
          <w:tcPr>
            <w:tcW w:w="1956" w:type="dxa"/>
          </w:tcPr>
          <w:p w14:paraId="21422F7B" w14:textId="5870A915" w:rsidR="00962E7A" w:rsidRPr="00962E7A" w:rsidRDefault="00962E7A" w:rsidP="00962E7A">
            <w:pPr>
              <w:pStyle w:val="afff8"/>
              <w:rPr>
                <w:sz w:val="24"/>
              </w:rPr>
            </w:pPr>
            <w:r w:rsidRPr="00D050C7">
              <w:rPr>
                <w:sz w:val="24"/>
              </w:rPr>
              <w:t>BCR-ABL</w:t>
            </w:r>
          </w:p>
        </w:tc>
        <w:tc>
          <w:tcPr>
            <w:tcW w:w="7389" w:type="dxa"/>
          </w:tcPr>
          <w:p w14:paraId="03243CA8" w14:textId="229E83BD" w:rsidR="00962E7A" w:rsidRPr="00962E7A" w:rsidRDefault="00962E7A" w:rsidP="00962E7A">
            <w:pPr>
              <w:pStyle w:val="afff8"/>
              <w:rPr>
                <w:sz w:val="24"/>
              </w:rPr>
            </w:pPr>
            <w:r>
              <w:rPr>
                <w:sz w:val="24"/>
              </w:rPr>
              <w:t>М</w:t>
            </w:r>
            <w:r w:rsidRPr="00D050C7">
              <w:rPr>
                <w:sz w:val="24"/>
              </w:rPr>
              <w:t xml:space="preserve">утированный киназный рецептор </w:t>
            </w:r>
          </w:p>
        </w:tc>
      </w:tr>
      <w:tr w:rsidR="0078396C" w:rsidRPr="00A032E6" w14:paraId="55025F94" w14:textId="77777777" w:rsidTr="0051021C">
        <w:trPr>
          <w:trHeight w:val="20"/>
        </w:trPr>
        <w:tc>
          <w:tcPr>
            <w:tcW w:w="1956" w:type="dxa"/>
            <w:vAlign w:val="center"/>
          </w:tcPr>
          <w:p w14:paraId="7F9227C0" w14:textId="77777777" w:rsidR="0078396C" w:rsidRPr="00086C50" w:rsidRDefault="0078396C" w:rsidP="00A85019">
            <w:pPr>
              <w:pStyle w:val="afff8"/>
              <w:rPr>
                <w:rFonts w:eastAsiaTheme="minorEastAsia"/>
                <w:sz w:val="24"/>
              </w:rPr>
            </w:pPr>
            <w:r w:rsidRPr="00086C50">
              <w:rPr>
                <w:rFonts w:eastAsiaTheme="minorEastAsia"/>
                <w:color w:val="000000" w:themeColor="text1"/>
                <w:sz w:val="24"/>
                <w:lang w:val="en-US"/>
              </w:rPr>
              <w:t>CYP450</w:t>
            </w:r>
          </w:p>
        </w:tc>
        <w:tc>
          <w:tcPr>
            <w:tcW w:w="7389" w:type="dxa"/>
            <w:vAlign w:val="center"/>
          </w:tcPr>
          <w:p w14:paraId="250BE950" w14:textId="77777777" w:rsidR="0078396C" w:rsidRPr="00086C50" w:rsidRDefault="0078396C" w:rsidP="00A85019">
            <w:pPr>
              <w:pStyle w:val="afff8"/>
              <w:rPr>
                <w:rFonts w:eastAsiaTheme="minorEastAsia"/>
                <w:sz w:val="24"/>
              </w:rPr>
            </w:pPr>
            <w:r w:rsidRPr="00086C50">
              <w:rPr>
                <w:rFonts w:eastAsiaTheme="minorEastAsia"/>
                <w:color w:val="000000" w:themeColor="text1"/>
                <w:sz w:val="24"/>
              </w:rPr>
              <w:t>Цитохром P450</w:t>
            </w:r>
          </w:p>
        </w:tc>
      </w:tr>
      <w:tr w:rsidR="0078396C" w:rsidRPr="00A032E6" w14:paraId="04BCB278" w14:textId="77777777" w:rsidTr="0051021C">
        <w:trPr>
          <w:trHeight w:val="20"/>
        </w:trPr>
        <w:tc>
          <w:tcPr>
            <w:tcW w:w="1956" w:type="dxa"/>
            <w:vAlign w:val="center"/>
          </w:tcPr>
          <w:p w14:paraId="57198F79" w14:textId="77777777" w:rsidR="0078396C" w:rsidRPr="00A032E6" w:rsidRDefault="0078396C" w:rsidP="00A85019">
            <w:pPr>
              <w:pStyle w:val="afff8"/>
              <w:rPr>
                <w:rFonts w:eastAsiaTheme="minorEastAsia"/>
                <w:sz w:val="24"/>
                <w:lang w:val="en-US"/>
              </w:rPr>
            </w:pPr>
            <w:r w:rsidRPr="00A032E6">
              <w:rPr>
                <w:sz w:val="24"/>
                <w:lang w:val="en-US"/>
              </w:rPr>
              <w:t>CL</w:t>
            </w:r>
            <w:r w:rsidRPr="00A032E6">
              <w:rPr>
                <w:sz w:val="24"/>
              </w:rPr>
              <w:t>/</w:t>
            </w:r>
            <w:r w:rsidRPr="00A032E6">
              <w:rPr>
                <w:sz w:val="24"/>
                <w:lang w:val="en-US"/>
              </w:rPr>
              <w:t>F</w:t>
            </w:r>
          </w:p>
        </w:tc>
        <w:tc>
          <w:tcPr>
            <w:tcW w:w="7389" w:type="dxa"/>
            <w:vAlign w:val="center"/>
          </w:tcPr>
          <w:p w14:paraId="0AA20594" w14:textId="77777777" w:rsidR="0078396C" w:rsidRPr="00A032E6" w:rsidRDefault="0078396C" w:rsidP="00A85019">
            <w:pPr>
              <w:pStyle w:val="afff8"/>
              <w:rPr>
                <w:rFonts w:eastAsiaTheme="minorEastAsia"/>
                <w:sz w:val="24"/>
              </w:rPr>
            </w:pPr>
            <w:r w:rsidRPr="00A032E6">
              <w:rPr>
                <w:sz w:val="24"/>
              </w:rPr>
              <w:t>Кажущийся общий клиренс</w:t>
            </w:r>
          </w:p>
        </w:tc>
      </w:tr>
      <w:tr w:rsidR="0078396C" w:rsidRPr="00A032E6" w14:paraId="341C176C" w14:textId="77777777" w:rsidTr="0051021C">
        <w:tc>
          <w:tcPr>
            <w:tcW w:w="1956" w:type="dxa"/>
            <w:vAlign w:val="center"/>
          </w:tcPr>
          <w:p w14:paraId="561765CE" w14:textId="77777777" w:rsidR="0078396C" w:rsidRPr="00A032E6" w:rsidRDefault="0078396C" w:rsidP="00A85019">
            <w:pPr>
              <w:pStyle w:val="affb"/>
              <w:spacing w:before="0" w:after="0" w:line="240" w:lineRule="auto"/>
            </w:pPr>
            <w:r w:rsidRPr="00A032E6">
              <w:t>CL</w:t>
            </w:r>
            <w:r w:rsidRPr="00A032E6">
              <w:rPr>
                <w:vertAlign w:val="subscript"/>
              </w:rPr>
              <w:t>CR</w:t>
            </w:r>
          </w:p>
        </w:tc>
        <w:tc>
          <w:tcPr>
            <w:tcW w:w="7389" w:type="dxa"/>
            <w:vAlign w:val="center"/>
          </w:tcPr>
          <w:p w14:paraId="5AA98339" w14:textId="77777777" w:rsidR="0078396C" w:rsidRPr="00A032E6" w:rsidRDefault="0078396C" w:rsidP="00A85019">
            <w:pPr>
              <w:pStyle w:val="affb"/>
              <w:spacing w:before="0" w:after="0" w:line="240" w:lineRule="auto"/>
            </w:pPr>
            <w:r w:rsidRPr="00A032E6">
              <w:t>Клиренс креатинина</w:t>
            </w:r>
          </w:p>
        </w:tc>
      </w:tr>
      <w:tr w:rsidR="0078396C" w:rsidRPr="00A032E6" w14:paraId="668710C3" w14:textId="77777777" w:rsidTr="0051021C">
        <w:trPr>
          <w:trHeight w:val="20"/>
        </w:trPr>
        <w:tc>
          <w:tcPr>
            <w:tcW w:w="1956" w:type="dxa"/>
            <w:vAlign w:val="center"/>
          </w:tcPr>
          <w:p w14:paraId="34BB4B6C" w14:textId="77777777" w:rsidR="0078396C" w:rsidRPr="00A032E6" w:rsidRDefault="0078396C" w:rsidP="00A85019">
            <w:pPr>
              <w:pStyle w:val="afff8"/>
              <w:rPr>
                <w:rFonts w:eastAsiaTheme="minorEastAsia"/>
                <w:sz w:val="24"/>
                <w:lang w:val="en-US"/>
              </w:rPr>
            </w:pPr>
            <w:r w:rsidRPr="00A032E6">
              <w:rPr>
                <w:rFonts w:eastAsiaTheme="minorEastAsia"/>
                <w:sz w:val="24"/>
              </w:rPr>
              <w:t>C</w:t>
            </w:r>
            <w:r w:rsidRPr="00A032E6">
              <w:rPr>
                <w:rFonts w:eastAsiaTheme="minorEastAsia"/>
                <w:sz w:val="24"/>
                <w:vertAlign w:val="subscript"/>
              </w:rPr>
              <w:t>max</w:t>
            </w:r>
          </w:p>
        </w:tc>
        <w:tc>
          <w:tcPr>
            <w:tcW w:w="7389" w:type="dxa"/>
            <w:vAlign w:val="center"/>
          </w:tcPr>
          <w:p w14:paraId="10494920" w14:textId="77777777" w:rsidR="0078396C" w:rsidRPr="00A032E6" w:rsidRDefault="0078396C" w:rsidP="00A85019">
            <w:pPr>
              <w:pStyle w:val="afff8"/>
              <w:rPr>
                <w:rFonts w:eastAsiaTheme="minorEastAsia"/>
                <w:sz w:val="24"/>
              </w:rPr>
            </w:pPr>
            <w:r w:rsidRPr="00A032E6">
              <w:rPr>
                <w:rFonts w:eastAsiaTheme="minorEastAsia"/>
                <w:sz w:val="24"/>
              </w:rPr>
              <w:t>Максимальная плазменная концентрация</w:t>
            </w:r>
          </w:p>
        </w:tc>
      </w:tr>
      <w:tr w:rsidR="0078396C" w:rsidRPr="00A032E6" w14:paraId="18D39261" w14:textId="77777777" w:rsidTr="0051021C">
        <w:trPr>
          <w:trHeight w:val="20"/>
        </w:trPr>
        <w:tc>
          <w:tcPr>
            <w:tcW w:w="1956" w:type="dxa"/>
            <w:vAlign w:val="center"/>
          </w:tcPr>
          <w:p w14:paraId="669AF542" w14:textId="77777777" w:rsidR="0078396C" w:rsidRPr="00A032E6" w:rsidRDefault="0078396C" w:rsidP="00A85019">
            <w:pPr>
              <w:pStyle w:val="afff8"/>
              <w:rPr>
                <w:rFonts w:eastAsiaTheme="minorEastAsia"/>
                <w:sz w:val="24"/>
              </w:rPr>
            </w:pPr>
            <w:r w:rsidRPr="00A032E6">
              <w:rPr>
                <w:rFonts w:eastAsiaTheme="minorEastAsia"/>
                <w:sz w:val="24"/>
              </w:rPr>
              <w:t>C</w:t>
            </w:r>
            <w:r w:rsidRPr="00A032E6">
              <w:rPr>
                <w:rFonts w:eastAsiaTheme="minorEastAsia"/>
                <w:sz w:val="24"/>
                <w:vertAlign w:val="subscript"/>
              </w:rPr>
              <w:t>min</w:t>
            </w:r>
          </w:p>
        </w:tc>
        <w:tc>
          <w:tcPr>
            <w:tcW w:w="7389" w:type="dxa"/>
            <w:vAlign w:val="center"/>
          </w:tcPr>
          <w:p w14:paraId="61BFDECF" w14:textId="77777777" w:rsidR="0078396C" w:rsidRPr="00A032E6" w:rsidRDefault="0078396C" w:rsidP="00A85019">
            <w:pPr>
              <w:pStyle w:val="afff8"/>
              <w:rPr>
                <w:rFonts w:eastAsiaTheme="minorEastAsia"/>
                <w:sz w:val="24"/>
              </w:rPr>
            </w:pPr>
            <w:r w:rsidRPr="00A032E6">
              <w:rPr>
                <w:rFonts w:eastAsiaTheme="minorEastAsia"/>
                <w:sz w:val="24"/>
              </w:rPr>
              <w:t>Минимальная плазменная концентрация</w:t>
            </w:r>
          </w:p>
        </w:tc>
      </w:tr>
      <w:tr w:rsidR="0078396C" w:rsidRPr="00A032E6" w14:paraId="1F35A197" w14:textId="77777777" w:rsidTr="0051021C">
        <w:trPr>
          <w:trHeight w:val="20"/>
        </w:trPr>
        <w:tc>
          <w:tcPr>
            <w:tcW w:w="1956" w:type="dxa"/>
            <w:vAlign w:val="center"/>
          </w:tcPr>
          <w:p w14:paraId="31A0B18B" w14:textId="77777777" w:rsidR="0078396C" w:rsidRPr="00A032E6" w:rsidRDefault="0078396C" w:rsidP="00A85019">
            <w:pPr>
              <w:pStyle w:val="afff8"/>
              <w:rPr>
                <w:rFonts w:eastAsiaTheme="minorEastAsia"/>
                <w:sz w:val="24"/>
              </w:rPr>
            </w:pPr>
            <w:r w:rsidRPr="00A032E6">
              <w:rPr>
                <w:rFonts w:eastAsiaTheme="minorEastAsia"/>
                <w:sz w:val="24"/>
              </w:rPr>
              <w:t>CV</w:t>
            </w:r>
          </w:p>
        </w:tc>
        <w:tc>
          <w:tcPr>
            <w:tcW w:w="7389" w:type="dxa"/>
            <w:vAlign w:val="center"/>
          </w:tcPr>
          <w:p w14:paraId="7CC7FCAE" w14:textId="77777777" w:rsidR="0078396C" w:rsidRPr="00A032E6" w:rsidRDefault="0078396C" w:rsidP="00A85019">
            <w:pPr>
              <w:pStyle w:val="afff8"/>
              <w:rPr>
                <w:rFonts w:eastAsiaTheme="minorEastAsia"/>
                <w:sz w:val="24"/>
              </w:rPr>
            </w:pPr>
            <w:r w:rsidRPr="00A032E6">
              <w:rPr>
                <w:rFonts w:eastAsiaTheme="minorEastAsia"/>
                <w:sz w:val="24"/>
              </w:rPr>
              <w:t>Коэффициент вариации</w:t>
            </w:r>
          </w:p>
        </w:tc>
      </w:tr>
      <w:tr w:rsidR="0078396C" w:rsidRPr="00A032E6" w14:paraId="7BFF5C52" w14:textId="77777777" w:rsidTr="0051021C">
        <w:trPr>
          <w:trHeight w:val="20"/>
        </w:trPr>
        <w:tc>
          <w:tcPr>
            <w:tcW w:w="1956" w:type="dxa"/>
            <w:vAlign w:val="center"/>
          </w:tcPr>
          <w:p w14:paraId="368B15F4" w14:textId="4C176A94" w:rsidR="0078396C" w:rsidRPr="0078396C" w:rsidRDefault="0078396C" w:rsidP="00A85019">
            <w:pPr>
              <w:pStyle w:val="afff8"/>
              <w:rPr>
                <w:rFonts w:eastAsiaTheme="minorEastAsia"/>
                <w:sz w:val="24"/>
              </w:rPr>
            </w:pPr>
            <w:r w:rsidRPr="0078396C">
              <w:rPr>
                <w:sz w:val="24"/>
              </w:rPr>
              <w:t>Child–Pugh</w:t>
            </w:r>
          </w:p>
        </w:tc>
        <w:tc>
          <w:tcPr>
            <w:tcW w:w="7389" w:type="dxa"/>
            <w:vAlign w:val="center"/>
          </w:tcPr>
          <w:p w14:paraId="10D5FAB3" w14:textId="432A6FE5" w:rsidR="0078396C" w:rsidRPr="0078396C" w:rsidRDefault="0015348C" w:rsidP="00630792">
            <w:pPr>
              <w:pStyle w:val="ad"/>
              <w:jc w:val="both"/>
              <w:rPr>
                <w:rFonts w:eastAsiaTheme="minorEastAsia"/>
                <w:sz w:val="24"/>
                <w:szCs w:val="24"/>
              </w:rPr>
            </w:pPr>
            <w:r>
              <w:rPr>
                <w:sz w:val="24"/>
                <w:szCs w:val="24"/>
              </w:rPr>
              <w:t>Классификация Чайлд</w:t>
            </w:r>
            <w:r w:rsidR="00630792">
              <w:rPr>
                <w:sz w:val="24"/>
                <w:szCs w:val="24"/>
              </w:rPr>
              <w:t>-</w:t>
            </w:r>
            <w:r w:rsidR="0078396C" w:rsidRPr="0078396C">
              <w:rPr>
                <w:sz w:val="24"/>
                <w:szCs w:val="24"/>
              </w:rPr>
              <w:t>Пью, оценочная методика, предназначенная для определения тяжести циррозов печени и выживаемости пациента</w:t>
            </w:r>
          </w:p>
        </w:tc>
      </w:tr>
      <w:tr w:rsidR="0078396C" w:rsidRPr="00A032E6" w14:paraId="70F0F375" w14:textId="77777777" w:rsidTr="0051021C">
        <w:trPr>
          <w:trHeight w:val="20"/>
        </w:trPr>
        <w:tc>
          <w:tcPr>
            <w:tcW w:w="1956" w:type="dxa"/>
            <w:vAlign w:val="center"/>
          </w:tcPr>
          <w:p w14:paraId="36ABEAD0" w14:textId="77777777" w:rsidR="0078396C" w:rsidRPr="00A032E6" w:rsidRDefault="0078396C" w:rsidP="00A85019">
            <w:pPr>
              <w:pStyle w:val="afff8"/>
              <w:rPr>
                <w:rFonts w:eastAsiaTheme="minorEastAsia"/>
                <w:sz w:val="24"/>
              </w:rPr>
            </w:pPr>
            <w:r w:rsidRPr="00A032E6">
              <w:rPr>
                <w:rFonts w:eastAsiaTheme="minorEastAsia"/>
                <w:sz w:val="24"/>
              </w:rPr>
              <w:t>EC</w:t>
            </w:r>
            <w:r w:rsidRPr="00A032E6">
              <w:rPr>
                <w:rFonts w:eastAsiaTheme="minorEastAsia"/>
                <w:sz w:val="24"/>
                <w:vertAlign w:val="subscript"/>
              </w:rPr>
              <w:t>50</w:t>
            </w:r>
          </w:p>
        </w:tc>
        <w:tc>
          <w:tcPr>
            <w:tcW w:w="7389" w:type="dxa"/>
            <w:vAlign w:val="center"/>
          </w:tcPr>
          <w:p w14:paraId="7C5C0321" w14:textId="77777777" w:rsidR="0078396C" w:rsidRPr="00A032E6" w:rsidRDefault="0078396C" w:rsidP="00A85019">
            <w:pPr>
              <w:pStyle w:val="afff8"/>
              <w:rPr>
                <w:rFonts w:eastAsiaTheme="minorEastAsia"/>
                <w:sz w:val="24"/>
              </w:rPr>
            </w:pPr>
            <w:r w:rsidRPr="00A032E6">
              <w:rPr>
                <w:rFonts w:eastAsiaTheme="minorEastAsia"/>
                <w:sz w:val="24"/>
              </w:rPr>
              <w:t>Средняя эффективная концентрация</w:t>
            </w:r>
          </w:p>
        </w:tc>
      </w:tr>
      <w:tr w:rsidR="0078396C" w:rsidRPr="00A032E6" w14:paraId="3ED20B62" w14:textId="77777777" w:rsidTr="0051021C">
        <w:trPr>
          <w:trHeight w:val="20"/>
        </w:trPr>
        <w:tc>
          <w:tcPr>
            <w:tcW w:w="1956" w:type="dxa"/>
            <w:vAlign w:val="center"/>
          </w:tcPr>
          <w:p w14:paraId="15CE47CA" w14:textId="77777777" w:rsidR="0078396C" w:rsidRPr="00A032E6" w:rsidRDefault="0078396C" w:rsidP="00A85019">
            <w:pPr>
              <w:pStyle w:val="afff8"/>
              <w:rPr>
                <w:rFonts w:eastAsiaTheme="minorEastAsia"/>
                <w:sz w:val="24"/>
              </w:rPr>
            </w:pPr>
            <w:r w:rsidRPr="00A032E6">
              <w:rPr>
                <w:rFonts w:eastAsiaTheme="minorEastAsia"/>
                <w:sz w:val="24"/>
              </w:rPr>
              <w:t>EMA</w:t>
            </w:r>
          </w:p>
        </w:tc>
        <w:tc>
          <w:tcPr>
            <w:tcW w:w="7389" w:type="dxa"/>
            <w:vAlign w:val="center"/>
          </w:tcPr>
          <w:p w14:paraId="25A4D026" w14:textId="0211A75B" w:rsidR="0078396C" w:rsidRPr="00A032E6" w:rsidRDefault="0078396C" w:rsidP="00A85019">
            <w:pPr>
              <w:pStyle w:val="afff8"/>
              <w:rPr>
                <w:rFonts w:eastAsiaTheme="minorEastAsia"/>
                <w:sz w:val="24"/>
              </w:rPr>
            </w:pPr>
            <w:bookmarkStart w:id="7" w:name="_Hlk119253606"/>
            <w:r w:rsidRPr="00A032E6">
              <w:rPr>
                <w:rFonts w:eastAsiaTheme="minorEastAsia"/>
                <w:sz w:val="24"/>
              </w:rPr>
              <w:t>Европейское агентство по лекарственным средствам</w:t>
            </w:r>
            <w:r w:rsidR="000C2786">
              <w:rPr>
                <w:rFonts w:eastAsiaTheme="minorEastAsia"/>
                <w:sz w:val="24"/>
              </w:rPr>
              <w:t xml:space="preserve"> </w:t>
            </w:r>
            <w:bookmarkEnd w:id="7"/>
            <w:r w:rsidR="000C2786">
              <w:rPr>
                <w:rFonts w:eastAsiaTheme="minorEastAsia"/>
                <w:sz w:val="24"/>
              </w:rPr>
              <w:t>(</w:t>
            </w:r>
            <w:r w:rsidR="00456B9B" w:rsidRPr="00456B9B">
              <w:rPr>
                <w:rFonts w:eastAsiaTheme="minorEastAsia"/>
                <w:sz w:val="24"/>
              </w:rPr>
              <w:t>European Medicines Agency</w:t>
            </w:r>
            <w:r w:rsidR="00456B9B">
              <w:rPr>
                <w:rFonts w:eastAsiaTheme="minorEastAsia"/>
                <w:sz w:val="24"/>
              </w:rPr>
              <w:t>)</w:t>
            </w:r>
          </w:p>
        </w:tc>
      </w:tr>
      <w:tr w:rsidR="0078396C" w:rsidRPr="00A032E6" w14:paraId="6F2FB1D2" w14:textId="77777777" w:rsidTr="0051021C">
        <w:trPr>
          <w:trHeight w:val="20"/>
        </w:trPr>
        <w:tc>
          <w:tcPr>
            <w:tcW w:w="1956" w:type="dxa"/>
            <w:vAlign w:val="center"/>
          </w:tcPr>
          <w:p w14:paraId="1B0B96AE" w14:textId="0EE561CA" w:rsidR="0078396C" w:rsidRPr="0078396C" w:rsidRDefault="0078396C" w:rsidP="00A85019">
            <w:pPr>
              <w:pStyle w:val="afff8"/>
              <w:rPr>
                <w:rFonts w:eastAsiaTheme="minorEastAsia"/>
                <w:sz w:val="24"/>
                <w:lang w:val="en-US"/>
              </w:rPr>
            </w:pPr>
            <w:r w:rsidRPr="0078396C">
              <w:rPr>
                <w:sz w:val="24"/>
              </w:rPr>
              <w:t>ECOG</w:t>
            </w:r>
          </w:p>
        </w:tc>
        <w:tc>
          <w:tcPr>
            <w:tcW w:w="7389" w:type="dxa"/>
            <w:vAlign w:val="center"/>
          </w:tcPr>
          <w:p w14:paraId="26A05027" w14:textId="3960937F" w:rsidR="0078396C" w:rsidRPr="00A032E6" w:rsidRDefault="00CB4B44" w:rsidP="00D050C7">
            <w:pPr>
              <w:pStyle w:val="ad"/>
              <w:jc w:val="both"/>
              <w:rPr>
                <w:rFonts w:eastAsiaTheme="minorEastAsia"/>
              </w:rPr>
            </w:pPr>
            <w:r>
              <w:rPr>
                <w:sz w:val="24"/>
                <w:szCs w:val="24"/>
              </w:rPr>
              <w:t>П</w:t>
            </w:r>
            <w:r w:rsidRPr="0078396C">
              <w:rPr>
                <w:sz w:val="24"/>
                <w:szCs w:val="24"/>
              </w:rPr>
              <w:t xml:space="preserve">ятибальная </w:t>
            </w:r>
            <w:r w:rsidR="0078396C" w:rsidRPr="0078396C">
              <w:rPr>
                <w:sz w:val="24"/>
                <w:szCs w:val="24"/>
              </w:rPr>
              <w:t>шкала, которая используется для оценки общего состояния онкологического больного (Eastern Cooperative Oncology Group)</w:t>
            </w:r>
          </w:p>
        </w:tc>
      </w:tr>
      <w:tr w:rsidR="008C2F3F" w:rsidRPr="00762053" w14:paraId="5BEEC059" w14:textId="77777777" w:rsidTr="00D050C7">
        <w:trPr>
          <w:trHeight w:val="20"/>
        </w:trPr>
        <w:tc>
          <w:tcPr>
            <w:tcW w:w="1956" w:type="dxa"/>
          </w:tcPr>
          <w:p w14:paraId="1257EA49" w14:textId="5734924C" w:rsidR="008C2F3F" w:rsidRPr="00D050C7" w:rsidRDefault="008C2F3F" w:rsidP="008C2F3F">
            <w:pPr>
              <w:pStyle w:val="afff8"/>
              <w:rPr>
                <w:sz w:val="24"/>
                <w:lang w:val="en-US"/>
              </w:rPr>
            </w:pPr>
            <w:r w:rsidRPr="008C2F3F">
              <w:rPr>
                <w:sz w:val="24"/>
                <w:lang w:val="en-US"/>
              </w:rPr>
              <w:t>HGF</w:t>
            </w:r>
          </w:p>
        </w:tc>
        <w:tc>
          <w:tcPr>
            <w:tcW w:w="7389" w:type="dxa"/>
          </w:tcPr>
          <w:p w14:paraId="51C3B475" w14:textId="216BB1C0" w:rsidR="008C2F3F" w:rsidRPr="00D050C7" w:rsidRDefault="008C2F3F" w:rsidP="008C2F3F">
            <w:pPr>
              <w:pStyle w:val="ad"/>
              <w:jc w:val="both"/>
              <w:rPr>
                <w:sz w:val="24"/>
                <w:szCs w:val="24"/>
                <w:lang w:val="en-US"/>
              </w:rPr>
            </w:pPr>
            <w:r w:rsidRPr="008C2F3F">
              <w:rPr>
                <w:sz w:val="24"/>
                <w:szCs w:val="24"/>
              </w:rPr>
              <w:t>Ф</w:t>
            </w:r>
            <w:r w:rsidRPr="00D050C7">
              <w:rPr>
                <w:sz w:val="24"/>
                <w:szCs w:val="24"/>
              </w:rPr>
              <w:t>актор</w:t>
            </w:r>
            <w:r w:rsidRPr="00D050C7">
              <w:rPr>
                <w:sz w:val="24"/>
                <w:szCs w:val="24"/>
                <w:lang w:val="en-US"/>
              </w:rPr>
              <w:t xml:space="preserve"> </w:t>
            </w:r>
            <w:r w:rsidRPr="00D050C7">
              <w:rPr>
                <w:sz w:val="24"/>
                <w:szCs w:val="24"/>
              </w:rPr>
              <w:t>роста</w:t>
            </w:r>
            <w:r w:rsidRPr="00D050C7">
              <w:rPr>
                <w:sz w:val="24"/>
                <w:szCs w:val="24"/>
                <w:lang w:val="en-US"/>
              </w:rPr>
              <w:t xml:space="preserve"> </w:t>
            </w:r>
            <w:r w:rsidRPr="00D050C7">
              <w:rPr>
                <w:sz w:val="24"/>
                <w:szCs w:val="24"/>
              </w:rPr>
              <w:t>гепатоцитов</w:t>
            </w:r>
            <w:r w:rsidRPr="008C2F3F">
              <w:rPr>
                <w:sz w:val="24"/>
                <w:szCs w:val="24"/>
                <w:lang w:val="en-US"/>
              </w:rPr>
              <w:t xml:space="preserve"> (</w:t>
            </w:r>
            <w:r w:rsidRPr="008C2F3F">
              <w:rPr>
                <w:sz w:val="24"/>
                <w:szCs w:val="24"/>
                <w:shd w:val="clear" w:color="auto" w:fill="FFFFFF"/>
                <w:lang w:val="en-US"/>
              </w:rPr>
              <w:t>Hepatocyte growth facto</w:t>
            </w:r>
            <w:r>
              <w:rPr>
                <w:sz w:val="24"/>
                <w:szCs w:val="24"/>
                <w:shd w:val="clear" w:color="auto" w:fill="FFFFFF"/>
                <w:lang w:val="en-US"/>
              </w:rPr>
              <w:t>r)</w:t>
            </w:r>
          </w:p>
        </w:tc>
      </w:tr>
      <w:tr w:rsidR="00C20C5C" w:rsidRPr="00C20C5C" w14:paraId="1897E4BB" w14:textId="77777777" w:rsidTr="008C2F3F">
        <w:trPr>
          <w:trHeight w:val="20"/>
        </w:trPr>
        <w:tc>
          <w:tcPr>
            <w:tcW w:w="1956" w:type="dxa"/>
          </w:tcPr>
          <w:p w14:paraId="6B2E0FAD" w14:textId="776618BB" w:rsidR="00C20C5C" w:rsidRPr="00D050C7" w:rsidRDefault="00C20C5C" w:rsidP="00C20C5C">
            <w:pPr>
              <w:pStyle w:val="afff8"/>
              <w:rPr>
                <w:sz w:val="24"/>
              </w:rPr>
            </w:pPr>
            <w:r w:rsidRPr="00D050C7">
              <w:rPr>
                <w:sz w:val="24"/>
                <w:lang w:val="en-US"/>
              </w:rPr>
              <w:t>HR</w:t>
            </w:r>
          </w:p>
        </w:tc>
        <w:tc>
          <w:tcPr>
            <w:tcW w:w="7389" w:type="dxa"/>
          </w:tcPr>
          <w:p w14:paraId="611C5FE6" w14:textId="6927C2B8" w:rsidR="00C20C5C" w:rsidRPr="00C20C5C" w:rsidRDefault="00C20C5C" w:rsidP="00C20C5C">
            <w:pPr>
              <w:pStyle w:val="ad"/>
              <w:jc w:val="both"/>
              <w:rPr>
                <w:sz w:val="24"/>
                <w:szCs w:val="24"/>
              </w:rPr>
            </w:pPr>
            <w:r w:rsidRPr="00C20C5C">
              <w:rPr>
                <w:sz w:val="24"/>
                <w:szCs w:val="24"/>
              </w:rPr>
              <w:t>О</w:t>
            </w:r>
            <w:r w:rsidRPr="00D050C7">
              <w:rPr>
                <w:sz w:val="24"/>
                <w:szCs w:val="24"/>
              </w:rPr>
              <w:t>тошение рисков (</w:t>
            </w:r>
            <w:r w:rsidRPr="00C20C5C">
              <w:rPr>
                <w:sz w:val="24"/>
                <w:szCs w:val="24"/>
                <w:lang w:val="en-US"/>
              </w:rPr>
              <w:t>H</w:t>
            </w:r>
            <w:r w:rsidRPr="00C20C5C">
              <w:rPr>
                <w:sz w:val="24"/>
                <w:szCs w:val="24"/>
              </w:rPr>
              <w:t>azard ratio</w:t>
            </w:r>
            <w:r>
              <w:rPr>
                <w:sz w:val="24"/>
                <w:szCs w:val="24"/>
              </w:rPr>
              <w:t>)</w:t>
            </w:r>
          </w:p>
        </w:tc>
      </w:tr>
      <w:tr w:rsidR="00A022F6" w:rsidRPr="00762053" w14:paraId="2BCEB497" w14:textId="77777777" w:rsidTr="0051021C">
        <w:trPr>
          <w:trHeight w:val="20"/>
        </w:trPr>
        <w:tc>
          <w:tcPr>
            <w:tcW w:w="1956" w:type="dxa"/>
            <w:vAlign w:val="center"/>
          </w:tcPr>
          <w:p w14:paraId="7E7E7B52" w14:textId="25CB12D6" w:rsidR="00A022F6" w:rsidRPr="00A032E6" w:rsidRDefault="00A022F6" w:rsidP="00A85019">
            <w:pPr>
              <w:pStyle w:val="afff8"/>
              <w:rPr>
                <w:rFonts w:eastAsiaTheme="minorEastAsia"/>
                <w:sz w:val="24"/>
                <w:lang w:val="en-US"/>
              </w:rPr>
            </w:pPr>
            <w:r w:rsidRPr="00A022F6">
              <w:rPr>
                <w:rFonts w:eastAsiaTheme="minorEastAsia"/>
                <w:sz w:val="24"/>
              </w:rPr>
              <w:t>HUVEC</w:t>
            </w:r>
          </w:p>
        </w:tc>
        <w:tc>
          <w:tcPr>
            <w:tcW w:w="7389" w:type="dxa"/>
            <w:vAlign w:val="center"/>
          </w:tcPr>
          <w:p w14:paraId="554DFC23" w14:textId="7EEDC0A6" w:rsidR="00A022F6" w:rsidRPr="00A022F6" w:rsidRDefault="000C2786" w:rsidP="00A85019">
            <w:pPr>
              <w:pStyle w:val="afff8"/>
              <w:rPr>
                <w:rFonts w:eastAsiaTheme="minorEastAsia"/>
                <w:sz w:val="24"/>
                <w:lang w:val="en-US"/>
              </w:rPr>
            </w:pPr>
            <w:r>
              <w:rPr>
                <w:rFonts w:eastAsiaTheme="minorEastAsia"/>
                <w:sz w:val="24"/>
              </w:rPr>
              <w:t>М</w:t>
            </w:r>
            <w:r w:rsidR="00A022F6" w:rsidRPr="00A022F6">
              <w:rPr>
                <w:rFonts w:eastAsiaTheme="minorEastAsia"/>
                <w:sz w:val="24"/>
              </w:rPr>
              <w:t>одель</w:t>
            </w:r>
            <w:r w:rsidR="00A022F6" w:rsidRPr="00A022F6">
              <w:rPr>
                <w:rFonts w:eastAsiaTheme="minorEastAsia"/>
                <w:sz w:val="24"/>
                <w:lang w:val="en-US"/>
              </w:rPr>
              <w:t xml:space="preserve"> </w:t>
            </w:r>
            <w:r w:rsidR="00A022F6" w:rsidRPr="00A022F6">
              <w:rPr>
                <w:rFonts w:eastAsiaTheme="minorEastAsia"/>
                <w:sz w:val="24"/>
              </w:rPr>
              <w:t>эндотелиальных</w:t>
            </w:r>
            <w:r w:rsidR="00A022F6" w:rsidRPr="00A022F6">
              <w:rPr>
                <w:rFonts w:eastAsiaTheme="minorEastAsia"/>
                <w:sz w:val="24"/>
                <w:lang w:val="en-US"/>
              </w:rPr>
              <w:t xml:space="preserve"> </w:t>
            </w:r>
            <w:r w:rsidR="00A022F6" w:rsidRPr="00A022F6">
              <w:rPr>
                <w:rFonts w:eastAsiaTheme="minorEastAsia"/>
                <w:sz w:val="24"/>
              </w:rPr>
              <w:t>клеток</w:t>
            </w:r>
            <w:r w:rsidR="00A022F6" w:rsidRPr="00A022F6">
              <w:rPr>
                <w:rFonts w:eastAsiaTheme="minorEastAsia"/>
                <w:sz w:val="24"/>
                <w:lang w:val="en-US"/>
              </w:rPr>
              <w:t xml:space="preserve"> </w:t>
            </w:r>
            <w:r w:rsidR="00A022F6" w:rsidRPr="00A022F6">
              <w:rPr>
                <w:rFonts w:eastAsiaTheme="minorEastAsia"/>
                <w:sz w:val="24"/>
              </w:rPr>
              <w:t>пупочной</w:t>
            </w:r>
            <w:r w:rsidR="00A022F6" w:rsidRPr="00A022F6">
              <w:rPr>
                <w:rFonts w:eastAsiaTheme="minorEastAsia"/>
                <w:sz w:val="24"/>
                <w:lang w:val="en-US"/>
              </w:rPr>
              <w:t xml:space="preserve"> </w:t>
            </w:r>
            <w:r w:rsidR="00A022F6" w:rsidRPr="00A022F6">
              <w:rPr>
                <w:rFonts w:eastAsiaTheme="minorEastAsia"/>
                <w:sz w:val="24"/>
              </w:rPr>
              <w:t>вены</w:t>
            </w:r>
            <w:r w:rsidR="00A022F6" w:rsidRPr="00A022F6">
              <w:rPr>
                <w:rFonts w:eastAsiaTheme="minorEastAsia"/>
                <w:sz w:val="24"/>
                <w:lang w:val="en-US"/>
              </w:rPr>
              <w:t xml:space="preserve"> </w:t>
            </w:r>
            <w:r w:rsidR="00A022F6" w:rsidRPr="00A022F6">
              <w:rPr>
                <w:rFonts w:eastAsiaTheme="minorEastAsia"/>
                <w:sz w:val="24"/>
              </w:rPr>
              <w:t>человека</w:t>
            </w:r>
            <w:r w:rsidR="00A022F6" w:rsidRPr="00A022F6">
              <w:rPr>
                <w:rFonts w:eastAsiaTheme="minorEastAsia"/>
                <w:sz w:val="24"/>
                <w:lang w:val="en-US"/>
              </w:rPr>
              <w:t xml:space="preserve"> (Human Umbilical Vein Endothelial Cells)</w:t>
            </w:r>
          </w:p>
        </w:tc>
      </w:tr>
      <w:tr w:rsidR="0078396C" w:rsidRPr="00A032E6" w14:paraId="63E0DF3E" w14:textId="77777777" w:rsidTr="0051021C">
        <w:trPr>
          <w:trHeight w:val="20"/>
        </w:trPr>
        <w:tc>
          <w:tcPr>
            <w:tcW w:w="1956" w:type="dxa"/>
            <w:vAlign w:val="center"/>
          </w:tcPr>
          <w:p w14:paraId="04F6FD2F" w14:textId="77777777" w:rsidR="0078396C" w:rsidRPr="00A032E6" w:rsidRDefault="0078396C" w:rsidP="00A85019">
            <w:pPr>
              <w:pStyle w:val="afff8"/>
              <w:rPr>
                <w:rFonts w:eastAsiaTheme="minorEastAsia"/>
                <w:sz w:val="24"/>
                <w:lang w:val="en-US"/>
              </w:rPr>
            </w:pPr>
            <w:r w:rsidRPr="00A032E6">
              <w:rPr>
                <w:rFonts w:eastAsiaTheme="minorEastAsia"/>
                <w:sz w:val="24"/>
                <w:lang w:val="en-US"/>
              </w:rPr>
              <w:t>F</w:t>
            </w:r>
          </w:p>
        </w:tc>
        <w:tc>
          <w:tcPr>
            <w:tcW w:w="7389" w:type="dxa"/>
            <w:vAlign w:val="center"/>
          </w:tcPr>
          <w:p w14:paraId="125BB950" w14:textId="77777777" w:rsidR="0078396C" w:rsidRPr="00A032E6" w:rsidRDefault="0078396C" w:rsidP="00A85019">
            <w:pPr>
              <w:pStyle w:val="afff8"/>
              <w:rPr>
                <w:rFonts w:eastAsiaTheme="minorEastAsia"/>
                <w:sz w:val="24"/>
              </w:rPr>
            </w:pPr>
            <w:r w:rsidRPr="00A032E6">
              <w:rPr>
                <w:rFonts w:eastAsiaTheme="minorEastAsia"/>
                <w:sz w:val="24"/>
              </w:rPr>
              <w:t>Биодоступность</w:t>
            </w:r>
          </w:p>
        </w:tc>
      </w:tr>
      <w:tr w:rsidR="0078396C" w:rsidRPr="0051021C" w14:paraId="10993644" w14:textId="77777777" w:rsidTr="0051021C">
        <w:trPr>
          <w:trHeight w:val="20"/>
        </w:trPr>
        <w:tc>
          <w:tcPr>
            <w:tcW w:w="1956" w:type="dxa"/>
            <w:vAlign w:val="center"/>
          </w:tcPr>
          <w:p w14:paraId="44E13BAB" w14:textId="77777777" w:rsidR="0078396C" w:rsidRPr="00A032E6" w:rsidRDefault="0078396C" w:rsidP="00A85019">
            <w:pPr>
              <w:pStyle w:val="afff8"/>
              <w:rPr>
                <w:rFonts w:eastAsiaTheme="minorEastAsia"/>
                <w:sz w:val="24"/>
                <w:lang w:val="en-US"/>
              </w:rPr>
            </w:pPr>
            <w:r w:rsidRPr="00A032E6">
              <w:rPr>
                <w:rFonts w:eastAsiaTheme="minorEastAsia"/>
                <w:sz w:val="24"/>
                <w:lang w:val="en-US"/>
              </w:rPr>
              <w:t>FDA</w:t>
            </w:r>
          </w:p>
        </w:tc>
        <w:tc>
          <w:tcPr>
            <w:tcW w:w="7389" w:type="dxa"/>
            <w:vAlign w:val="center"/>
          </w:tcPr>
          <w:p w14:paraId="0FBAE96A" w14:textId="49073FE9" w:rsidR="0078396C" w:rsidRPr="0051021C" w:rsidRDefault="0078396C" w:rsidP="00A85019">
            <w:pPr>
              <w:pStyle w:val="afff8"/>
              <w:rPr>
                <w:rFonts w:eastAsiaTheme="minorEastAsia"/>
                <w:sz w:val="24"/>
              </w:rPr>
            </w:pPr>
            <w:r w:rsidRPr="00A032E6">
              <w:rPr>
                <w:rFonts w:eastAsiaTheme="minorEastAsia"/>
                <w:sz w:val="24"/>
              </w:rPr>
              <w:t>Управление</w:t>
            </w:r>
            <w:r w:rsidRPr="0051021C">
              <w:rPr>
                <w:rFonts w:eastAsiaTheme="minorEastAsia"/>
                <w:sz w:val="24"/>
              </w:rPr>
              <w:t xml:space="preserve"> </w:t>
            </w:r>
            <w:r w:rsidRPr="00A032E6">
              <w:rPr>
                <w:rFonts w:eastAsiaTheme="minorEastAsia"/>
                <w:sz w:val="24"/>
              </w:rPr>
              <w:t>по</w:t>
            </w:r>
            <w:r w:rsidRPr="0051021C">
              <w:rPr>
                <w:rFonts w:eastAsiaTheme="minorEastAsia"/>
                <w:sz w:val="24"/>
              </w:rPr>
              <w:t xml:space="preserve"> </w:t>
            </w:r>
            <w:r w:rsidRPr="00A032E6">
              <w:rPr>
                <w:rFonts w:eastAsiaTheme="minorEastAsia"/>
                <w:sz w:val="24"/>
              </w:rPr>
              <w:t>контролю</w:t>
            </w:r>
            <w:r w:rsidRPr="0051021C">
              <w:rPr>
                <w:rFonts w:eastAsiaTheme="minorEastAsia"/>
                <w:sz w:val="24"/>
              </w:rPr>
              <w:t xml:space="preserve"> </w:t>
            </w:r>
            <w:r w:rsidRPr="00A032E6">
              <w:rPr>
                <w:rFonts w:eastAsiaTheme="minorEastAsia"/>
                <w:sz w:val="24"/>
              </w:rPr>
              <w:t>за</w:t>
            </w:r>
            <w:r w:rsidRPr="0051021C">
              <w:rPr>
                <w:rFonts w:eastAsiaTheme="minorEastAsia"/>
                <w:sz w:val="24"/>
              </w:rPr>
              <w:t xml:space="preserve"> </w:t>
            </w:r>
            <w:r w:rsidRPr="00A032E6">
              <w:rPr>
                <w:rFonts w:eastAsiaTheme="minorEastAsia"/>
                <w:sz w:val="24"/>
              </w:rPr>
              <w:t>качеством</w:t>
            </w:r>
            <w:r w:rsidRPr="0051021C">
              <w:rPr>
                <w:rFonts w:eastAsiaTheme="minorEastAsia"/>
                <w:sz w:val="24"/>
              </w:rPr>
              <w:t xml:space="preserve"> </w:t>
            </w:r>
            <w:r w:rsidRPr="00A032E6">
              <w:rPr>
                <w:rFonts w:eastAsiaTheme="minorEastAsia"/>
                <w:sz w:val="24"/>
              </w:rPr>
              <w:t>пищевых</w:t>
            </w:r>
            <w:r w:rsidRPr="0051021C">
              <w:rPr>
                <w:rFonts w:eastAsiaTheme="minorEastAsia"/>
                <w:sz w:val="24"/>
              </w:rPr>
              <w:t xml:space="preserve"> </w:t>
            </w:r>
            <w:r w:rsidRPr="00A032E6">
              <w:rPr>
                <w:rFonts w:eastAsiaTheme="minorEastAsia"/>
                <w:sz w:val="24"/>
              </w:rPr>
              <w:t>продуктов</w:t>
            </w:r>
            <w:r w:rsidRPr="0051021C">
              <w:rPr>
                <w:rFonts w:eastAsiaTheme="minorEastAsia"/>
                <w:sz w:val="24"/>
              </w:rPr>
              <w:t xml:space="preserve"> </w:t>
            </w:r>
            <w:r w:rsidRPr="00A032E6">
              <w:rPr>
                <w:rFonts w:eastAsiaTheme="minorEastAsia"/>
                <w:sz w:val="24"/>
              </w:rPr>
              <w:t>и</w:t>
            </w:r>
            <w:r w:rsidRPr="0051021C">
              <w:rPr>
                <w:rFonts w:eastAsiaTheme="minorEastAsia"/>
                <w:sz w:val="24"/>
              </w:rPr>
              <w:t xml:space="preserve"> </w:t>
            </w:r>
            <w:r w:rsidRPr="00A032E6">
              <w:rPr>
                <w:rFonts w:eastAsiaTheme="minorEastAsia"/>
                <w:sz w:val="24"/>
              </w:rPr>
              <w:t>лекарственных</w:t>
            </w:r>
            <w:r w:rsidRPr="0051021C">
              <w:rPr>
                <w:rFonts w:eastAsiaTheme="minorEastAsia"/>
                <w:sz w:val="24"/>
              </w:rPr>
              <w:t xml:space="preserve"> </w:t>
            </w:r>
            <w:r w:rsidRPr="00A032E6">
              <w:rPr>
                <w:rFonts w:eastAsiaTheme="minorEastAsia"/>
                <w:sz w:val="24"/>
              </w:rPr>
              <w:t>средств</w:t>
            </w:r>
            <w:r w:rsidRPr="0051021C">
              <w:rPr>
                <w:rFonts w:eastAsiaTheme="minorEastAsia"/>
                <w:sz w:val="24"/>
              </w:rPr>
              <w:t xml:space="preserve"> </w:t>
            </w:r>
            <w:r w:rsidR="00543F0E">
              <w:rPr>
                <w:rFonts w:eastAsiaTheme="minorEastAsia"/>
                <w:sz w:val="24"/>
              </w:rPr>
              <w:t>Соединенных Штатов Америки</w:t>
            </w:r>
            <w:r w:rsidR="0051021C" w:rsidRPr="0051021C">
              <w:rPr>
                <w:rFonts w:eastAsiaTheme="minorEastAsia"/>
                <w:sz w:val="24"/>
              </w:rPr>
              <w:t xml:space="preserve"> </w:t>
            </w:r>
            <w:r w:rsidR="007453C4" w:rsidRPr="0051021C">
              <w:rPr>
                <w:rFonts w:eastAsiaTheme="minorEastAsia"/>
                <w:sz w:val="24"/>
              </w:rPr>
              <w:t>(</w:t>
            </w:r>
            <w:r w:rsidR="007453C4" w:rsidRPr="00D050C7">
              <w:rPr>
                <w:rFonts w:eastAsiaTheme="minorEastAsia"/>
                <w:sz w:val="24"/>
                <w:lang w:val="en-US"/>
              </w:rPr>
              <w:t>Food</w:t>
            </w:r>
            <w:r w:rsidR="007453C4" w:rsidRPr="0051021C">
              <w:rPr>
                <w:rFonts w:eastAsiaTheme="minorEastAsia"/>
                <w:sz w:val="24"/>
              </w:rPr>
              <w:t xml:space="preserve"> </w:t>
            </w:r>
            <w:r w:rsidR="007453C4" w:rsidRPr="00D050C7">
              <w:rPr>
                <w:rFonts w:eastAsiaTheme="minorEastAsia"/>
                <w:sz w:val="24"/>
                <w:lang w:val="en-US"/>
              </w:rPr>
              <w:t>and</w:t>
            </w:r>
            <w:r w:rsidR="007453C4" w:rsidRPr="0051021C">
              <w:rPr>
                <w:rFonts w:eastAsiaTheme="minorEastAsia"/>
                <w:sz w:val="24"/>
              </w:rPr>
              <w:t xml:space="preserve"> </w:t>
            </w:r>
            <w:r w:rsidR="007453C4" w:rsidRPr="00D050C7">
              <w:rPr>
                <w:rFonts w:eastAsiaTheme="minorEastAsia"/>
                <w:sz w:val="24"/>
                <w:lang w:val="en-US"/>
              </w:rPr>
              <w:t>Drug</w:t>
            </w:r>
            <w:r w:rsidR="007453C4" w:rsidRPr="0051021C">
              <w:rPr>
                <w:rFonts w:eastAsiaTheme="minorEastAsia"/>
                <w:sz w:val="24"/>
              </w:rPr>
              <w:t xml:space="preserve"> </w:t>
            </w:r>
            <w:r w:rsidR="007453C4" w:rsidRPr="00D050C7">
              <w:rPr>
                <w:rFonts w:eastAsiaTheme="minorEastAsia"/>
                <w:sz w:val="24"/>
                <w:lang w:val="en-US"/>
              </w:rPr>
              <w:t>Administration</w:t>
            </w:r>
            <w:r w:rsidR="007453C4" w:rsidRPr="0051021C">
              <w:rPr>
                <w:rFonts w:eastAsiaTheme="minorEastAsia"/>
                <w:sz w:val="24"/>
              </w:rPr>
              <w:t>)</w:t>
            </w:r>
          </w:p>
        </w:tc>
      </w:tr>
      <w:tr w:rsidR="0051021C" w:rsidRPr="0051021C" w14:paraId="3F112361" w14:textId="77777777" w:rsidTr="00D050C7">
        <w:trPr>
          <w:trHeight w:val="20"/>
        </w:trPr>
        <w:tc>
          <w:tcPr>
            <w:tcW w:w="1956" w:type="dxa"/>
          </w:tcPr>
          <w:p w14:paraId="58C359CC" w14:textId="71105485" w:rsidR="0051021C" w:rsidRPr="00D050C7" w:rsidRDefault="0051021C" w:rsidP="0051021C">
            <w:pPr>
              <w:pStyle w:val="afff8"/>
              <w:rPr>
                <w:rFonts w:eastAsiaTheme="minorEastAsia"/>
                <w:sz w:val="24"/>
              </w:rPr>
            </w:pPr>
            <w:r w:rsidRPr="00754D84">
              <w:rPr>
                <w:bCs/>
                <w:sz w:val="24"/>
              </w:rPr>
              <w:t>FGFR</w:t>
            </w:r>
          </w:p>
        </w:tc>
        <w:tc>
          <w:tcPr>
            <w:tcW w:w="7389" w:type="dxa"/>
          </w:tcPr>
          <w:p w14:paraId="5958CF2F" w14:textId="44B7F02D" w:rsidR="0051021C" w:rsidRPr="0051021C" w:rsidRDefault="0051021C" w:rsidP="0051021C">
            <w:pPr>
              <w:pStyle w:val="afff8"/>
              <w:rPr>
                <w:rFonts w:eastAsiaTheme="minorEastAsia"/>
                <w:sz w:val="24"/>
              </w:rPr>
            </w:pPr>
            <w:r>
              <w:rPr>
                <w:bCs/>
                <w:sz w:val="24"/>
              </w:rPr>
              <w:t>Р</w:t>
            </w:r>
            <w:r w:rsidRPr="00754D84">
              <w:rPr>
                <w:bCs/>
                <w:sz w:val="24"/>
              </w:rPr>
              <w:t>ецепторы фактора роста фибробластов (Fibroblast growth factor receptor)</w:t>
            </w:r>
          </w:p>
        </w:tc>
      </w:tr>
      <w:tr w:rsidR="00DB52B5" w:rsidRPr="0051021C" w14:paraId="3EB63409" w14:textId="77777777" w:rsidTr="0051021C">
        <w:trPr>
          <w:trHeight w:val="20"/>
        </w:trPr>
        <w:tc>
          <w:tcPr>
            <w:tcW w:w="1956" w:type="dxa"/>
          </w:tcPr>
          <w:p w14:paraId="6ACFF69A" w14:textId="7C1AC9F6" w:rsidR="00DB52B5" w:rsidRPr="00DB52B5" w:rsidRDefault="00DB52B5" w:rsidP="00DB52B5">
            <w:pPr>
              <w:pStyle w:val="afff8"/>
              <w:rPr>
                <w:bCs/>
                <w:sz w:val="24"/>
              </w:rPr>
            </w:pPr>
            <w:r w:rsidRPr="00DB52B5">
              <w:rPr>
                <w:sz w:val="24"/>
              </w:rPr>
              <w:t>G-CSF</w:t>
            </w:r>
          </w:p>
        </w:tc>
        <w:tc>
          <w:tcPr>
            <w:tcW w:w="7389" w:type="dxa"/>
          </w:tcPr>
          <w:p w14:paraId="47345BE5" w14:textId="541C4128" w:rsidR="00DB52B5" w:rsidRPr="00DB52B5" w:rsidRDefault="00DB52B5" w:rsidP="00DB52B5">
            <w:pPr>
              <w:pStyle w:val="afff8"/>
              <w:rPr>
                <w:bCs/>
                <w:sz w:val="24"/>
              </w:rPr>
            </w:pPr>
            <w:r w:rsidRPr="00DB52B5">
              <w:rPr>
                <w:sz w:val="24"/>
              </w:rPr>
              <w:t>Г</w:t>
            </w:r>
            <w:r w:rsidRPr="00D050C7">
              <w:rPr>
                <w:sz w:val="24"/>
              </w:rPr>
              <w:t xml:space="preserve">ранулоцитарный колониестимулирующий фактор </w:t>
            </w:r>
            <w:r>
              <w:rPr>
                <w:sz w:val="24"/>
              </w:rPr>
              <w:t>(</w:t>
            </w:r>
            <w:r w:rsidRPr="00EA1702">
              <w:rPr>
                <w:sz w:val="24"/>
                <w:shd w:val="clear" w:color="auto" w:fill="FFFFFF"/>
              </w:rPr>
              <w:t>Granulocyte colony-stimulating factor</w:t>
            </w:r>
            <w:r>
              <w:rPr>
                <w:sz w:val="24"/>
                <w:shd w:val="clear" w:color="auto" w:fill="FFFFFF"/>
              </w:rPr>
              <w:t>)</w:t>
            </w:r>
          </w:p>
        </w:tc>
      </w:tr>
      <w:tr w:rsidR="0078396C" w:rsidRPr="00A032E6" w14:paraId="7587411F" w14:textId="77777777" w:rsidTr="0051021C">
        <w:trPr>
          <w:trHeight w:val="20"/>
        </w:trPr>
        <w:tc>
          <w:tcPr>
            <w:tcW w:w="1956" w:type="dxa"/>
            <w:vAlign w:val="center"/>
          </w:tcPr>
          <w:p w14:paraId="3013DA30" w14:textId="77777777" w:rsidR="0078396C" w:rsidRPr="00A032E6" w:rsidRDefault="0078396C" w:rsidP="00A85019">
            <w:pPr>
              <w:pStyle w:val="afff8"/>
              <w:rPr>
                <w:rFonts w:eastAsiaTheme="minorEastAsia"/>
                <w:sz w:val="24"/>
              </w:rPr>
            </w:pPr>
            <w:r w:rsidRPr="00A032E6">
              <w:rPr>
                <w:rFonts w:eastAsiaTheme="minorEastAsia"/>
                <w:sz w:val="24"/>
              </w:rPr>
              <w:t>IC</w:t>
            </w:r>
            <w:r w:rsidRPr="00A032E6">
              <w:rPr>
                <w:rFonts w:eastAsiaTheme="minorEastAsia"/>
                <w:sz w:val="24"/>
                <w:vertAlign w:val="subscript"/>
              </w:rPr>
              <w:t>50</w:t>
            </w:r>
          </w:p>
        </w:tc>
        <w:tc>
          <w:tcPr>
            <w:tcW w:w="7389" w:type="dxa"/>
            <w:vAlign w:val="center"/>
          </w:tcPr>
          <w:p w14:paraId="04A62933" w14:textId="77777777" w:rsidR="0078396C" w:rsidRPr="00A032E6" w:rsidRDefault="0078396C" w:rsidP="00A85019">
            <w:pPr>
              <w:pStyle w:val="afff8"/>
              <w:rPr>
                <w:rFonts w:eastAsiaTheme="minorEastAsia"/>
                <w:sz w:val="24"/>
              </w:rPr>
            </w:pPr>
            <w:r w:rsidRPr="00A032E6">
              <w:rPr>
                <w:rFonts w:eastAsiaTheme="minorEastAsia"/>
                <w:sz w:val="24"/>
              </w:rPr>
              <w:t xml:space="preserve">Концентрации полумаксимального ингибирования </w:t>
            </w:r>
          </w:p>
        </w:tc>
      </w:tr>
      <w:tr w:rsidR="00637DB7" w:rsidRPr="00A032E6" w14:paraId="7BDD80B9" w14:textId="77777777" w:rsidTr="0051021C">
        <w:trPr>
          <w:trHeight w:val="20"/>
        </w:trPr>
        <w:tc>
          <w:tcPr>
            <w:tcW w:w="1956" w:type="dxa"/>
            <w:vAlign w:val="center"/>
          </w:tcPr>
          <w:p w14:paraId="453A249C" w14:textId="486D4857" w:rsidR="00637DB7" w:rsidRPr="00A032E6" w:rsidRDefault="00637DB7" w:rsidP="00A85019">
            <w:pPr>
              <w:pStyle w:val="afff8"/>
              <w:rPr>
                <w:rFonts w:eastAsiaTheme="minorEastAsia"/>
                <w:sz w:val="24"/>
                <w:lang w:val="en-US"/>
              </w:rPr>
            </w:pPr>
            <w:r w:rsidRPr="00637DB7">
              <w:rPr>
                <w:rFonts w:eastAsiaTheme="minorEastAsia"/>
                <w:sz w:val="24"/>
                <w:lang w:val="en-US"/>
              </w:rPr>
              <w:t>ClinicalTrials.gov Identifier</w:t>
            </w:r>
          </w:p>
        </w:tc>
        <w:tc>
          <w:tcPr>
            <w:tcW w:w="7389" w:type="dxa"/>
            <w:vAlign w:val="center"/>
          </w:tcPr>
          <w:p w14:paraId="629B5374" w14:textId="362BA024" w:rsidR="00637DB7" w:rsidRPr="00A032E6" w:rsidRDefault="00B20A95" w:rsidP="00A85019">
            <w:pPr>
              <w:pStyle w:val="afff8"/>
              <w:rPr>
                <w:rFonts w:eastAsiaTheme="minorEastAsia"/>
                <w:sz w:val="24"/>
              </w:rPr>
            </w:pPr>
            <w:r w:rsidRPr="00B20A95">
              <w:rPr>
                <w:rFonts w:eastAsiaTheme="minorEastAsia"/>
                <w:sz w:val="24"/>
              </w:rPr>
              <w:t xml:space="preserve">Идентификатор </w:t>
            </w:r>
            <w:r>
              <w:rPr>
                <w:rFonts w:eastAsiaTheme="minorEastAsia"/>
                <w:sz w:val="24"/>
              </w:rPr>
              <w:t xml:space="preserve">исследования на сайте </w:t>
            </w:r>
            <w:r w:rsidRPr="00B20A95">
              <w:rPr>
                <w:rFonts w:eastAsiaTheme="minorEastAsia"/>
                <w:sz w:val="24"/>
              </w:rPr>
              <w:t>ClinicalTrials.gov</w:t>
            </w:r>
          </w:p>
        </w:tc>
      </w:tr>
      <w:tr w:rsidR="00264240" w:rsidRPr="00A032E6" w14:paraId="56E58B36" w14:textId="77777777" w:rsidTr="00D050C7">
        <w:trPr>
          <w:trHeight w:val="20"/>
        </w:trPr>
        <w:tc>
          <w:tcPr>
            <w:tcW w:w="1956" w:type="dxa"/>
          </w:tcPr>
          <w:p w14:paraId="629E3120" w14:textId="5AC3D4F1" w:rsidR="00264240" w:rsidRPr="00D050C7" w:rsidRDefault="00264240" w:rsidP="0039287C">
            <w:pPr>
              <w:pStyle w:val="afff8"/>
              <w:rPr>
                <w:rFonts w:eastAsiaTheme="minorEastAsia"/>
                <w:sz w:val="24"/>
              </w:rPr>
            </w:pPr>
            <w:r w:rsidRPr="00D050C7">
              <w:rPr>
                <w:sz w:val="24"/>
              </w:rPr>
              <w:t>IL</w:t>
            </w:r>
          </w:p>
        </w:tc>
        <w:tc>
          <w:tcPr>
            <w:tcW w:w="7389" w:type="dxa"/>
          </w:tcPr>
          <w:p w14:paraId="69CF75C2" w14:textId="144E45FE" w:rsidR="00264240" w:rsidRPr="0039287C" w:rsidRDefault="0015348C" w:rsidP="0015348C">
            <w:pPr>
              <w:pStyle w:val="afff8"/>
              <w:rPr>
                <w:rFonts w:eastAsiaTheme="minorEastAsia"/>
                <w:sz w:val="24"/>
              </w:rPr>
            </w:pPr>
            <w:r w:rsidRPr="00D050C7">
              <w:rPr>
                <w:sz w:val="24"/>
              </w:rPr>
              <w:t>Интерлейкин</w:t>
            </w:r>
            <w:r>
              <w:rPr>
                <w:sz w:val="24"/>
              </w:rPr>
              <w:t>ы</w:t>
            </w:r>
            <w:r w:rsidRPr="00D050C7">
              <w:rPr>
                <w:sz w:val="24"/>
              </w:rPr>
              <w:t xml:space="preserve"> </w:t>
            </w:r>
            <w:r w:rsidR="0039287C" w:rsidRPr="00D050C7">
              <w:rPr>
                <w:sz w:val="24"/>
              </w:rPr>
              <w:t>(Interleukins)</w:t>
            </w:r>
            <w:r w:rsidR="00264240" w:rsidRPr="00D050C7">
              <w:rPr>
                <w:sz w:val="24"/>
              </w:rPr>
              <w:t xml:space="preserve"> </w:t>
            </w:r>
          </w:p>
        </w:tc>
      </w:tr>
      <w:tr w:rsidR="0078396C" w:rsidRPr="00A032E6" w14:paraId="7573513B" w14:textId="77777777" w:rsidTr="0051021C">
        <w:trPr>
          <w:trHeight w:val="20"/>
        </w:trPr>
        <w:tc>
          <w:tcPr>
            <w:tcW w:w="1956" w:type="dxa"/>
            <w:vAlign w:val="center"/>
          </w:tcPr>
          <w:p w14:paraId="4C1FE72A" w14:textId="77777777" w:rsidR="0078396C" w:rsidRPr="00A032E6" w:rsidRDefault="0078396C" w:rsidP="00A85019">
            <w:pPr>
              <w:pStyle w:val="afff8"/>
              <w:rPr>
                <w:rFonts w:eastAsiaTheme="minorEastAsia"/>
                <w:sz w:val="24"/>
              </w:rPr>
            </w:pPr>
            <w:r w:rsidRPr="00A032E6">
              <w:rPr>
                <w:rFonts w:eastAsiaTheme="minorEastAsia"/>
                <w:sz w:val="24"/>
                <w:lang w:val="en-US"/>
              </w:rPr>
              <w:t xml:space="preserve">ITT </w:t>
            </w:r>
          </w:p>
        </w:tc>
        <w:tc>
          <w:tcPr>
            <w:tcW w:w="7389" w:type="dxa"/>
            <w:vAlign w:val="center"/>
          </w:tcPr>
          <w:p w14:paraId="7EF41916" w14:textId="77777777" w:rsidR="0078396C" w:rsidRPr="00AA48F6" w:rsidRDefault="0078396C" w:rsidP="00C22830">
            <w:pPr>
              <w:rPr>
                <w:rFonts w:eastAsiaTheme="minorEastAsia"/>
              </w:rPr>
            </w:pPr>
            <w:r w:rsidRPr="00AA48F6">
              <w:rPr>
                <w:rFonts w:eastAsiaTheme="minorEastAsia"/>
              </w:rPr>
              <w:t>Популяция пациентов, получившая хотя бы 1 дозу исследуемого препарата (</w:t>
            </w:r>
            <w:r w:rsidRPr="00C22830">
              <w:rPr>
                <w:rFonts w:eastAsiaTheme="minorEastAsia"/>
                <w:lang w:val="en-US"/>
              </w:rPr>
              <w:t>Intention</w:t>
            </w:r>
            <w:r w:rsidRPr="00C22830">
              <w:rPr>
                <w:rFonts w:eastAsiaTheme="minorEastAsia"/>
              </w:rPr>
              <w:t xml:space="preserve"> </w:t>
            </w:r>
            <w:r w:rsidRPr="00C22830">
              <w:rPr>
                <w:rFonts w:eastAsiaTheme="minorEastAsia"/>
                <w:lang w:val="en-US"/>
              </w:rPr>
              <w:t>to</w:t>
            </w:r>
            <w:r w:rsidRPr="00C22830">
              <w:rPr>
                <w:rFonts w:eastAsiaTheme="minorEastAsia"/>
              </w:rPr>
              <w:t xml:space="preserve"> </w:t>
            </w:r>
            <w:r w:rsidRPr="00C22830">
              <w:rPr>
                <w:rFonts w:eastAsiaTheme="minorEastAsia"/>
                <w:lang w:val="en-US"/>
              </w:rPr>
              <w:t>Treat</w:t>
            </w:r>
            <w:r w:rsidRPr="00C22830">
              <w:rPr>
                <w:rFonts w:eastAsiaTheme="minorEastAsia"/>
              </w:rPr>
              <w:t xml:space="preserve"> </w:t>
            </w:r>
            <w:r w:rsidRPr="00C22830">
              <w:rPr>
                <w:rFonts w:eastAsiaTheme="minorEastAsia"/>
                <w:lang w:val="en-US"/>
              </w:rPr>
              <w:t>population</w:t>
            </w:r>
            <w:r w:rsidRPr="00AA48F6">
              <w:rPr>
                <w:rFonts w:eastAsiaTheme="minorEastAsia"/>
              </w:rPr>
              <w:t>)</w:t>
            </w:r>
          </w:p>
        </w:tc>
      </w:tr>
      <w:tr w:rsidR="0078396C" w:rsidRPr="00A032E6" w14:paraId="57A42A0A" w14:textId="77777777" w:rsidTr="0051021C">
        <w:trPr>
          <w:trHeight w:val="20"/>
        </w:trPr>
        <w:tc>
          <w:tcPr>
            <w:tcW w:w="1956" w:type="dxa"/>
            <w:vAlign w:val="center"/>
          </w:tcPr>
          <w:p w14:paraId="64004888" w14:textId="77777777" w:rsidR="0078396C" w:rsidRPr="00A032E6" w:rsidRDefault="0078396C" w:rsidP="00A85019">
            <w:pPr>
              <w:pStyle w:val="afff8"/>
              <w:rPr>
                <w:sz w:val="24"/>
                <w:lang w:val="en-US"/>
              </w:rPr>
            </w:pPr>
            <w:r w:rsidRPr="00A032E6">
              <w:rPr>
                <w:sz w:val="24"/>
                <w:lang w:val="en-US"/>
              </w:rPr>
              <w:t>k</w:t>
            </w:r>
            <w:r w:rsidRPr="00A032E6">
              <w:rPr>
                <w:sz w:val="24"/>
                <w:vertAlign w:val="subscript"/>
                <w:lang w:val="en-US"/>
              </w:rPr>
              <w:t>a</w:t>
            </w:r>
          </w:p>
        </w:tc>
        <w:tc>
          <w:tcPr>
            <w:tcW w:w="7389" w:type="dxa"/>
            <w:vAlign w:val="center"/>
          </w:tcPr>
          <w:p w14:paraId="79EB6C3C" w14:textId="77777777" w:rsidR="0078396C" w:rsidRPr="00A032E6" w:rsidRDefault="0078396C" w:rsidP="00A85019">
            <w:pPr>
              <w:pStyle w:val="afff8"/>
              <w:rPr>
                <w:sz w:val="24"/>
              </w:rPr>
            </w:pPr>
            <w:r w:rsidRPr="00A032E6">
              <w:rPr>
                <w:sz w:val="24"/>
              </w:rPr>
              <w:t>Константа скорости всасывания первого порядка</w:t>
            </w:r>
          </w:p>
        </w:tc>
      </w:tr>
      <w:tr w:rsidR="00AA48F6" w:rsidRPr="00144DAC" w14:paraId="251F8C62" w14:textId="77777777" w:rsidTr="0051021C">
        <w:trPr>
          <w:trHeight w:val="20"/>
        </w:trPr>
        <w:tc>
          <w:tcPr>
            <w:tcW w:w="1956" w:type="dxa"/>
            <w:vAlign w:val="center"/>
          </w:tcPr>
          <w:p w14:paraId="7A5EA084" w14:textId="2C6DED6C" w:rsidR="00AA48F6" w:rsidRPr="00144DAC" w:rsidRDefault="00AA48F6" w:rsidP="00A85019">
            <w:pPr>
              <w:pStyle w:val="afff8"/>
              <w:rPr>
                <w:color w:val="000000" w:themeColor="text1"/>
                <w:sz w:val="24"/>
              </w:rPr>
            </w:pPr>
            <w:r w:rsidRPr="00AA48F6">
              <w:rPr>
                <w:color w:val="000000" w:themeColor="text1"/>
                <w:sz w:val="24"/>
              </w:rPr>
              <w:t>Kd</w:t>
            </w:r>
          </w:p>
        </w:tc>
        <w:tc>
          <w:tcPr>
            <w:tcW w:w="7389" w:type="dxa"/>
            <w:vAlign w:val="center"/>
          </w:tcPr>
          <w:p w14:paraId="1B40EF0D" w14:textId="121368C4" w:rsidR="00AA48F6" w:rsidRPr="00144DAC" w:rsidRDefault="00AA48F6" w:rsidP="00A85019">
            <w:pPr>
              <w:pStyle w:val="afff8"/>
              <w:rPr>
                <w:color w:val="000000" w:themeColor="text1"/>
                <w:sz w:val="24"/>
              </w:rPr>
            </w:pPr>
            <w:r w:rsidRPr="00AA48F6">
              <w:rPr>
                <w:color w:val="000000" w:themeColor="text1"/>
                <w:sz w:val="24"/>
              </w:rPr>
              <w:t xml:space="preserve">Константа равновесной диссоциации </w:t>
            </w:r>
          </w:p>
        </w:tc>
      </w:tr>
      <w:tr w:rsidR="0078396C" w:rsidRPr="00144DAC" w14:paraId="45C07631" w14:textId="77777777" w:rsidTr="0051021C">
        <w:trPr>
          <w:trHeight w:val="20"/>
        </w:trPr>
        <w:tc>
          <w:tcPr>
            <w:tcW w:w="1956" w:type="dxa"/>
            <w:vAlign w:val="center"/>
          </w:tcPr>
          <w:p w14:paraId="4FED9F5E" w14:textId="77777777" w:rsidR="0078396C" w:rsidRPr="00144DAC" w:rsidRDefault="0078396C" w:rsidP="00A85019">
            <w:pPr>
              <w:pStyle w:val="afff8"/>
              <w:rPr>
                <w:rFonts w:eastAsiaTheme="minorEastAsia"/>
                <w:sz w:val="24"/>
              </w:rPr>
            </w:pPr>
            <w:r w:rsidRPr="00144DAC">
              <w:rPr>
                <w:color w:val="000000" w:themeColor="text1"/>
                <w:sz w:val="24"/>
              </w:rPr>
              <w:t>Ki</w:t>
            </w:r>
          </w:p>
        </w:tc>
        <w:tc>
          <w:tcPr>
            <w:tcW w:w="7389" w:type="dxa"/>
            <w:vAlign w:val="center"/>
          </w:tcPr>
          <w:p w14:paraId="6A07BBE7" w14:textId="77777777" w:rsidR="0078396C" w:rsidRPr="00144DAC" w:rsidRDefault="0078396C" w:rsidP="00A85019">
            <w:pPr>
              <w:pStyle w:val="afff8"/>
              <w:rPr>
                <w:rFonts w:eastAsiaTheme="minorEastAsia"/>
                <w:sz w:val="24"/>
              </w:rPr>
            </w:pPr>
            <w:r w:rsidRPr="00144DAC">
              <w:rPr>
                <w:color w:val="000000" w:themeColor="text1"/>
                <w:sz w:val="24"/>
              </w:rPr>
              <w:t>Константа ингибирования</w:t>
            </w:r>
          </w:p>
        </w:tc>
      </w:tr>
      <w:tr w:rsidR="00E670E6" w:rsidRPr="00A032E6" w14:paraId="7B77DE3C" w14:textId="77777777" w:rsidTr="0051021C">
        <w:trPr>
          <w:trHeight w:val="20"/>
        </w:trPr>
        <w:tc>
          <w:tcPr>
            <w:tcW w:w="1956" w:type="dxa"/>
            <w:vAlign w:val="center"/>
          </w:tcPr>
          <w:p w14:paraId="4F41A37E" w14:textId="3B78019A" w:rsidR="00E670E6" w:rsidRPr="00A032E6" w:rsidRDefault="00E670E6" w:rsidP="00A85019">
            <w:pPr>
              <w:pStyle w:val="afff8"/>
              <w:rPr>
                <w:rFonts w:eastAsiaTheme="minorEastAsia"/>
                <w:sz w:val="24"/>
              </w:rPr>
            </w:pPr>
            <w:r w:rsidRPr="00E670E6">
              <w:rPr>
                <w:rFonts w:eastAsiaTheme="minorEastAsia"/>
                <w:sz w:val="24"/>
              </w:rPr>
              <w:t>LOAEL</w:t>
            </w:r>
          </w:p>
        </w:tc>
        <w:tc>
          <w:tcPr>
            <w:tcW w:w="7389" w:type="dxa"/>
            <w:vAlign w:val="center"/>
          </w:tcPr>
          <w:p w14:paraId="242A07BF" w14:textId="00218013" w:rsidR="00E670E6" w:rsidRPr="00A032E6" w:rsidRDefault="00E670E6" w:rsidP="00A85019">
            <w:pPr>
              <w:pStyle w:val="afff8"/>
              <w:rPr>
                <w:rFonts w:eastAsiaTheme="minorEastAsia"/>
                <w:sz w:val="24"/>
              </w:rPr>
            </w:pPr>
            <w:r w:rsidRPr="00E670E6">
              <w:rPr>
                <w:rFonts w:eastAsiaTheme="minorEastAsia"/>
                <w:sz w:val="24"/>
              </w:rPr>
              <w:t xml:space="preserve"> наименьшая доза, оказывающая явное нежелательное действие</w:t>
            </w:r>
            <w:r>
              <w:rPr>
                <w:rFonts w:eastAsiaTheme="minorEastAsia"/>
                <w:sz w:val="24"/>
              </w:rPr>
              <w:t xml:space="preserve"> (</w:t>
            </w:r>
            <w:r w:rsidRPr="00E670E6">
              <w:rPr>
                <w:rFonts w:eastAsiaTheme="minorEastAsia"/>
                <w:sz w:val="24"/>
              </w:rPr>
              <w:t xml:space="preserve">lowest-observed-adverse-effect level) </w:t>
            </w:r>
          </w:p>
        </w:tc>
      </w:tr>
      <w:tr w:rsidR="0078396C" w:rsidRPr="00A032E6" w14:paraId="74855728" w14:textId="77777777" w:rsidTr="0051021C">
        <w:trPr>
          <w:trHeight w:val="20"/>
        </w:trPr>
        <w:tc>
          <w:tcPr>
            <w:tcW w:w="1956" w:type="dxa"/>
            <w:vAlign w:val="center"/>
          </w:tcPr>
          <w:p w14:paraId="03831783" w14:textId="77777777" w:rsidR="0078396C" w:rsidRPr="00A032E6" w:rsidRDefault="0078396C" w:rsidP="00A85019">
            <w:pPr>
              <w:pStyle w:val="afff8"/>
              <w:rPr>
                <w:rFonts w:eastAsiaTheme="minorEastAsia"/>
                <w:sz w:val="24"/>
              </w:rPr>
            </w:pPr>
            <w:r w:rsidRPr="00A032E6">
              <w:rPr>
                <w:rFonts w:eastAsiaTheme="minorEastAsia"/>
                <w:sz w:val="24"/>
              </w:rPr>
              <w:t>LD</w:t>
            </w:r>
            <w:r w:rsidRPr="00A032E6">
              <w:rPr>
                <w:rFonts w:eastAsiaTheme="minorEastAsia"/>
                <w:sz w:val="24"/>
                <w:vertAlign w:val="subscript"/>
              </w:rPr>
              <w:t>50</w:t>
            </w:r>
          </w:p>
        </w:tc>
        <w:tc>
          <w:tcPr>
            <w:tcW w:w="7389" w:type="dxa"/>
            <w:vAlign w:val="center"/>
          </w:tcPr>
          <w:p w14:paraId="5729AAAB" w14:textId="58D80073" w:rsidR="0078396C" w:rsidRPr="00A032E6" w:rsidRDefault="0078396C" w:rsidP="00A85019">
            <w:pPr>
              <w:pStyle w:val="afff8"/>
              <w:rPr>
                <w:rFonts w:eastAsiaTheme="minorEastAsia"/>
                <w:sz w:val="24"/>
              </w:rPr>
            </w:pPr>
            <w:r w:rsidRPr="00A032E6">
              <w:rPr>
                <w:rFonts w:eastAsiaTheme="minorEastAsia"/>
                <w:sz w:val="24"/>
              </w:rPr>
              <w:t>Среднесмертельная доза</w:t>
            </w:r>
            <w:r w:rsidR="00E163F0">
              <w:rPr>
                <w:rFonts w:eastAsiaTheme="minorEastAsia"/>
                <w:sz w:val="24"/>
              </w:rPr>
              <w:t xml:space="preserve"> (</w:t>
            </w:r>
            <w:r w:rsidR="00E163F0" w:rsidRPr="00E163F0">
              <w:rPr>
                <w:rFonts w:eastAsiaTheme="minorEastAsia"/>
                <w:sz w:val="24"/>
              </w:rPr>
              <w:t>median lethal dose</w:t>
            </w:r>
            <w:r w:rsidR="00E163F0">
              <w:rPr>
                <w:rFonts w:eastAsiaTheme="minorEastAsia"/>
                <w:sz w:val="24"/>
              </w:rPr>
              <w:t>)</w:t>
            </w:r>
          </w:p>
        </w:tc>
      </w:tr>
      <w:tr w:rsidR="00A022F6" w:rsidRPr="00762053" w14:paraId="29C25074" w14:textId="77777777" w:rsidTr="0051021C">
        <w:trPr>
          <w:trHeight w:val="20"/>
        </w:trPr>
        <w:tc>
          <w:tcPr>
            <w:tcW w:w="1956" w:type="dxa"/>
            <w:vAlign w:val="center"/>
          </w:tcPr>
          <w:p w14:paraId="76FDAC7B" w14:textId="6D5BCCE4" w:rsidR="00A022F6" w:rsidRPr="00981B3F" w:rsidRDefault="00A022F6" w:rsidP="00A85019">
            <w:pPr>
              <w:pStyle w:val="afff8"/>
              <w:rPr>
                <w:rFonts w:eastAsiaTheme="minorEastAsia"/>
                <w:color w:val="000000" w:themeColor="text1"/>
                <w:sz w:val="24"/>
                <w:lang w:val="en-US"/>
              </w:rPr>
            </w:pPr>
            <w:r w:rsidRPr="00A022F6">
              <w:rPr>
                <w:rFonts w:eastAsiaTheme="minorEastAsia"/>
                <w:color w:val="000000" w:themeColor="text1"/>
                <w:sz w:val="24"/>
                <w:lang w:val="en-US"/>
              </w:rPr>
              <w:t>MAPK</w:t>
            </w:r>
          </w:p>
        </w:tc>
        <w:tc>
          <w:tcPr>
            <w:tcW w:w="7389" w:type="dxa"/>
            <w:vAlign w:val="center"/>
          </w:tcPr>
          <w:p w14:paraId="7CCEEF61" w14:textId="06DC098F" w:rsidR="00A022F6" w:rsidRPr="00A022F6" w:rsidRDefault="00671AC1" w:rsidP="00A85019">
            <w:pPr>
              <w:pStyle w:val="afff8"/>
              <w:rPr>
                <w:rFonts w:eastAsiaTheme="minorEastAsia"/>
                <w:color w:val="000000" w:themeColor="text1"/>
                <w:sz w:val="24"/>
                <w:lang w:val="en-US"/>
              </w:rPr>
            </w:pPr>
            <w:r w:rsidRPr="00A022F6">
              <w:rPr>
                <w:rFonts w:eastAsiaTheme="minorEastAsia"/>
                <w:color w:val="000000" w:themeColor="text1"/>
                <w:sz w:val="24"/>
              </w:rPr>
              <w:t>М</w:t>
            </w:r>
            <w:r w:rsidR="00A022F6" w:rsidRPr="00A022F6">
              <w:rPr>
                <w:rFonts w:eastAsiaTheme="minorEastAsia"/>
                <w:color w:val="000000" w:themeColor="text1"/>
                <w:sz w:val="24"/>
              </w:rPr>
              <w:t>итогенактивируем</w:t>
            </w:r>
            <w:r>
              <w:rPr>
                <w:rFonts w:eastAsiaTheme="minorEastAsia"/>
                <w:color w:val="000000" w:themeColor="text1"/>
                <w:sz w:val="24"/>
              </w:rPr>
              <w:t>ая</w:t>
            </w:r>
            <w:r w:rsidR="00A022F6" w:rsidRPr="00A022F6">
              <w:rPr>
                <w:rFonts w:eastAsiaTheme="minorEastAsia"/>
                <w:color w:val="000000" w:themeColor="text1"/>
                <w:sz w:val="24"/>
                <w:lang w:val="en-US"/>
              </w:rPr>
              <w:t xml:space="preserve"> </w:t>
            </w:r>
            <w:r w:rsidR="00A022F6" w:rsidRPr="00A022F6">
              <w:rPr>
                <w:rFonts w:eastAsiaTheme="minorEastAsia"/>
                <w:color w:val="000000" w:themeColor="text1"/>
                <w:sz w:val="24"/>
              </w:rPr>
              <w:t>киназ</w:t>
            </w:r>
            <w:r>
              <w:rPr>
                <w:rFonts w:eastAsiaTheme="minorEastAsia"/>
                <w:color w:val="000000" w:themeColor="text1"/>
                <w:sz w:val="24"/>
              </w:rPr>
              <w:t>а</w:t>
            </w:r>
            <w:r w:rsidR="00415447" w:rsidRPr="00415447">
              <w:rPr>
                <w:rFonts w:eastAsiaTheme="minorEastAsia"/>
                <w:color w:val="000000" w:themeColor="text1"/>
                <w:sz w:val="24"/>
                <w:lang w:val="en-US"/>
              </w:rPr>
              <w:t xml:space="preserve"> </w:t>
            </w:r>
            <w:r w:rsidR="00415447" w:rsidRPr="00A022F6">
              <w:rPr>
                <w:rFonts w:eastAsiaTheme="minorEastAsia"/>
                <w:color w:val="000000" w:themeColor="text1"/>
                <w:sz w:val="24"/>
                <w:lang w:val="en-US"/>
              </w:rPr>
              <w:t>(mitogen-activated protein kinase)</w:t>
            </w:r>
          </w:p>
        </w:tc>
      </w:tr>
      <w:tr w:rsidR="00AA48F6" w:rsidRPr="00762053" w14:paraId="03418908" w14:textId="77777777" w:rsidTr="0051021C">
        <w:trPr>
          <w:trHeight w:val="20"/>
        </w:trPr>
        <w:tc>
          <w:tcPr>
            <w:tcW w:w="1956" w:type="dxa"/>
            <w:vAlign w:val="center"/>
          </w:tcPr>
          <w:p w14:paraId="5DED226E" w14:textId="6D034373" w:rsidR="00AA48F6" w:rsidRPr="004A1AED" w:rsidRDefault="00AA48F6" w:rsidP="00A85019">
            <w:pPr>
              <w:pStyle w:val="afff8"/>
              <w:rPr>
                <w:rFonts w:eastAsiaTheme="minorEastAsia"/>
                <w:color w:val="000000" w:themeColor="text1"/>
                <w:sz w:val="24"/>
              </w:rPr>
            </w:pPr>
            <w:r w:rsidRPr="00AA48F6">
              <w:rPr>
                <w:rFonts w:eastAsiaTheme="minorEastAsia"/>
                <w:color w:val="000000" w:themeColor="text1"/>
                <w:sz w:val="24"/>
              </w:rPr>
              <w:t>МРЕ</w:t>
            </w:r>
          </w:p>
        </w:tc>
        <w:tc>
          <w:tcPr>
            <w:tcW w:w="7389" w:type="dxa"/>
            <w:vAlign w:val="center"/>
          </w:tcPr>
          <w:p w14:paraId="6D4ECDFE" w14:textId="5B1F0AEA" w:rsidR="00AA48F6" w:rsidRPr="00C22830" w:rsidRDefault="00AA48F6" w:rsidP="00A85019">
            <w:pPr>
              <w:pStyle w:val="afff8"/>
              <w:rPr>
                <w:rFonts w:eastAsiaTheme="minorEastAsia"/>
                <w:color w:val="000000" w:themeColor="text1"/>
                <w:sz w:val="24"/>
                <w:lang w:val="en-US"/>
              </w:rPr>
            </w:pPr>
            <w:r w:rsidRPr="00C22830">
              <w:rPr>
                <w:rFonts w:eastAsiaTheme="minorEastAsia"/>
                <w:color w:val="000000" w:themeColor="text1"/>
                <w:sz w:val="24"/>
                <w:lang w:val="en-US"/>
              </w:rPr>
              <w:t>C</w:t>
            </w:r>
            <w:r w:rsidRPr="00AA48F6">
              <w:rPr>
                <w:rFonts w:eastAsiaTheme="minorEastAsia"/>
                <w:color w:val="000000" w:themeColor="text1"/>
                <w:sz w:val="24"/>
              </w:rPr>
              <w:t>редний</w:t>
            </w:r>
            <w:r w:rsidRPr="00C22830">
              <w:rPr>
                <w:rFonts w:eastAsiaTheme="minorEastAsia"/>
                <w:color w:val="000000" w:themeColor="text1"/>
                <w:sz w:val="24"/>
                <w:lang w:val="en-US"/>
              </w:rPr>
              <w:t xml:space="preserve"> </w:t>
            </w:r>
            <w:r w:rsidRPr="00AA48F6">
              <w:rPr>
                <w:rFonts w:eastAsiaTheme="minorEastAsia"/>
                <w:color w:val="000000" w:themeColor="text1"/>
                <w:sz w:val="24"/>
              </w:rPr>
              <w:t>фотоэффект</w:t>
            </w:r>
            <w:r w:rsidRPr="00C22830">
              <w:rPr>
                <w:rFonts w:eastAsiaTheme="minorEastAsia"/>
                <w:color w:val="000000" w:themeColor="text1"/>
                <w:sz w:val="24"/>
                <w:lang w:val="en-US"/>
              </w:rPr>
              <w:t xml:space="preserve"> (Mean photo effect)</w:t>
            </w:r>
          </w:p>
        </w:tc>
      </w:tr>
      <w:tr w:rsidR="004A1AED" w:rsidRPr="00762053" w14:paraId="274B74EF" w14:textId="77777777" w:rsidTr="0051021C">
        <w:trPr>
          <w:trHeight w:val="20"/>
        </w:trPr>
        <w:tc>
          <w:tcPr>
            <w:tcW w:w="1956" w:type="dxa"/>
            <w:vAlign w:val="center"/>
          </w:tcPr>
          <w:p w14:paraId="5E60EA30" w14:textId="491522BC" w:rsidR="004A1AED" w:rsidRPr="00981B3F" w:rsidRDefault="004A1AED" w:rsidP="00A85019">
            <w:pPr>
              <w:pStyle w:val="afff8"/>
              <w:rPr>
                <w:rFonts w:eastAsiaTheme="minorEastAsia"/>
                <w:color w:val="000000" w:themeColor="text1"/>
                <w:sz w:val="24"/>
                <w:lang w:val="en-US"/>
              </w:rPr>
            </w:pPr>
            <w:r w:rsidRPr="004A1AED">
              <w:rPr>
                <w:rFonts w:eastAsiaTheme="minorEastAsia"/>
                <w:color w:val="000000" w:themeColor="text1"/>
                <w:sz w:val="24"/>
              </w:rPr>
              <w:lastRenderedPageBreak/>
              <w:t>mTOR</w:t>
            </w:r>
          </w:p>
        </w:tc>
        <w:tc>
          <w:tcPr>
            <w:tcW w:w="7389" w:type="dxa"/>
            <w:vAlign w:val="center"/>
          </w:tcPr>
          <w:p w14:paraId="47050988" w14:textId="42AB5E65" w:rsidR="004A1AED" w:rsidRPr="00C22830" w:rsidRDefault="00A85019" w:rsidP="00A85019">
            <w:pPr>
              <w:pStyle w:val="afff8"/>
              <w:rPr>
                <w:rFonts w:eastAsiaTheme="minorEastAsia"/>
                <w:color w:val="000000" w:themeColor="text1"/>
                <w:sz w:val="24"/>
                <w:lang w:val="en-US"/>
              </w:rPr>
            </w:pPr>
            <w:bookmarkStart w:id="8" w:name="_Hlk119258765"/>
            <w:r>
              <w:rPr>
                <w:rFonts w:eastAsiaTheme="minorEastAsia"/>
                <w:color w:val="000000" w:themeColor="text1"/>
                <w:sz w:val="24"/>
              </w:rPr>
              <w:t>М</w:t>
            </w:r>
            <w:r w:rsidR="004A1AED" w:rsidRPr="004A1AED">
              <w:rPr>
                <w:rFonts w:eastAsiaTheme="minorEastAsia"/>
                <w:color w:val="000000" w:themeColor="text1"/>
                <w:sz w:val="24"/>
              </w:rPr>
              <w:t>ишень</w:t>
            </w:r>
            <w:r w:rsidR="004A1AED" w:rsidRPr="00C22830">
              <w:rPr>
                <w:rFonts w:eastAsiaTheme="minorEastAsia"/>
                <w:color w:val="000000" w:themeColor="text1"/>
                <w:sz w:val="24"/>
                <w:lang w:val="en-US"/>
              </w:rPr>
              <w:t xml:space="preserve"> </w:t>
            </w:r>
            <w:r w:rsidR="004A1AED" w:rsidRPr="004A1AED">
              <w:rPr>
                <w:rFonts w:eastAsiaTheme="minorEastAsia"/>
                <w:color w:val="000000" w:themeColor="text1"/>
                <w:sz w:val="24"/>
              </w:rPr>
              <w:t>рапамицина</w:t>
            </w:r>
            <w:r w:rsidR="004A1AED" w:rsidRPr="00C22830">
              <w:rPr>
                <w:rFonts w:eastAsiaTheme="minorEastAsia"/>
                <w:color w:val="000000" w:themeColor="text1"/>
                <w:sz w:val="24"/>
                <w:lang w:val="en-US"/>
              </w:rPr>
              <w:t xml:space="preserve"> </w:t>
            </w:r>
            <w:r w:rsidR="004A1AED" w:rsidRPr="004A1AED">
              <w:rPr>
                <w:rFonts w:eastAsiaTheme="minorEastAsia"/>
                <w:color w:val="000000" w:themeColor="text1"/>
                <w:sz w:val="24"/>
              </w:rPr>
              <w:t>у</w:t>
            </w:r>
            <w:r w:rsidR="004A1AED" w:rsidRPr="00C22830">
              <w:rPr>
                <w:rFonts w:eastAsiaTheme="minorEastAsia"/>
                <w:color w:val="000000" w:themeColor="text1"/>
                <w:sz w:val="24"/>
                <w:lang w:val="en-US"/>
              </w:rPr>
              <w:t xml:space="preserve"> </w:t>
            </w:r>
            <w:r w:rsidR="004A1AED" w:rsidRPr="004A1AED">
              <w:rPr>
                <w:rFonts w:eastAsiaTheme="minorEastAsia"/>
                <w:color w:val="000000" w:themeColor="text1"/>
                <w:sz w:val="24"/>
              </w:rPr>
              <w:t>млекопитающих</w:t>
            </w:r>
            <w:r w:rsidR="004A1AED" w:rsidRPr="00C22830">
              <w:rPr>
                <w:rFonts w:eastAsiaTheme="minorEastAsia"/>
                <w:color w:val="000000" w:themeColor="text1"/>
                <w:sz w:val="24"/>
                <w:lang w:val="en-US"/>
              </w:rPr>
              <w:t xml:space="preserve"> </w:t>
            </w:r>
            <w:bookmarkEnd w:id="8"/>
            <w:r w:rsidR="004A1AED" w:rsidRPr="00C22830">
              <w:rPr>
                <w:rFonts w:eastAsiaTheme="minorEastAsia"/>
                <w:color w:val="000000" w:themeColor="text1"/>
                <w:sz w:val="24"/>
                <w:lang w:val="en-US"/>
              </w:rPr>
              <w:t>(mammalian target of rapamycin)</w:t>
            </w:r>
          </w:p>
        </w:tc>
      </w:tr>
      <w:tr w:rsidR="00981B3F" w:rsidRPr="000F203D" w14:paraId="34729154" w14:textId="77777777" w:rsidTr="0051021C">
        <w:trPr>
          <w:trHeight w:val="20"/>
        </w:trPr>
        <w:tc>
          <w:tcPr>
            <w:tcW w:w="1956" w:type="dxa"/>
            <w:vAlign w:val="center"/>
          </w:tcPr>
          <w:p w14:paraId="01E95FA5" w14:textId="741ABD07" w:rsidR="00981B3F" w:rsidRPr="00144DAC" w:rsidRDefault="00981B3F" w:rsidP="00A85019">
            <w:pPr>
              <w:pStyle w:val="afff8"/>
              <w:rPr>
                <w:rFonts w:eastAsiaTheme="minorEastAsia"/>
                <w:color w:val="000000" w:themeColor="text1"/>
                <w:sz w:val="24"/>
              </w:rPr>
            </w:pPr>
            <w:r w:rsidRPr="00981B3F">
              <w:rPr>
                <w:rFonts w:eastAsiaTheme="minorEastAsia"/>
                <w:color w:val="000000" w:themeColor="text1"/>
                <w:sz w:val="24"/>
                <w:lang w:val="en-US"/>
              </w:rPr>
              <w:t>MSKCC</w:t>
            </w:r>
          </w:p>
        </w:tc>
        <w:tc>
          <w:tcPr>
            <w:tcW w:w="7389" w:type="dxa"/>
            <w:vAlign w:val="center"/>
          </w:tcPr>
          <w:p w14:paraId="7106FF07" w14:textId="3DC9FB46" w:rsidR="00981B3F" w:rsidRPr="000F203D" w:rsidRDefault="00981B3F" w:rsidP="00A85019">
            <w:pPr>
              <w:pStyle w:val="afff8"/>
              <w:rPr>
                <w:rFonts w:eastAsiaTheme="minorEastAsia"/>
                <w:color w:val="000000" w:themeColor="text1"/>
                <w:sz w:val="24"/>
              </w:rPr>
            </w:pPr>
            <w:r w:rsidRPr="00981B3F">
              <w:rPr>
                <w:rFonts w:eastAsiaTheme="minorEastAsia"/>
                <w:color w:val="000000" w:themeColor="text1"/>
                <w:sz w:val="24"/>
              </w:rPr>
              <w:t xml:space="preserve"> Мемориальный онкологический центр им. Слоуна</w:t>
            </w:r>
            <w:r w:rsidRPr="000F203D">
              <w:rPr>
                <w:rFonts w:eastAsiaTheme="minorEastAsia"/>
                <w:color w:val="000000" w:themeColor="text1"/>
                <w:sz w:val="24"/>
              </w:rPr>
              <w:t>‒</w:t>
            </w:r>
            <w:r w:rsidRPr="00981B3F">
              <w:rPr>
                <w:rFonts w:eastAsiaTheme="minorEastAsia"/>
                <w:color w:val="000000" w:themeColor="text1"/>
                <w:sz w:val="24"/>
              </w:rPr>
              <w:t>Кеттеринга</w:t>
            </w:r>
            <w:r w:rsidRPr="000F203D">
              <w:rPr>
                <w:rFonts w:eastAsiaTheme="minorEastAsia"/>
                <w:color w:val="000000" w:themeColor="text1"/>
                <w:sz w:val="24"/>
              </w:rPr>
              <w:t xml:space="preserve"> (</w:t>
            </w:r>
            <w:r w:rsidRPr="00981B3F">
              <w:rPr>
                <w:rFonts w:eastAsiaTheme="minorEastAsia"/>
                <w:color w:val="000000" w:themeColor="text1"/>
                <w:sz w:val="24"/>
                <w:lang w:val="en-US"/>
              </w:rPr>
              <w:t>Memorial</w:t>
            </w:r>
            <w:r w:rsidRPr="000F203D">
              <w:rPr>
                <w:rFonts w:eastAsiaTheme="minorEastAsia"/>
                <w:color w:val="000000" w:themeColor="text1"/>
                <w:sz w:val="24"/>
              </w:rPr>
              <w:t xml:space="preserve"> </w:t>
            </w:r>
            <w:r w:rsidRPr="00981B3F">
              <w:rPr>
                <w:rFonts w:eastAsiaTheme="minorEastAsia"/>
                <w:color w:val="000000" w:themeColor="text1"/>
                <w:sz w:val="24"/>
                <w:lang w:val="en-US"/>
              </w:rPr>
              <w:t>Sloan</w:t>
            </w:r>
            <w:r w:rsidRPr="000F203D">
              <w:rPr>
                <w:rFonts w:eastAsiaTheme="minorEastAsia"/>
                <w:color w:val="000000" w:themeColor="text1"/>
                <w:sz w:val="24"/>
              </w:rPr>
              <w:t>–</w:t>
            </w:r>
            <w:r w:rsidRPr="00981B3F">
              <w:rPr>
                <w:rFonts w:eastAsiaTheme="minorEastAsia"/>
                <w:color w:val="000000" w:themeColor="text1"/>
                <w:sz w:val="24"/>
                <w:lang w:val="en-US"/>
              </w:rPr>
              <w:t>Kettering</w:t>
            </w:r>
            <w:r w:rsidRPr="000F203D">
              <w:rPr>
                <w:rFonts w:eastAsiaTheme="minorEastAsia"/>
                <w:color w:val="000000" w:themeColor="text1"/>
                <w:sz w:val="24"/>
              </w:rPr>
              <w:t xml:space="preserve"> </w:t>
            </w:r>
            <w:r w:rsidRPr="00981B3F">
              <w:rPr>
                <w:rFonts w:eastAsiaTheme="minorEastAsia"/>
                <w:color w:val="000000" w:themeColor="text1"/>
                <w:sz w:val="24"/>
                <w:lang w:val="en-US"/>
              </w:rPr>
              <w:t>Cancer</w:t>
            </w:r>
            <w:r w:rsidRPr="000F203D">
              <w:rPr>
                <w:rFonts w:eastAsiaTheme="minorEastAsia"/>
                <w:color w:val="000000" w:themeColor="text1"/>
                <w:sz w:val="24"/>
              </w:rPr>
              <w:t xml:space="preserve"> </w:t>
            </w:r>
            <w:r w:rsidRPr="00981B3F">
              <w:rPr>
                <w:rFonts w:eastAsiaTheme="minorEastAsia"/>
                <w:color w:val="000000" w:themeColor="text1"/>
                <w:sz w:val="24"/>
                <w:lang w:val="en-US"/>
              </w:rPr>
              <w:t>Center</w:t>
            </w:r>
            <w:r w:rsidRPr="000F203D">
              <w:rPr>
                <w:rFonts w:eastAsiaTheme="minorEastAsia"/>
                <w:color w:val="000000" w:themeColor="text1"/>
                <w:sz w:val="24"/>
              </w:rPr>
              <w:t xml:space="preserve">) </w:t>
            </w:r>
          </w:p>
        </w:tc>
      </w:tr>
      <w:tr w:rsidR="0078396C" w:rsidRPr="00144DAC" w14:paraId="18E7975F" w14:textId="77777777" w:rsidTr="0051021C">
        <w:trPr>
          <w:trHeight w:val="20"/>
        </w:trPr>
        <w:tc>
          <w:tcPr>
            <w:tcW w:w="1956" w:type="dxa"/>
            <w:vAlign w:val="center"/>
          </w:tcPr>
          <w:p w14:paraId="3377A260" w14:textId="43510FF3" w:rsidR="0078396C" w:rsidRPr="00144DAC" w:rsidRDefault="0078396C" w:rsidP="00A85019">
            <w:pPr>
              <w:pStyle w:val="afff8"/>
              <w:rPr>
                <w:rFonts w:eastAsiaTheme="minorEastAsia"/>
                <w:sz w:val="24"/>
              </w:rPr>
            </w:pPr>
            <w:r w:rsidRPr="00144DAC">
              <w:rPr>
                <w:rFonts w:eastAsiaTheme="minorEastAsia"/>
                <w:color w:val="000000" w:themeColor="text1"/>
                <w:sz w:val="24"/>
              </w:rPr>
              <w:t>NOAEL</w:t>
            </w:r>
          </w:p>
        </w:tc>
        <w:tc>
          <w:tcPr>
            <w:tcW w:w="7389" w:type="dxa"/>
            <w:vAlign w:val="center"/>
          </w:tcPr>
          <w:p w14:paraId="0F9D197D" w14:textId="77777777" w:rsidR="0078396C" w:rsidRPr="00144DAC" w:rsidRDefault="0078396C" w:rsidP="00A85019">
            <w:pPr>
              <w:pStyle w:val="afff8"/>
              <w:rPr>
                <w:rFonts w:eastAsiaTheme="minorEastAsia"/>
                <w:sz w:val="24"/>
              </w:rPr>
            </w:pPr>
            <w:r w:rsidRPr="00144DAC">
              <w:rPr>
                <w:rFonts w:eastAsiaTheme="minorEastAsia"/>
                <w:color w:val="000000" w:themeColor="text1"/>
                <w:sz w:val="24"/>
              </w:rPr>
              <w:t>Максимальная доза, не оказывающая явного нежелательного эффекта</w:t>
            </w:r>
          </w:p>
        </w:tc>
      </w:tr>
      <w:tr w:rsidR="00243B16" w:rsidRPr="00762053" w14:paraId="6D112AA8" w14:textId="77777777" w:rsidTr="00D050C7">
        <w:trPr>
          <w:trHeight w:val="20"/>
        </w:trPr>
        <w:tc>
          <w:tcPr>
            <w:tcW w:w="1956" w:type="dxa"/>
          </w:tcPr>
          <w:p w14:paraId="63F840B5" w14:textId="3EC45702" w:rsidR="00243B16" w:rsidRPr="00D050C7" w:rsidRDefault="00243B16" w:rsidP="00243B16">
            <w:pPr>
              <w:pStyle w:val="afff8"/>
              <w:rPr>
                <w:rFonts w:eastAsiaTheme="minorEastAsia"/>
                <w:color w:val="000000" w:themeColor="text1"/>
                <w:sz w:val="24"/>
                <w:lang w:val="en-US"/>
              </w:rPr>
            </w:pPr>
            <w:r w:rsidRPr="00D050C7">
              <w:rPr>
                <w:sz w:val="24"/>
                <w:lang w:val="en-US"/>
              </w:rPr>
              <w:t>NYHA</w:t>
            </w:r>
          </w:p>
        </w:tc>
        <w:tc>
          <w:tcPr>
            <w:tcW w:w="7389" w:type="dxa"/>
          </w:tcPr>
          <w:p w14:paraId="45D73B77" w14:textId="18E11546" w:rsidR="00243B16" w:rsidRPr="00D050C7" w:rsidRDefault="00243B16" w:rsidP="00243B16">
            <w:pPr>
              <w:pStyle w:val="afff8"/>
              <w:rPr>
                <w:rFonts w:eastAsiaTheme="minorEastAsia"/>
                <w:color w:val="000000" w:themeColor="text1"/>
                <w:sz w:val="24"/>
                <w:lang w:val="en-US"/>
              </w:rPr>
            </w:pPr>
            <w:r w:rsidRPr="00D050C7">
              <w:rPr>
                <w:sz w:val="24"/>
              </w:rPr>
              <w:t>Нью</w:t>
            </w:r>
            <w:r w:rsidRPr="00D050C7">
              <w:rPr>
                <w:sz w:val="24"/>
                <w:lang w:val="en-US"/>
              </w:rPr>
              <w:t>-</w:t>
            </w:r>
            <w:r w:rsidRPr="00D050C7">
              <w:rPr>
                <w:sz w:val="24"/>
              </w:rPr>
              <w:t>Йоркской</w:t>
            </w:r>
            <w:r w:rsidRPr="00D050C7">
              <w:rPr>
                <w:sz w:val="24"/>
                <w:lang w:val="en-US"/>
              </w:rPr>
              <w:t xml:space="preserve"> </w:t>
            </w:r>
            <w:r w:rsidRPr="00D050C7">
              <w:rPr>
                <w:sz w:val="24"/>
              </w:rPr>
              <w:t>кардиологической</w:t>
            </w:r>
            <w:r w:rsidRPr="00D050C7">
              <w:rPr>
                <w:sz w:val="24"/>
                <w:lang w:val="en-US"/>
              </w:rPr>
              <w:t xml:space="preserve"> </w:t>
            </w:r>
            <w:r w:rsidRPr="00D050C7">
              <w:rPr>
                <w:sz w:val="24"/>
              </w:rPr>
              <w:t>ассоциации</w:t>
            </w:r>
            <w:r w:rsidRPr="00D050C7">
              <w:rPr>
                <w:sz w:val="24"/>
                <w:lang w:val="en-US"/>
              </w:rPr>
              <w:t xml:space="preserve"> (New York Heart Association)</w:t>
            </w:r>
          </w:p>
        </w:tc>
      </w:tr>
      <w:tr w:rsidR="00981B3F" w:rsidRPr="00A032E6" w14:paraId="658B9055" w14:textId="77777777" w:rsidTr="0051021C">
        <w:trPr>
          <w:trHeight w:val="20"/>
        </w:trPr>
        <w:tc>
          <w:tcPr>
            <w:tcW w:w="1956" w:type="dxa"/>
            <w:vAlign w:val="center"/>
          </w:tcPr>
          <w:p w14:paraId="7792C019" w14:textId="1CA5FAA3" w:rsidR="00981B3F" w:rsidRPr="00E670E6" w:rsidRDefault="00981B3F" w:rsidP="00A85019">
            <w:pPr>
              <w:pStyle w:val="afff8"/>
              <w:rPr>
                <w:rFonts w:eastAsiaTheme="minorEastAsia"/>
                <w:sz w:val="24"/>
              </w:rPr>
            </w:pPr>
            <w:r w:rsidRPr="00981B3F">
              <w:rPr>
                <w:rFonts w:eastAsiaTheme="minorEastAsia"/>
                <w:sz w:val="24"/>
              </w:rPr>
              <w:t>PD-1</w:t>
            </w:r>
          </w:p>
        </w:tc>
        <w:tc>
          <w:tcPr>
            <w:tcW w:w="7389" w:type="dxa"/>
            <w:vAlign w:val="center"/>
          </w:tcPr>
          <w:p w14:paraId="53E078EA" w14:textId="426777BC" w:rsidR="00981B3F" w:rsidRDefault="00671AC1" w:rsidP="00A85019">
            <w:pPr>
              <w:pStyle w:val="afff8"/>
              <w:rPr>
                <w:rFonts w:eastAsiaTheme="minorEastAsia"/>
                <w:sz w:val="24"/>
              </w:rPr>
            </w:pPr>
            <w:r w:rsidRPr="00981B3F">
              <w:rPr>
                <w:rFonts w:eastAsiaTheme="minorEastAsia"/>
                <w:sz w:val="24"/>
              </w:rPr>
              <w:t>Б</w:t>
            </w:r>
            <w:r w:rsidR="00981B3F" w:rsidRPr="00981B3F">
              <w:rPr>
                <w:rFonts w:eastAsiaTheme="minorEastAsia"/>
                <w:sz w:val="24"/>
              </w:rPr>
              <w:t>елок запрограммированной гибели клеток-1</w:t>
            </w:r>
            <w:r w:rsidR="00981B3F">
              <w:rPr>
                <w:rFonts w:eastAsiaTheme="minorEastAsia"/>
                <w:sz w:val="24"/>
              </w:rPr>
              <w:t xml:space="preserve"> </w:t>
            </w:r>
            <w:r w:rsidR="00981B3F" w:rsidRPr="00981B3F">
              <w:rPr>
                <w:rFonts w:eastAsiaTheme="minorEastAsia"/>
                <w:sz w:val="24"/>
              </w:rPr>
              <w:t>(programmed cell death protein-1)</w:t>
            </w:r>
          </w:p>
        </w:tc>
      </w:tr>
      <w:tr w:rsidR="00981B3F" w:rsidRPr="00A032E6" w14:paraId="4110077D" w14:textId="77777777" w:rsidTr="0051021C">
        <w:trPr>
          <w:trHeight w:val="20"/>
        </w:trPr>
        <w:tc>
          <w:tcPr>
            <w:tcW w:w="1956" w:type="dxa"/>
            <w:vAlign w:val="center"/>
          </w:tcPr>
          <w:p w14:paraId="42CF8A65" w14:textId="35C91C4E" w:rsidR="00981B3F" w:rsidRPr="00981B3F" w:rsidRDefault="00981B3F" w:rsidP="00A85019">
            <w:pPr>
              <w:pStyle w:val="afff8"/>
              <w:rPr>
                <w:rFonts w:eastAsiaTheme="minorEastAsia"/>
                <w:sz w:val="24"/>
              </w:rPr>
            </w:pPr>
            <w:r w:rsidRPr="00981B3F">
              <w:rPr>
                <w:rFonts w:eastAsiaTheme="minorEastAsia"/>
                <w:sz w:val="24"/>
              </w:rPr>
              <w:t>PD-L1</w:t>
            </w:r>
          </w:p>
        </w:tc>
        <w:tc>
          <w:tcPr>
            <w:tcW w:w="7389" w:type="dxa"/>
            <w:vAlign w:val="center"/>
          </w:tcPr>
          <w:p w14:paraId="15C381A9" w14:textId="16694E64" w:rsidR="00981B3F" w:rsidRPr="00981B3F" w:rsidRDefault="00671AC1" w:rsidP="00981B3F">
            <w:pPr>
              <w:rPr>
                <w:rFonts w:eastAsiaTheme="minorEastAsia"/>
                <w:lang w:eastAsia="ru-RU"/>
              </w:rPr>
            </w:pPr>
            <w:r w:rsidRPr="00981B3F">
              <w:rPr>
                <w:rFonts w:eastAsiaTheme="minorEastAsia"/>
                <w:lang w:eastAsia="ru-RU"/>
              </w:rPr>
              <w:t>Л</w:t>
            </w:r>
            <w:r w:rsidR="00981B3F" w:rsidRPr="00981B3F">
              <w:rPr>
                <w:rFonts w:eastAsiaTheme="minorEastAsia"/>
                <w:lang w:eastAsia="ru-RU"/>
              </w:rPr>
              <w:t>иганд запрограммированной смерти-1 (programmed death ligand-1)</w:t>
            </w:r>
          </w:p>
          <w:p w14:paraId="2EFD28B9" w14:textId="77777777" w:rsidR="00981B3F" w:rsidRPr="00981B3F" w:rsidRDefault="00981B3F" w:rsidP="00A85019">
            <w:pPr>
              <w:pStyle w:val="afff8"/>
              <w:rPr>
                <w:rFonts w:eastAsiaTheme="minorEastAsia"/>
                <w:sz w:val="24"/>
              </w:rPr>
            </w:pPr>
          </w:p>
        </w:tc>
      </w:tr>
      <w:tr w:rsidR="003906E8" w:rsidRPr="00A032E6" w14:paraId="4E478F1A" w14:textId="77777777" w:rsidTr="0051021C">
        <w:trPr>
          <w:trHeight w:val="20"/>
        </w:trPr>
        <w:tc>
          <w:tcPr>
            <w:tcW w:w="1956" w:type="dxa"/>
            <w:vAlign w:val="center"/>
          </w:tcPr>
          <w:p w14:paraId="08E96167" w14:textId="367F3F88" w:rsidR="003906E8" w:rsidRPr="006A786D" w:rsidRDefault="003906E8" w:rsidP="00A85019">
            <w:pPr>
              <w:pStyle w:val="afff8"/>
              <w:rPr>
                <w:rFonts w:eastAsiaTheme="minorEastAsia"/>
                <w:sz w:val="24"/>
              </w:rPr>
            </w:pPr>
            <w:r w:rsidRPr="006A786D">
              <w:rPr>
                <w:sz w:val="24"/>
                <w:lang w:val="en-US"/>
              </w:rPr>
              <w:t>PDGFR</w:t>
            </w:r>
          </w:p>
        </w:tc>
        <w:tc>
          <w:tcPr>
            <w:tcW w:w="7389" w:type="dxa"/>
            <w:vAlign w:val="center"/>
          </w:tcPr>
          <w:p w14:paraId="7C4A6D14" w14:textId="1C91DDD1" w:rsidR="003906E8" w:rsidRPr="006A786D" w:rsidRDefault="00671AC1" w:rsidP="00A85019">
            <w:pPr>
              <w:pStyle w:val="afff8"/>
              <w:rPr>
                <w:rFonts w:eastAsiaTheme="minorEastAsia"/>
                <w:sz w:val="24"/>
              </w:rPr>
            </w:pPr>
            <w:r w:rsidRPr="006A786D">
              <w:rPr>
                <w:sz w:val="24"/>
              </w:rPr>
              <w:t>Р</w:t>
            </w:r>
            <w:r w:rsidR="003906E8" w:rsidRPr="006A786D">
              <w:rPr>
                <w:sz w:val="24"/>
              </w:rPr>
              <w:t>ецепторы к тромбоцитарному фактору роста α (</w:t>
            </w:r>
            <w:r w:rsidR="003906E8" w:rsidRPr="006A786D">
              <w:rPr>
                <w:sz w:val="24"/>
                <w:lang w:val="en-US"/>
              </w:rPr>
              <w:t>platelet</w:t>
            </w:r>
            <w:r w:rsidR="003906E8" w:rsidRPr="006A786D">
              <w:rPr>
                <w:sz w:val="24"/>
              </w:rPr>
              <w:t>-</w:t>
            </w:r>
            <w:r w:rsidR="003906E8" w:rsidRPr="006A786D">
              <w:rPr>
                <w:sz w:val="24"/>
                <w:lang w:val="en-US"/>
              </w:rPr>
              <w:t>derived</w:t>
            </w:r>
            <w:r w:rsidR="003906E8" w:rsidRPr="006A786D">
              <w:rPr>
                <w:sz w:val="24"/>
              </w:rPr>
              <w:t xml:space="preserve"> </w:t>
            </w:r>
            <w:r w:rsidR="003906E8" w:rsidRPr="006A786D">
              <w:rPr>
                <w:sz w:val="24"/>
                <w:lang w:val="en-US"/>
              </w:rPr>
              <w:t>growth</w:t>
            </w:r>
            <w:r w:rsidR="003906E8" w:rsidRPr="006A786D">
              <w:rPr>
                <w:sz w:val="24"/>
              </w:rPr>
              <w:t xml:space="preserve"> </w:t>
            </w:r>
            <w:r w:rsidR="003906E8" w:rsidRPr="006A786D">
              <w:rPr>
                <w:sz w:val="24"/>
                <w:lang w:val="en-US"/>
              </w:rPr>
              <w:t>factor</w:t>
            </w:r>
            <w:r w:rsidR="003906E8" w:rsidRPr="006A786D">
              <w:rPr>
                <w:sz w:val="24"/>
              </w:rPr>
              <w:t xml:space="preserve"> </w:t>
            </w:r>
            <w:r w:rsidR="003906E8" w:rsidRPr="006A786D">
              <w:rPr>
                <w:sz w:val="24"/>
                <w:lang w:val="en-US"/>
              </w:rPr>
              <w:t>receptor</w:t>
            </w:r>
            <w:r w:rsidR="003906E8" w:rsidRPr="006A786D">
              <w:rPr>
                <w:sz w:val="24"/>
              </w:rPr>
              <w:t>-α)</w:t>
            </w:r>
          </w:p>
        </w:tc>
      </w:tr>
      <w:tr w:rsidR="00E670E6" w:rsidRPr="00A032E6" w14:paraId="4CF05B51" w14:textId="77777777" w:rsidTr="0051021C">
        <w:trPr>
          <w:trHeight w:val="20"/>
        </w:trPr>
        <w:tc>
          <w:tcPr>
            <w:tcW w:w="1956" w:type="dxa"/>
            <w:vAlign w:val="center"/>
          </w:tcPr>
          <w:p w14:paraId="55D21CF8" w14:textId="0A8C76C2" w:rsidR="00E670E6" w:rsidRPr="00A032E6" w:rsidRDefault="00E670E6" w:rsidP="00A85019">
            <w:pPr>
              <w:pStyle w:val="afff8"/>
              <w:rPr>
                <w:rFonts w:eastAsiaTheme="minorEastAsia"/>
                <w:sz w:val="24"/>
              </w:rPr>
            </w:pPr>
            <w:r w:rsidRPr="00E670E6">
              <w:rPr>
                <w:rFonts w:eastAsiaTheme="minorEastAsia"/>
                <w:sz w:val="24"/>
              </w:rPr>
              <w:t>Rac</w:t>
            </w:r>
          </w:p>
        </w:tc>
        <w:tc>
          <w:tcPr>
            <w:tcW w:w="7389" w:type="dxa"/>
            <w:vAlign w:val="center"/>
          </w:tcPr>
          <w:p w14:paraId="78AE2C8F" w14:textId="22F75B71" w:rsidR="00E670E6" w:rsidRPr="00A032E6" w:rsidRDefault="00E670E6" w:rsidP="00A85019">
            <w:pPr>
              <w:pStyle w:val="afff8"/>
              <w:rPr>
                <w:rFonts w:eastAsiaTheme="minorEastAsia"/>
                <w:sz w:val="24"/>
              </w:rPr>
            </w:pPr>
            <w:r>
              <w:rPr>
                <w:rFonts w:eastAsiaTheme="minorEastAsia"/>
                <w:sz w:val="24"/>
              </w:rPr>
              <w:t>З</w:t>
            </w:r>
            <w:r w:rsidRPr="00E670E6">
              <w:rPr>
                <w:rFonts w:eastAsiaTheme="minorEastAsia"/>
                <w:sz w:val="24"/>
              </w:rPr>
              <w:t xml:space="preserve">начения индекса накопления </w:t>
            </w:r>
          </w:p>
        </w:tc>
      </w:tr>
      <w:tr w:rsidR="00E670E6" w:rsidRPr="00762053" w14:paraId="06CD26F2" w14:textId="77777777" w:rsidTr="0051021C">
        <w:trPr>
          <w:trHeight w:val="20"/>
        </w:trPr>
        <w:tc>
          <w:tcPr>
            <w:tcW w:w="1956" w:type="dxa"/>
            <w:vAlign w:val="center"/>
          </w:tcPr>
          <w:p w14:paraId="206C3DC0" w14:textId="104F69D0" w:rsidR="00E670E6" w:rsidRPr="00A032E6" w:rsidRDefault="00E670E6" w:rsidP="00A85019">
            <w:pPr>
              <w:pStyle w:val="afff8"/>
              <w:rPr>
                <w:rFonts w:eastAsiaTheme="minorEastAsia"/>
                <w:sz w:val="24"/>
              </w:rPr>
            </w:pPr>
            <w:r w:rsidRPr="00E670E6">
              <w:rPr>
                <w:rFonts w:eastAsiaTheme="minorEastAsia"/>
                <w:sz w:val="24"/>
                <w:lang w:val="en-US"/>
              </w:rPr>
              <w:t>RECIST</w:t>
            </w:r>
          </w:p>
        </w:tc>
        <w:tc>
          <w:tcPr>
            <w:tcW w:w="7389" w:type="dxa"/>
            <w:vAlign w:val="center"/>
          </w:tcPr>
          <w:p w14:paraId="7389C165" w14:textId="067BC097" w:rsidR="00E670E6" w:rsidRPr="00E670E6" w:rsidRDefault="00671AC1" w:rsidP="00A85019">
            <w:pPr>
              <w:pStyle w:val="afff8"/>
              <w:rPr>
                <w:rFonts w:eastAsiaTheme="minorEastAsia"/>
                <w:sz w:val="24"/>
                <w:lang w:val="en-US"/>
              </w:rPr>
            </w:pPr>
            <w:r>
              <w:rPr>
                <w:rFonts w:eastAsiaTheme="minorEastAsia"/>
                <w:sz w:val="24"/>
              </w:rPr>
              <w:t>К</w:t>
            </w:r>
            <w:r w:rsidR="00E670E6" w:rsidRPr="00E670E6">
              <w:rPr>
                <w:rFonts w:eastAsiaTheme="minorEastAsia"/>
                <w:sz w:val="24"/>
              </w:rPr>
              <w:t xml:space="preserve">ритерии </w:t>
            </w:r>
            <w:r w:rsidR="00E670E6" w:rsidRPr="00E670E6">
              <w:rPr>
                <w:rFonts w:eastAsiaTheme="minorEastAsia"/>
                <w:sz w:val="24"/>
                <w:lang w:val="en-US"/>
              </w:rPr>
              <w:t>RECIST</w:t>
            </w:r>
            <w:r w:rsidR="00E670E6" w:rsidRPr="00E670E6">
              <w:rPr>
                <w:rFonts w:eastAsiaTheme="minorEastAsia"/>
                <w:sz w:val="24"/>
              </w:rPr>
              <w:t>– критерии ответа солидных опухолей на терапию</w:t>
            </w:r>
            <w:r w:rsidR="00E670E6">
              <w:rPr>
                <w:rFonts w:eastAsiaTheme="minorEastAsia"/>
                <w:sz w:val="24"/>
              </w:rPr>
              <w:t xml:space="preserve"> </w:t>
            </w:r>
            <w:r w:rsidR="00E670E6" w:rsidRPr="00E670E6">
              <w:rPr>
                <w:rFonts w:eastAsiaTheme="minorEastAsia"/>
                <w:sz w:val="24"/>
                <w:lang w:val="en-US"/>
              </w:rPr>
              <w:t>(Response Evaluation Criteria In Solid Tumors)</w:t>
            </w:r>
          </w:p>
        </w:tc>
      </w:tr>
      <w:tr w:rsidR="0078396C" w:rsidRPr="00A032E6" w14:paraId="375AFC16" w14:textId="77777777" w:rsidTr="0051021C">
        <w:trPr>
          <w:trHeight w:val="20"/>
        </w:trPr>
        <w:tc>
          <w:tcPr>
            <w:tcW w:w="1956" w:type="dxa"/>
            <w:vAlign w:val="center"/>
          </w:tcPr>
          <w:p w14:paraId="47D2F16D" w14:textId="77777777" w:rsidR="0078396C" w:rsidRPr="00A032E6" w:rsidRDefault="0078396C" w:rsidP="00A85019">
            <w:pPr>
              <w:pStyle w:val="afff8"/>
              <w:rPr>
                <w:rFonts w:eastAsiaTheme="minorEastAsia"/>
                <w:sz w:val="24"/>
              </w:rPr>
            </w:pPr>
            <w:r w:rsidRPr="00A032E6">
              <w:rPr>
                <w:rFonts w:eastAsiaTheme="minorEastAsia"/>
                <w:sz w:val="24"/>
              </w:rPr>
              <w:t>RT</w:t>
            </w:r>
          </w:p>
        </w:tc>
        <w:tc>
          <w:tcPr>
            <w:tcW w:w="7389" w:type="dxa"/>
            <w:vAlign w:val="center"/>
          </w:tcPr>
          <w:p w14:paraId="0284AFDA" w14:textId="77777777" w:rsidR="0078396C" w:rsidRPr="00A032E6" w:rsidRDefault="0078396C" w:rsidP="00A85019">
            <w:pPr>
              <w:pStyle w:val="afff8"/>
              <w:rPr>
                <w:rFonts w:eastAsiaTheme="minorEastAsia"/>
                <w:sz w:val="24"/>
              </w:rPr>
            </w:pPr>
            <w:r w:rsidRPr="00A032E6">
              <w:rPr>
                <w:rFonts w:eastAsiaTheme="minorEastAsia"/>
                <w:sz w:val="24"/>
              </w:rPr>
              <w:t>Обратная транскриптаза</w:t>
            </w:r>
          </w:p>
        </w:tc>
      </w:tr>
      <w:tr w:rsidR="00264240" w:rsidRPr="00A032E6" w14:paraId="366EC042" w14:textId="77777777" w:rsidTr="00D050C7">
        <w:trPr>
          <w:trHeight w:val="20"/>
        </w:trPr>
        <w:tc>
          <w:tcPr>
            <w:tcW w:w="1956" w:type="dxa"/>
          </w:tcPr>
          <w:p w14:paraId="68A5C73B" w14:textId="3120CA87" w:rsidR="00264240" w:rsidRPr="00264240" w:rsidRDefault="00264240" w:rsidP="00264240">
            <w:pPr>
              <w:pStyle w:val="afff8"/>
              <w:rPr>
                <w:rFonts w:eastAsiaTheme="minorEastAsia"/>
                <w:sz w:val="24"/>
              </w:rPr>
            </w:pPr>
            <w:r w:rsidRPr="00D050C7">
              <w:rPr>
                <w:sz w:val="24"/>
              </w:rPr>
              <w:t>SCF</w:t>
            </w:r>
          </w:p>
        </w:tc>
        <w:tc>
          <w:tcPr>
            <w:tcW w:w="7389" w:type="dxa"/>
          </w:tcPr>
          <w:p w14:paraId="3AD91E5E" w14:textId="17F6B470" w:rsidR="00264240" w:rsidRPr="00264240" w:rsidRDefault="00264240" w:rsidP="00264240">
            <w:pPr>
              <w:pStyle w:val="afff8"/>
              <w:rPr>
                <w:rFonts w:eastAsiaTheme="minorEastAsia"/>
                <w:sz w:val="24"/>
              </w:rPr>
            </w:pPr>
            <w:r w:rsidRPr="00264240">
              <w:rPr>
                <w:sz w:val="24"/>
              </w:rPr>
              <w:t>Ф</w:t>
            </w:r>
            <w:r w:rsidRPr="00D050C7">
              <w:rPr>
                <w:sz w:val="24"/>
              </w:rPr>
              <w:t>актор стволовых клеток (</w:t>
            </w:r>
            <w:r w:rsidRPr="008939BF">
              <w:rPr>
                <w:sz w:val="24"/>
                <w:shd w:val="clear" w:color="auto" w:fill="FFFFFF"/>
              </w:rPr>
              <w:t>Stem cell factor</w:t>
            </w:r>
            <w:r w:rsidRPr="00D050C7">
              <w:rPr>
                <w:sz w:val="24"/>
              </w:rPr>
              <w:t>)</w:t>
            </w:r>
          </w:p>
        </w:tc>
      </w:tr>
      <w:tr w:rsidR="00264240" w:rsidRPr="00762053" w14:paraId="604891A6" w14:textId="77777777" w:rsidTr="0039287C">
        <w:trPr>
          <w:trHeight w:val="20"/>
        </w:trPr>
        <w:tc>
          <w:tcPr>
            <w:tcW w:w="1956" w:type="dxa"/>
          </w:tcPr>
          <w:p w14:paraId="6865429E" w14:textId="24BE5A0C" w:rsidR="00264240" w:rsidRPr="00D050C7" w:rsidRDefault="00264240" w:rsidP="00264240">
            <w:pPr>
              <w:pStyle w:val="afff8"/>
              <w:rPr>
                <w:sz w:val="24"/>
                <w:lang w:val="en-US"/>
              </w:rPr>
            </w:pPr>
            <w:r w:rsidRPr="00D050C7">
              <w:rPr>
                <w:sz w:val="24"/>
                <w:shd w:val="clear" w:color="auto" w:fill="FFFFFF"/>
                <w:lang w:val="en-US"/>
              </w:rPr>
              <w:t>SDF</w:t>
            </w:r>
          </w:p>
        </w:tc>
        <w:tc>
          <w:tcPr>
            <w:tcW w:w="7389" w:type="dxa"/>
          </w:tcPr>
          <w:p w14:paraId="0FB9A701" w14:textId="1CF45F4A" w:rsidR="00264240" w:rsidRPr="00D050C7" w:rsidRDefault="00264240" w:rsidP="00264240">
            <w:pPr>
              <w:pStyle w:val="afff8"/>
              <w:rPr>
                <w:sz w:val="24"/>
                <w:lang w:val="en-US"/>
              </w:rPr>
            </w:pPr>
            <w:r>
              <w:rPr>
                <w:sz w:val="24"/>
                <w:shd w:val="clear" w:color="auto" w:fill="FFFFFF"/>
              </w:rPr>
              <w:t>Ф</w:t>
            </w:r>
            <w:r w:rsidRPr="00745706">
              <w:rPr>
                <w:sz w:val="24"/>
                <w:shd w:val="clear" w:color="auto" w:fill="FFFFFF"/>
              </w:rPr>
              <w:t>актор</w:t>
            </w:r>
            <w:r w:rsidRPr="00D050C7">
              <w:rPr>
                <w:sz w:val="24"/>
                <w:shd w:val="clear" w:color="auto" w:fill="FFFFFF"/>
                <w:lang w:val="en-US"/>
              </w:rPr>
              <w:t xml:space="preserve"> </w:t>
            </w:r>
            <w:r w:rsidRPr="00745706">
              <w:rPr>
                <w:sz w:val="24"/>
                <w:shd w:val="clear" w:color="auto" w:fill="FFFFFF"/>
              </w:rPr>
              <w:t>стромальных</w:t>
            </w:r>
            <w:r w:rsidRPr="00D050C7">
              <w:rPr>
                <w:sz w:val="24"/>
                <w:shd w:val="clear" w:color="auto" w:fill="FFFFFF"/>
                <w:lang w:val="en-US"/>
              </w:rPr>
              <w:t xml:space="preserve"> </w:t>
            </w:r>
            <w:r w:rsidRPr="00745706">
              <w:rPr>
                <w:sz w:val="24"/>
                <w:shd w:val="clear" w:color="auto" w:fill="FFFFFF"/>
              </w:rPr>
              <w:t>клеток</w:t>
            </w:r>
            <w:r w:rsidRPr="00D050C7">
              <w:rPr>
                <w:sz w:val="24"/>
                <w:shd w:val="clear" w:color="auto" w:fill="FFFFFF"/>
                <w:lang w:val="en-US"/>
              </w:rPr>
              <w:t xml:space="preserve"> (</w:t>
            </w:r>
            <w:r w:rsidRPr="00745706">
              <w:rPr>
                <w:sz w:val="24"/>
                <w:shd w:val="clear" w:color="auto" w:fill="FFFFFF"/>
                <w:lang w:val="en-US"/>
              </w:rPr>
              <w:t>S</w:t>
            </w:r>
            <w:r w:rsidRPr="00D050C7">
              <w:rPr>
                <w:sz w:val="24"/>
                <w:shd w:val="clear" w:color="auto" w:fill="FFFFFF"/>
                <w:lang w:val="en-US"/>
              </w:rPr>
              <w:t>tromal cell-derived factor)</w:t>
            </w:r>
          </w:p>
        </w:tc>
      </w:tr>
      <w:tr w:rsidR="0078396C" w:rsidRPr="00A032E6" w14:paraId="37F2016E" w14:textId="77777777" w:rsidTr="0051021C">
        <w:trPr>
          <w:trHeight w:val="20"/>
        </w:trPr>
        <w:tc>
          <w:tcPr>
            <w:tcW w:w="1956" w:type="dxa"/>
            <w:vAlign w:val="center"/>
          </w:tcPr>
          <w:p w14:paraId="71BD9540" w14:textId="77777777" w:rsidR="0078396C" w:rsidRPr="00A032E6" w:rsidRDefault="0078396C" w:rsidP="00A85019">
            <w:pPr>
              <w:pStyle w:val="afff8"/>
              <w:rPr>
                <w:rFonts w:eastAsiaTheme="minorEastAsia"/>
                <w:sz w:val="24"/>
              </w:rPr>
            </w:pPr>
            <w:r w:rsidRPr="00A032E6">
              <w:rPr>
                <w:rFonts w:eastAsiaTheme="minorEastAsia"/>
                <w:sz w:val="24"/>
              </w:rPr>
              <w:t>SD</w:t>
            </w:r>
          </w:p>
        </w:tc>
        <w:tc>
          <w:tcPr>
            <w:tcW w:w="7389" w:type="dxa"/>
            <w:vAlign w:val="center"/>
          </w:tcPr>
          <w:p w14:paraId="1113996F" w14:textId="77777777" w:rsidR="0078396C" w:rsidRPr="00A032E6" w:rsidRDefault="0078396C" w:rsidP="00A85019">
            <w:pPr>
              <w:pStyle w:val="afff8"/>
              <w:rPr>
                <w:rFonts w:eastAsiaTheme="minorEastAsia"/>
                <w:sz w:val="24"/>
              </w:rPr>
            </w:pPr>
            <w:r w:rsidRPr="00A032E6">
              <w:rPr>
                <w:rFonts w:eastAsiaTheme="minorEastAsia"/>
                <w:sz w:val="24"/>
              </w:rPr>
              <w:t xml:space="preserve">Среднеквадратичное (стандартное) отклонение  </w:t>
            </w:r>
          </w:p>
        </w:tc>
      </w:tr>
      <w:tr w:rsidR="0078396C" w:rsidRPr="00A032E6" w14:paraId="3211C439" w14:textId="77777777" w:rsidTr="0051021C">
        <w:trPr>
          <w:trHeight w:val="20"/>
        </w:trPr>
        <w:tc>
          <w:tcPr>
            <w:tcW w:w="1956" w:type="dxa"/>
            <w:vAlign w:val="center"/>
          </w:tcPr>
          <w:p w14:paraId="44D41F30" w14:textId="77777777" w:rsidR="0078396C" w:rsidRPr="00144DAC" w:rsidRDefault="0078396C" w:rsidP="00A85019">
            <w:pPr>
              <w:pStyle w:val="afff8"/>
              <w:rPr>
                <w:rFonts w:eastAsiaTheme="minorEastAsia"/>
                <w:sz w:val="24"/>
              </w:rPr>
            </w:pPr>
            <w:r w:rsidRPr="00144DAC">
              <w:rPr>
                <w:color w:val="000000" w:themeColor="text1"/>
                <w:sz w:val="24"/>
                <w:lang w:val="en-US" w:eastAsia="en-US"/>
              </w:rPr>
              <w:t>TC</w:t>
            </w:r>
            <w:r w:rsidRPr="00144DAC">
              <w:rPr>
                <w:color w:val="000000" w:themeColor="text1"/>
                <w:sz w:val="24"/>
                <w:vertAlign w:val="subscript"/>
                <w:lang w:eastAsia="en-US"/>
              </w:rPr>
              <w:t>50</w:t>
            </w:r>
          </w:p>
        </w:tc>
        <w:tc>
          <w:tcPr>
            <w:tcW w:w="7389" w:type="dxa"/>
            <w:vAlign w:val="center"/>
          </w:tcPr>
          <w:p w14:paraId="18BD527A" w14:textId="77777777" w:rsidR="0078396C" w:rsidRPr="00144DAC" w:rsidRDefault="0078396C" w:rsidP="00A85019">
            <w:pPr>
              <w:pStyle w:val="afff8"/>
              <w:rPr>
                <w:rFonts w:eastAsiaTheme="minorEastAsia"/>
                <w:sz w:val="24"/>
              </w:rPr>
            </w:pPr>
            <w:r w:rsidRPr="00144DAC">
              <w:rPr>
                <w:color w:val="000000" w:themeColor="text1"/>
                <w:sz w:val="24"/>
                <w:lang w:eastAsia="en-US"/>
              </w:rPr>
              <w:t>Средняя токсическая концентрация</w:t>
            </w:r>
          </w:p>
        </w:tc>
      </w:tr>
      <w:tr w:rsidR="00981B3F" w:rsidRPr="00762053" w14:paraId="2ADA4681" w14:textId="77777777" w:rsidTr="0051021C">
        <w:trPr>
          <w:trHeight w:val="20"/>
        </w:trPr>
        <w:tc>
          <w:tcPr>
            <w:tcW w:w="1956" w:type="dxa"/>
            <w:vAlign w:val="center"/>
          </w:tcPr>
          <w:p w14:paraId="42043C47" w14:textId="289FFBDE" w:rsidR="00981B3F" w:rsidRPr="00144DAC" w:rsidRDefault="00981B3F" w:rsidP="00A85019">
            <w:pPr>
              <w:pStyle w:val="afff8"/>
              <w:rPr>
                <w:color w:val="000000" w:themeColor="text1"/>
                <w:sz w:val="24"/>
                <w:lang w:val="en-US" w:eastAsia="en-US"/>
              </w:rPr>
            </w:pPr>
            <w:r w:rsidRPr="00981B3F">
              <w:rPr>
                <w:color w:val="000000" w:themeColor="text1"/>
                <w:sz w:val="24"/>
                <w:lang w:val="en-US" w:eastAsia="en-US"/>
              </w:rPr>
              <w:t>TKI</w:t>
            </w:r>
          </w:p>
        </w:tc>
        <w:tc>
          <w:tcPr>
            <w:tcW w:w="7389" w:type="dxa"/>
            <w:vAlign w:val="center"/>
          </w:tcPr>
          <w:p w14:paraId="378956F8" w14:textId="02D74EAA" w:rsidR="00981B3F" w:rsidRPr="00981B3F" w:rsidRDefault="00671AC1" w:rsidP="00A85019">
            <w:pPr>
              <w:pStyle w:val="afff8"/>
              <w:rPr>
                <w:color w:val="000000" w:themeColor="text1"/>
                <w:sz w:val="24"/>
                <w:lang w:val="en-US" w:eastAsia="en-US"/>
              </w:rPr>
            </w:pPr>
            <w:r w:rsidRPr="00981B3F">
              <w:rPr>
                <w:color w:val="000000" w:themeColor="text1"/>
                <w:sz w:val="24"/>
                <w:lang w:eastAsia="en-US"/>
              </w:rPr>
              <w:t>И</w:t>
            </w:r>
            <w:r w:rsidR="00981B3F" w:rsidRPr="00981B3F">
              <w:rPr>
                <w:color w:val="000000" w:themeColor="text1"/>
                <w:sz w:val="24"/>
                <w:lang w:eastAsia="en-US"/>
              </w:rPr>
              <w:t>нгибиторы</w:t>
            </w:r>
            <w:r w:rsidR="00981B3F" w:rsidRPr="00981B3F">
              <w:rPr>
                <w:color w:val="000000" w:themeColor="text1"/>
                <w:sz w:val="24"/>
                <w:lang w:val="en-US" w:eastAsia="en-US"/>
              </w:rPr>
              <w:t xml:space="preserve"> </w:t>
            </w:r>
            <w:r w:rsidR="00981B3F" w:rsidRPr="00981B3F">
              <w:rPr>
                <w:color w:val="000000" w:themeColor="text1"/>
                <w:sz w:val="24"/>
                <w:lang w:eastAsia="en-US"/>
              </w:rPr>
              <w:t>тирозинкиназы</w:t>
            </w:r>
            <w:r w:rsidR="00981B3F" w:rsidRPr="00981B3F">
              <w:rPr>
                <w:color w:val="000000" w:themeColor="text1"/>
                <w:sz w:val="24"/>
                <w:lang w:val="en-US" w:eastAsia="en-US"/>
              </w:rPr>
              <w:t xml:space="preserve"> (tyrosine kinase inhibitors) </w:t>
            </w:r>
          </w:p>
        </w:tc>
      </w:tr>
      <w:tr w:rsidR="0078396C" w:rsidRPr="00A032E6" w14:paraId="04EEE455" w14:textId="77777777" w:rsidTr="0051021C">
        <w:trPr>
          <w:trHeight w:val="20"/>
        </w:trPr>
        <w:tc>
          <w:tcPr>
            <w:tcW w:w="1956" w:type="dxa"/>
            <w:vAlign w:val="center"/>
          </w:tcPr>
          <w:p w14:paraId="6EA1977F" w14:textId="77777777" w:rsidR="0078396C" w:rsidRPr="00144DAC" w:rsidRDefault="0078396C" w:rsidP="00A85019">
            <w:pPr>
              <w:pStyle w:val="afff8"/>
              <w:rPr>
                <w:color w:val="000000" w:themeColor="text1"/>
                <w:sz w:val="24"/>
                <w:lang w:val="en-US"/>
              </w:rPr>
            </w:pPr>
            <w:r w:rsidRPr="00D050C7">
              <w:rPr>
                <w:sz w:val="24"/>
              </w:rPr>
              <w:t>T</w:t>
            </w:r>
            <w:r w:rsidRPr="00E4382A">
              <w:rPr>
                <w:vertAlign w:val="subscript"/>
              </w:rPr>
              <w:t>max</w:t>
            </w:r>
          </w:p>
        </w:tc>
        <w:tc>
          <w:tcPr>
            <w:tcW w:w="7389" w:type="dxa"/>
            <w:vAlign w:val="center"/>
          </w:tcPr>
          <w:p w14:paraId="483DC657" w14:textId="17DDAD27" w:rsidR="0078396C" w:rsidRPr="00144DAC" w:rsidRDefault="0078396C" w:rsidP="00A85019">
            <w:pPr>
              <w:rPr>
                <w:color w:val="000000" w:themeColor="text1"/>
              </w:rPr>
            </w:pPr>
            <w:r>
              <w:t>Время достижения максимальной концентрации</w:t>
            </w:r>
          </w:p>
        </w:tc>
      </w:tr>
      <w:tr w:rsidR="0078396C" w:rsidRPr="00762053" w14:paraId="26D9A826" w14:textId="77777777" w:rsidTr="0051021C">
        <w:trPr>
          <w:trHeight w:val="20"/>
        </w:trPr>
        <w:tc>
          <w:tcPr>
            <w:tcW w:w="1956" w:type="dxa"/>
            <w:vAlign w:val="center"/>
          </w:tcPr>
          <w:p w14:paraId="5297C261" w14:textId="77777777" w:rsidR="0078396C" w:rsidRPr="00A032E6" w:rsidRDefault="0078396C" w:rsidP="00A85019">
            <w:pPr>
              <w:pStyle w:val="afff8"/>
              <w:rPr>
                <w:rFonts w:eastAsiaTheme="minorEastAsia"/>
                <w:sz w:val="24"/>
              </w:rPr>
            </w:pPr>
            <w:r w:rsidRPr="009B32BB">
              <w:rPr>
                <w:rFonts w:eastAsiaTheme="minorEastAsia"/>
                <w:sz w:val="24"/>
                <w:lang w:val="en-US"/>
              </w:rPr>
              <w:t>IUPAC</w:t>
            </w:r>
          </w:p>
        </w:tc>
        <w:tc>
          <w:tcPr>
            <w:tcW w:w="7389" w:type="dxa"/>
            <w:vAlign w:val="center"/>
          </w:tcPr>
          <w:p w14:paraId="2308E22D" w14:textId="77777777" w:rsidR="0078396C" w:rsidRPr="009B32BB" w:rsidRDefault="0078396C" w:rsidP="00A85019">
            <w:pPr>
              <w:pStyle w:val="afff8"/>
              <w:rPr>
                <w:rFonts w:eastAsiaTheme="minorEastAsia"/>
                <w:sz w:val="24"/>
                <w:lang w:val="en-US"/>
              </w:rPr>
            </w:pPr>
            <w:r w:rsidRPr="009B32BB">
              <w:rPr>
                <w:rFonts w:eastAsiaTheme="minorEastAsia"/>
                <w:sz w:val="24"/>
              </w:rPr>
              <w:t>Международный</w:t>
            </w:r>
            <w:r w:rsidRPr="009B32BB">
              <w:rPr>
                <w:rFonts w:eastAsiaTheme="minorEastAsia"/>
                <w:sz w:val="24"/>
                <w:lang w:val="en-US"/>
              </w:rPr>
              <w:t xml:space="preserve"> </w:t>
            </w:r>
            <w:r w:rsidRPr="009B32BB">
              <w:rPr>
                <w:rFonts w:eastAsiaTheme="minorEastAsia"/>
                <w:sz w:val="24"/>
              </w:rPr>
              <w:t>союз</w:t>
            </w:r>
            <w:r w:rsidRPr="009B32BB">
              <w:rPr>
                <w:rFonts w:eastAsiaTheme="minorEastAsia"/>
                <w:sz w:val="24"/>
                <w:lang w:val="en-US"/>
              </w:rPr>
              <w:t xml:space="preserve"> </w:t>
            </w:r>
            <w:r w:rsidRPr="009B32BB">
              <w:rPr>
                <w:rFonts w:eastAsiaTheme="minorEastAsia"/>
                <w:sz w:val="24"/>
              </w:rPr>
              <w:t>теоретической</w:t>
            </w:r>
            <w:r w:rsidRPr="009B32BB">
              <w:rPr>
                <w:rFonts w:eastAsiaTheme="minorEastAsia"/>
                <w:sz w:val="24"/>
                <w:lang w:val="en-US"/>
              </w:rPr>
              <w:t xml:space="preserve"> </w:t>
            </w:r>
            <w:r w:rsidRPr="009B32BB">
              <w:rPr>
                <w:rFonts w:eastAsiaTheme="minorEastAsia"/>
                <w:sz w:val="24"/>
              </w:rPr>
              <w:t>и</w:t>
            </w:r>
            <w:r w:rsidRPr="009B32BB">
              <w:rPr>
                <w:rFonts w:eastAsiaTheme="minorEastAsia"/>
                <w:sz w:val="24"/>
                <w:lang w:val="en-US"/>
              </w:rPr>
              <w:t xml:space="preserve"> </w:t>
            </w:r>
            <w:r w:rsidRPr="009B32BB">
              <w:rPr>
                <w:rFonts w:eastAsiaTheme="minorEastAsia"/>
                <w:sz w:val="24"/>
              </w:rPr>
              <w:t>прикладной</w:t>
            </w:r>
            <w:r w:rsidRPr="009B32BB">
              <w:rPr>
                <w:rFonts w:eastAsiaTheme="minorEastAsia"/>
                <w:sz w:val="24"/>
                <w:lang w:val="en-US"/>
              </w:rPr>
              <w:t xml:space="preserve"> </w:t>
            </w:r>
            <w:r w:rsidRPr="009B32BB">
              <w:rPr>
                <w:rFonts w:eastAsiaTheme="minorEastAsia"/>
                <w:sz w:val="24"/>
              </w:rPr>
              <w:t>химии</w:t>
            </w:r>
            <w:r w:rsidRPr="009B32BB">
              <w:rPr>
                <w:rFonts w:eastAsiaTheme="minorEastAsia"/>
                <w:sz w:val="24"/>
                <w:lang w:val="en-US"/>
              </w:rPr>
              <w:t xml:space="preserve"> (International Union of Pure and Applied Chemistry)</w:t>
            </w:r>
          </w:p>
        </w:tc>
      </w:tr>
      <w:tr w:rsidR="0078396C" w:rsidRPr="00A032E6" w14:paraId="0F413B5F" w14:textId="77777777" w:rsidTr="0051021C">
        <w:trPr>
          <w:trHeight w:val="20"/>
        </w:trPr>
        <w:tc>
          <w:tcPr>
            <w:tcW w:w="1956" w:type="dxa"/>
            <w:vAlign w:val="center"/>
          </w:tcPr>
          <w:p w14:paraId="07147E71" w14:textId="77777777" w:rsidR="0078396C" w:rsidRPr="00A032E6" w:rsidRDefault="0078396C" w:rsidP="00A85019">
            <w:pPr>
              <w:pStyle w:val="afff8"/>
              <w:rPr>
                <w:rFonts w:eastAsiaTheme="minorEastAsia"/>
                <w:sz w:val="24"/>
              </w:rPr>
            </w:pPr>
            <w:r w:rsidRPr="00A032E6">
              <w:rPr>
                <w:rFonts w:eastAsiaTheme="minorEastAsia"/>
                <w:sz w:val="24"/>
              </w:rPr>
              <w:t>V</w:t>
            </w:r>
            <w:r w:rsidRPr="00A032E6">
              <w:rPr>
                <w:rFonts w:eastAsiaTheme="minorEastAsia"/>
                <w:sz w:val="24"/>
                <w:vertAlign w:val="subscript"/>
              </w:rPr>
              <w:t>d</w:t>
            </w:r>
          </w:p>
        </w:tc>
        <w:tc>
          <w:tcPr>
            <w:tcW w:w="7389" w:type="dxa"/>
            <w:vAlign w:val="center"/>
          </w:tcPr>
          <w:p w14:paraId="38437737" w14:textId="77777777" w:rsidR="0078396C" w:rsidRPr="00A032E6" w:rsidRDefault="0078396C" w:rsidP="00A85019">
            <w:pPr>
              <w:pStyle w:val="afff8"/>
              <w:rPr>
                <w:rFonts w:eastAsiaTheme="minorEastAsia"/>
                <w:sz w:val="24"/>
              </w:rPr>
            </w:pPr>
            <w:r w:rsidRPr="00A032E6">
              <w:rPr>
                <w:rFonts w:eastAsiaTheme="minorEastAsia"/>
                <w:sz w:val="24"/>
              </w:rPr>
              <w:t>Кажущийся объем распределения</w:t>
            </w:r>
          </w:p>
        </w:tc>
      </w:tr>
      <w:tr w:rsidR="00981B3F" w:rsidRPr="00762053" w14:paraId="5ECBD7B0" w14:textId="77777777" w:rsidTr="0051021C">
        <w:trPr>
          <w:trHeight w:val="20"/>
        </w:trPr>
        <w:tc>
          <w:tcPr>
            <w:tcW w:w="1956" w:type="dxa"/>
            <w:vAlign w:val="center"/>
          </w:tcPr>
          <w:p w14:paraId="686B348A" w14:textId="0C7189A9" w:rsidR="00981B3F" w:rsidRPr="00A032E6" w:rsidRDefault="00981B3F" w:rsidP="00A85019">
            <w:pPr>
              <w:pStyle w:val="afff8"/>
              <w:rPr>
                <w:sz w:val="24"/>
                <w:lang w:val="en-US"/>
              </w:rPr>
            </w:pPr>
            <w:r w:rsidRPr="00981B3F">
              <w:rPr>
                <w:sz w:val="24"/>
                <w:lang w:val="en-US"/>
              </w:rPr>
              <w:t>VEGF</w:t>
            </w:r>
          </w:p>
        </w:tc>
        <w:tc>
          <w:tcPr>
            <w:tcW w:w="7389" w:type="dxa"/>
            <w:vAlign w:val="center"/>
          </w:tcPr>
          <w:p w14:paraId="73CB7170" w14:textId="6B05BEE4" w:rsidR="00981B3F" w:rsidRPr="00981B3F" w:rsidRDefault="00671AC1" w:rsidP="00A85019">
            <w:pPr>
              <w:pStyle w:val="afff8"/>
              <w:rPr>
                <w:sz w:val="24"/>
                <w:lang w:val="en-US"/>
              </w:rPr>
            </w:pPr>
            <w:r>
              <w:rPr>
                <w:sz w:val="24"/>
              </w:rPr>
              <w:t>Ф</w:t>
            </w:r>
            <w:r w:rsidR="00981B3F" w:rsidRPr="00981B3F">
              <w:rPr>
                <w:sz w:val="24"/>
              </w:rPr>
              <w:t>актор</w:t>
            </w:r>
            <w:r w:rsidR="00981B3F" w:rsidRPr="00981B3F">
              <w:rPr>
                <w:sz w:val="24"/>
                <w:lang w:val="en-US"/>
              </w:rPr>
              <w:t xml:space="preserve"> </w:t>
            </w:r>
            <w:r w:rsidR="00981B3F" w:rsidRPr="00981B3F">
              <w:rPr>
                <w:sz w:val="24"/>
              </w:rPr>
              <w:t>роста</w:t>
            </w:r>
            <w:r w:rsidR="00981B3F" w:rsidRPr="00981B3F">
              <w:rPr>
                <w:sz w:val="24"/>
                <w:lang w:val="en-US"/>
              </w:rPr>
              <w:t xml:space="preserve"> </w:t>
            </w:r>
            <w:r w:rsidR="00981B3F" w:rsidRPr="00981B3F">
              <w:rPr>
                <w:sz w:val="24"/>
              </w:rPr>
              <w:t>эндотелия</w:t>
            </w:r>
            <w:r w:rsidR="00981B3F" w:rsidRPr="00981B3F">
              <w:rPr>
                <w:sz w:val="24"/>
                <w:lang w:val="en-US"/>
              </w:rPr>
              <w:t xml:space="preserve"> </w:t>
            </w:r>
            <w:r w:rsidR="00981B3F" w:rsidRPr="00981B3F">
              <w:rPr>
                <w:sz w:val="24"/>
              </w:rPr>
              <w:t>сосудов</w:t>
            </w:r>
            <w:r w:rsidR="00981B3F" w:rsidRPr="00981B3F">
              <w:rPr>
                <w:sz w:val="24"/>
                <w:lang w:val="en-US"/>
              </w:rPr>
              <w:t xml:space="preserve"> (vascular endothelial growth factor)</w:t>
            </w:r>
          </w:p>
        </w:tc>
      </w:tr>
      <w:tr w:rsidR="0078396C" w:rsidRPr="00A032E6" w14:paraId="3DEFDA3C" w14:textId="77777777" w:rsidTr="0051021C">
        <w:trPr>
          <w:trHeight w:val="20"/>
        </w:trPr>
        <w:tc>
          <w:tcPr>
            <w:tcW w:w="1956" w:type="dxa"/>
            <w:vAlign w:val="center"/>
          </w:tcPr>
          <w:p w14:paraId="548F5C70" w14:textId="77777777" w:rsidR="0078396C" w:rsidRPr="00A032E6" w:rsidRDefault="0078396C" w:rsidP="00A85019">
            <w:pPr>
              <w:pStyle w:val="afff8"/>
              <w:rPr>
                <w:sz w:val="24"/>
                <w:lang w:val="en-US"/>
              </w:rPr>
            </w:pPr>
            <w:r w:rsidRPr="00A032E6">
              <w:rPr>
                <w:sz w:val="24"/>
                <w:lang w:val="en-US"/>
              </w:rPr>
              <w:t>V</w:t>
            </w:r>
            <w:r w:rsidRPr="00A032E6">
              <w:rPr>
                <w:sz w:val="24"/>
                <w:vertAlign w:val="subscript"/>
                <w:lang w:val="en-US"/>
              </w:rPr>
              <w:t>d</w:t>
            </w:r>
            <w:r w:rsidRPr="00A032E6">
              <w:rPr>
                <w:sz w:val="24"/>
              </w:rPr>
              <w:t>/</w:t>
            </w:r>
            <w:r w:rsidRPr="00A032E6">
              <w:rPr>
                <w:sz w:val="24"/>
                <w:lang w:val="en-US"/>
              </w:rPr>
              <w:t>F</w:t>
            </w:r>
          </w:p>
        </w:tc>
        <w:tc>
          <w:tcPr>
            <w:tcW w:w="7389" w:type="dxa"/>
            <w:vAlign w:val="center"/>
          </w:tcPr>
          <w:p w14:paraId="1ADA25FB" w14:textId="77777777" w:rsidR="0078396C" w:rsidRPr="00A032E6" w:rsidRDefault="0078396C" w:rsidP="00A85019">
            <w:pPr>
              <w:pStyle w:val="afff8"/>
              <w:rPr>
                <w:sz w:val="24"/>
              </w:rPr>
            </w:pPr>
            <w:r w:rsidRPr="00A032E6">
              <w:rPr>
                <w:sz w:val="24"/>
              </w:rPr>
              <w:t>Кажущийся объем распределения</w:t>
            </w:r>
          </w:p>
        </w:tc>
      </w:tr>
      <w:tr w:rsidR="00823BB0" w:rsidRPr="00A032E6" w14:paraId="31218966" w14:textId="77777777" w:rsidTr="0051021C">
        <w:trPr>
          <w:trHeight w:val="20"/>
        </w:trPr>
        <w:tc>
          <w:tcPr>
            <w:tcW w:w="1956" w:type="dxa"/>
            <w:vAlign w:val="center"/>
          </w:tcPr>
          <w:p w14:paraId="6303FF28" w14:textId="12C2A193" w:rsidR="00823BB0" w:rsidRPr="00A032E6" w:rsidRDefault="00823BB0" w:rsidP="00A85019">
            <w:pPr>
              <w:pStyle w:val="afff8"/>
              <w:rPr>
                <w:rFonts w:eastAsiaTheme="minorEastAsia"/>
                <w:sz w:val="24"/>
                <w:lang w:val="en-US"/>
              </w:rPr>
            </w:pPr>
            <w:r w:rsidRPr="00823BB0">
              <w:rPr>
                <w:rFonts w:eastAsiaTheme="minorEastAsia"/>
                <w:sz w:val="24"/>
                <w:lang w:val="en-US"/>
              </w:rPr>
              <w:t>Vz / Fss</w:t>
            </w:r>
          </w:p>
        </w:tc>
        <w:tc>
          <w:tcPr>
            <w:tcW w:w="7389" w:type="dxa"/>
            <w:vAlign w:val="center"/>
          </w:tcPr>
          <w:p w14:paraId="2B6086D6" w14:textId="2DF11263" w:rsidR="00823BB0" w:rsidRPr="00A032E6" w:rsidRDefault="00823BB0" w:rsidP="00A85019">
            <w:pPr>
              <w:pStyle w:val="afff8"/>
              <w:rPr>
                <w:rFonts w:eastAsiaTheme="minorEastAsia"/>
                <w:sz w:val="24"/>
              </w:rPr>
            </w:pPr>
            <w:r>
              <w:rPr>
                <w:rFonts w:eastAsiaTheme="minorEastAsia"/>
                <w:sz w:val="24"/>
              </w:rPr>
              <w:t>С</w:t>
            </w:r>
            <w:r w:rsidRPr="00823BB0">
              <w:rPr>
                <w:rFonts w:eastAsiaTheme="minorEastAsia"/>
                <w:sz w:val="24"/>
              </w:rPr>
              <w:t>редний кажущийся объем распределения в равновесном состоянии</w:t>
            </w:r>
          </w:p>
        </w:tc>
      </w:tr>
      <w:tr w:rsidR="0078396C" w:rsidRPr="00A032E6" w14:paraId="1F39CE69" w14:textId="77777777" w:rsidTr="0051021C">
        <w:trPr>
          <w:trHeight w:val="20"/>
        </w:trPr>
        <w:tc>
          <w:tcPr>
            <w:tcW w:w="1956" w:type="dxa"/>
            <w:vAlign w:val="center"/>
          </w:tcPr>
          <w:p w14:paraId="359417A6" w14:textId="77777777" w:rsidR="0078396C" w:rsidRPr="00A032E6" w:rsidRDefault="0078396C" w:rsidP="00A85019">
            <w:pPr>
              <w:pStyle w:val="afff8"/>
              <w:rPr>
                <w:rFonts w:eastAsiaTheme="minorEastAsia"/>
                <w:sz w:val="24"/>
                <w:lang w:val="en-US"/>
              </w:rPr>
            </w:pPr>
            <w:r w:rsidRPr="00A032E6">
              <w:rPr>
                <w:rFonts w:eastAsiaTheme="minorEastAsia"/>
                <w:sz w:val="24"/>
                <w:lang w:val="en-US"/>
              </w:rPr>
              <w:t>Vs.</w:t>
            </w:r>
          </w:p>
        </w:tc>
        <w:tc>
          <w:tcPr>
            <w:tcW w:w="7389" w:type="dxa"/>
            <w:vAlign w:val="center"/>
          </w:tcPr>
          <w:p w14:paraId="0D5C0BB5" w14:textId="77777777" w:rsidR="0078396C" w:rsidRPr="00A032E6" w:rsidRDefault="0078396C" w:rsidP="00A85019">
            <w:pPr>
              <w:pStyle w:val="afff8"/>
              <w:rPr>
                <w:rFonts w:eastAsiaTheme="minorEastAsia"/>
                <w:sz w:val="24"/>
              </w:rPr>
            </w:pPr>
            <w:r w:rsidRPr="00A032E6">
              <w:rPr>
                <w:rFonts w:eastAsiaTheme="minorEastAsia"/>
                <w:sz w:val="24"/>
              </w:rPr>
              <w:t>Против</w:t>
            </w:r>
          </w:p>
        </w:tc>
      </w:tr>
      <w:tr w:rsidR="00524549" w:rsidRPr="00A032E6" w14:paraId="44BA6585" w14:textId="77777777" w:rsidTr="0051021C">
        <w:trPr>
          <w:trHeight w:val="20"/>
        </w:trPr>
        <w:tc>
          <w:tcPr>
            <w:tcW w:w="1956" w:type="dxa"/>
            <w:vAlign w:val="center"/>
          </w:tcPr>
          <w:p w14:paraId="55B9BDC7" w14:textId="6CBA6502" w:rsidR="00524549" w:rsidRPr="00D050C7" w:rsidRDefault="00524549" w:rsidP="00A85019">
            <w:pPr>
              <w:pStyle w:val="afff8"/>
              <w:rPr>
                <w:rFonts w:eastAsiaTheme="minorEastAsia"/>
                <w:sz w:val="24"/>
              </w:rPr>
            </w:pPr>
            <w:r>
              <w:rPr>
                <w:rFonts w:eastAsiaTheme="minorEastAsia"/>
                <w:sz w:val="24"/>
              </w:rPr>
              <w:t>АД</w:t>
            </w:r>
          </w:p>
        </w:tc>
        <w:tc>
          <w:tcPr>
            <w:tcW w:w="7389" w:type="dxa"/>
            <w:vAlign w:val="center"/>
          </w:tcPr>
          <w:p w14:paraId="51B26ADC" w14:textId="5EF27F00" w:rsidR="00524549" w:rsidRPr="00A032E6" w:rsidRDefault="00524549" w:rsidP="00A85019">
            <w:pPr>
              <w:pStyle w:val="afff8"/>
              <w:rPr>
                <w:rFonts w:eastAsiaTheme="minorEastAsia"/>
                <w:sz w:val="24"/>
              </w:rPr>
            </w:pPr>
            <w:r>
              <w:rPr>
                <w:rFonts w:eastAsiaTheme="minorEastAsia"/>
                <w:sz w:val="24"/>
              </w:rPr>
              <w:t>Артериальное давление</w:t>
            </w:r>
          </w:p>
        </w:tc>
      </w:tr>
      <w:tr w:rsidR="00E70A24" w:rsidRPr="00A032E6" w14:paraId="6D9E6474" w14:textId="77777777" w:rsidTr="0051021C">
        <w:trPr>
          <w:trHeight w:val="20"/>
        </w:trPr>
        <w:tc>
          <w:tcPr>
            <w:tcW w:w="1956" w:type="dxa"/>
            <w:vAlign w:val="center"/>
          </w:tcPr>
          <w:p w14:paraId="58548BCD" w14:textId="662C2546" w:rsidR="00E70A24" w:rsidRPr="00A032E6" w:rsidRDefault="00E70A24" w:rsidP="00A85019">
            <w:pPr>
              <w:pStyle w:val="afff8"/>
              <w:rPr>
                <w:rFonts w:eastAsiaTheme="minorEastAsia"/>
                <w:sz w:val="24"/>
              </w:rPr>
            </w:pPr>
            <w:r>
              <w:rPr>
                <w:rFonts w:eastAsiaTheme="minorEastAsia"/>
                <w:sz w:val="24"/>
              </w:rPr>
              <w:t>АДФ</w:t>
            </w:r>
          </w:p>
        </w:tc>
        <w:tc>
          <w:tcPr>
            <w:tcW w:w="7389" w:type="dxa"/>
            <w:vAlign w:val="center"/>
          </w:tcPr>
          <w:p w14:paraId="3E841ECD" w14:textId="2E487CC6" w:rsidR="00E70A24" w:rsidRPr="00A032E6" w:rsidRDefault="00E70A24" w:rsidP="00A85019">
            <w:pPr>
              <w:pStyle w:val="afff8"/>
              <w:rPr>
                <w:rFonts w:eastAsiaTheme="minorEastAsia"/>
                <w:sz w:val="24"/>
              </w:rPr>
            </w:pPr>
            <w:r>
              <w:rPr>
                <w:rFonts w:eastAsiaTheme="minorEastAsia"/>
                <w:sz w:val="24"/>
              </w:rPr>
              <w:t>А</w:t>
            </w:r>
            <w:r w:rsidRPr="00E70A24">
              <w:rPr>
                <w:rFonts w:eastAsiaTheme="minorEastAsia"/>
                <w:sz w:val="24"/>
              </w:rPr>
              <w:t>денозинтрифосфат</w:t>
            </w:r>
          </w:p>
        </w:tc>
      </w:tr>
      <w:tr w:rsidR="0078396C" w:rsidRPr="00A032E6" w14:paraId="00F9746A" w14:textId="77777777" w:rsidTr="0051021C">
        <w:trPr>
          <w:trHeight w:val="20"/>
        </w:trPr>
        <w:tc>
          <w:tcPr>
            <w:tcW w:w="1956" w:type="dxa"/>
            <w:vAlign w:val="center"/>
          </w:tcPr>
          <w:p w14:paraId="07B059B4" w14:textId="77777777" w:rsidR="0078396C" w:rsidRPr="00A032E6" w:rsidRDefault="0078396C" w:rsidP="00A85019">
            <w:pPr>
              <w:pStyle w:val="afff8"/>
              <w:rPr>
                <w:rFonts w:eastAsiaTheme="minorEastAsia"/>
                <w:sz w:val="24"/>
              </w:rPr>
            </w:pPr>
            <w:r w:rsidRPr="00A032E6">
              <w:rPr>
                <w:rFonts w:eastAsiaTheme="minorEastAsia"/>
                <w:sz w:val="24"/>
              </w:rPr>
              <w:t>АЛТ</w:t>
            </w:r>
          </w:p>
        </w:tc>
        <w:tc>
          <w:tcPr>
            <w:tcW w:w="7389" w:type="dxa"/>
            <w:vAlign w:val="center"/>
          </w:tcPr>
          <w:p w14:paraId="136E13C7" w14:textId="77777777" w:rsidR="0078396C" w:rsidRPr="00A032E6" w:rsidRDefault="0078396C" w:rsidP="00A85019">
            <w:pPr>
              <w:pStyle w:val="afff8"/>
              <w:rPr>
                <w:rFonts w:eastAsiaTheme="minorEastAsia"/>
                <w:sz w:val="24"/>
              </w:rPr>
            </w:pPr>
            <w:r w:rsidRPr="00A032E6">
              <w:rPr>
                <w:rFonts w:eastAsiaTheme="minorEastAsia"/>
                <w:sz w:val="24"/>
              </w:rPr>
              <w:t>Аланинаминотрансфераза</w:t>
            </w:r>
          </w:p>
        </w:tc>
      </w:tr>
      <w:tr w:rsidR="0078396C" w:rsidRPr="00A032E6" w14:paraId="2E95C541" w14:textId="77777777" w:rsidTr="0051021C">
        <w:trPr>
          <w:trHeight w:val="20"/>
        </w:trPr>
        <w:tc>
          <w:tcPr>
            <w:tcW w:w="1956" w:type="dxa"/>
            <w:vAlign w:val="center"/>
          </w:tcPr>
          <w:p w14:paraId="421830EB" w14:textId="77777777" w:rsidR="0078396C" w:rsidRPr="00A032E6" w:rsidRDefault="0078396C" w:rsidP="00A85019">
            <w:pPr>
              <w:pStyle w:val="afff8"/>
              <w:rPr>
                <w:rFonts w:eastAsiaTheme="minorEastAsia"/>
                <w:sz w:val="24"/>
              </w:rPr>
            </w:pPr>
            <w:r w:rsidRPr="00A032E6">
              <w:rPr>
                <w:rFonts w:eastAsiaTheme="minorEastAsia"/>
                <w:sz w:val="24"/>
              </w:rPr>
              <w:t>АСТ</w:t>
            </w:r>
          </w:p>
        </w:tc>
        <w:tc>
          <w:tcPr>
            <w:tcW w:w="7389" w:type="dxa"/>
            <w:vAlign w:val="center"/>
          </w:tcPr>
          <w:p w14:paraId="351981CF" w14:textId="77777777" w:rsidR="0078396C" w:rsidRPr="00A032E6" w:rsidRDefault="0078396C" w:rsidP="00A85019">
            <w:pPr>
              <w:pStyle w:val="afff8"/>
              <w:rPr>
                <w:rFonts w:eastAsiaTheme="minorEastAsia"/>
                <w:sz w:val="24"/>
              </w:rPr>
            </w:pPr>
            <w:r w:rsidRPr="00A032E6">
              <w:rPr>
                <w:rFonts w:eastAsiaTheme="minorEastAsia"/>
                <w:sz w:val="24"/>
              </w:rPr>
              <w:t>Аспартатаминотрансфераза</w:t>
            </w:r>
          </w:p>
        </w:tc>
      </w:tr>
      <w:tr w:rsidR="0078396C" w:rsidRPr="00A032E6" w14:paraId="43EA40BC" w14:textId="77777777" w:rsidTr="0051021C">
        <w:trPr>
          <w:trHeight w:val="20"/>
        </w:trPr>
        <w:tc>
          <w:tcPr>
            <w:tcW w:w="1956" w:type="dxa"/>
            <w:vAlign w:val="center"/>
          </w:tcPr>
          <w:p w14:paraId="42BD2D66" w14:textId="77777777" w:rsidR="0078396C" w:rsidRPr="00A032E6" w:rsidRDefault="0078396C" w:rsidP="00A85019">
            <w:pPr>
              <w:pStyle w:val="afff8"/>
              <w:rPr>
                <w:rFonts w:eastAsiaTheme="minorEastAsia"/>
                <w:sz w:val="24"/>
              </w:rPr>
            </w:pPr>
            <w:r w:rsidRPr="00A032E6">
              <w:rPr>
                <w:rFonts w:eastAsiaTheme="minorEastAsia"/>
                <w:sz w:val="24"/>
              </w:rPr>
              <w:t>АТХ</w:t>
            </w:r>
          </w:p>
        </w:tc>
        <w:tc>
          <w:tcPr>
            <w:tcW w:w="7389" w:type="dxa"/>
            <w:vAlign w:val="center"/>
          </w:tcPr>
          <w:p w14:paraId="6E837346" w14:textId="77777777" w:rsidR="0078396C" w:rsidRPr="00A032E6" w:rsidRDefault="0078396C" w:rsidP="00A85019">
            <w:pPr>
              <w:pStyle w:val="afff8"/>
              <w:rPr>
                <w:rFonts w:eastAsiaTheme="minorEastAsia"/>
                <w:sz w:val="24"/>
              </w:rPr>
            </w:pPr>
            <w:r w:rsidRPr="00A032E6">
              <w:rPr>
                <w:rFonts w:eastAsiaTheme="minorEastAsia"/>
                <w:sz w:val="24"/>
              </w:rPr>
              <w:t>Анатомо-терапевтическо-химическая классификация</w:t>
            </w:r>
          </w:p>
        </w:tc>
      </w:tr>
      <w:tr w:rsidR="00E670E6" w:rsidRPr="00A032E6" w14:paraId="17441EF1" w14:textId="77777777" w:rsidTr="0051021C">
        <w:trPr>
          <w:trHeight w:val="20"/>
        </w:trPr>
        <w:tc>
          <w:tcPr>
            <w:tcW w:w="1956" w:type="dxa"/>
            <w:vAlign w:val="center"/>
          </w:tcPr>
          <w:p w14:paraId="20FA475F" w14:textId="24EC35BC" w:rsidR="00E670E6" w:rsidRPr="00E670E6" w:rsidRDefault="00E670E6" w:rsidP="00A85019">
            <w:pPr>
              <w:pStyle w:val="afff8"/>
              <w:rPr>
                <w:rFonts w:eastAsiaTheme="minorEastAsia"/>
                <w:sz w:val="24"/>
              </w:rPr>
            </w:pPr>
            <w:r w:rsidRPr="00E670E6">
              <w:rPr>
                <w:sz w:val="24"/>
              </w:rPr>
              <w:t>ВБП</w:t>
            </w:r>
          </w:p>
        </w:tc>
        <w:tc>
          <w:tcPr>
            <w:tcW w:w="7389" w:type="dxa"/>
            <w:vAlign w:val="center"/>
          </w:tcPr>
          <w:p w14:paraId="3C90BA34" w14:textId="7D4DDB0C" w:rsidR="00E670E6" w:rsidRPr="00A032E6" w:rsidRDefault="00E670E6" w:rsidP="00C22830">
            <w:pPr>
              <w:rPr>
                <w:rFonts w:eastAsiaTheme="minorEastAsia"/>
              </w:rPr>
            </w:pPr>
            <w:r>
              <w:t>В</w:t>
            </w:r>
            <w:r w:rsidRPr="002161C8">
              <w:t>ыживаемость без прогрессирования</w:t>
            </w:r>
          </w:p>
        </w:tc>
      </w:tr>
      <w:tr w:rsidR="0078396C" w:rsidRPr="00A032E6" w14:paraId="6AAC6B49" w14:textId="77777777" w:rsidTr="0051021C">
        <w:trPr>
          <w:trHeight w:val="20"/>
        </w:trPr>
        <w:tc>
          <w:tcPr>
            <w:tcW w:w="1956" w:type="dxa"/>
            <w:vAlign w:val="center"/>
          </w:tcPr>
          <w:p w14:paraId="644786E1" w14:textId="77777777" w:rsidR="0078396C" w:rsidRPr="00A032E6" w:rsidRDefault="0078396C" w:rsidP="00A85019">
            <w:pPr>
              <w:pStyle w:val="afff8"/>
              <w:rPr>
                <w:rFonts w:eastAsiaTheme="minorEastAsia"/>
                <w:sz w:val="24"/>
              </w:rPr>
            </w:pPr>
            <w:r w:rsidRPr="00A032E6">
              <w:rPr>
                <w:rFonts w:eastAsiaTheme="minorEastAsia"/>
                <w:sz w:val="24"/>
              </w:rPr>
              <w:t>ВОЗ</w:t>
            </w:r>
          </w:p>
        </w:tc>
        <w:tc>
          <w:tcPr>
            <w:tcW w:w="7389" w:type="dxa"/>
            <w:vAlign w:val="center"/>
          </w:tcPr>
          <w:p w14:paraId="270E4CFE" w14:textId="77777777" w:rsidR="0078396C" w:rsidRPr="00A032E6" w:rsidRDefault="0078396C" w:rsidP="00A85019">
            <w:pPr>
              <w:pStyle w:val="afff8"/>
              <w:rPr>
                <w:rFonts w:eastAsiaTheme="minorEastAsia"/>
                <w:sz w:val="24"/>
              </w:rPr>
            </w:pPr>
            <w:r w:rsidRPr="00A032E6">
              <w:rPr>
                <w:rFonts w:eastAsiaTheme="minorEastAsia"/>
                <w:sz w:val="24"/>
              </w:rPr>
              <w:t>Всемирная организации здравоохранения</w:t>
            </w:r>
          </w:p>
        </w:tc>
      </w:tr>
      <w:tr w:rsidR="0078396C" w:rsidRPr="00A032E6" w14:paraId="7D8159A6" w14:textId="77777777" w:rsidTr="0051021C">
        <w:trPr>
          <w:trHeight w:val="20"/>
        </w:trPr>
        <w:tc>
          <w:tcPr>
            <w:tcW w:w="1956" w:type="dxa"/>
            <w:vAlign w:val="center"/>
          </w:tcPr>
          <w:p w14:paraId="739CC681" w14:textId="77777777" w:rsidR="0078396C" w:rsidRPr="00A032E6" w:rsidRDefault="0078396C" w:rsidP="00A85019">
            <w:pPr>
              <w:pStyle w:val="afff8"/>
              <w:rPr>
                <w:rFonts w:eastAsiaTheme="minorEastAsia"/>
                <w:sz w:val="24"/>
              </w:rPr>
            </w:pPr>
            <w:r w:rsidRPr="00A032E6">
              <w:rPr>
                <w:rFonts w:eastAsiaTheme="minorEastAsia"/>
                <w:sz w:val="24"/>
              </w:rPr>
              <w:t>ВЭЖХ</w:t>
            </w:r>
          </w:p>
        </w:tc>
        <w:tc>
          <w:tcPr>
            <w:tcW w:w="7389" w:type="dxa"/>
            <w:vAlign w:val="center"/>
          </w:tcPr>
          <w:p w14:paraId="60782DC9" w14:textId="77777777" w:rsidR="0078396C" w:rsidRPr="00A032E6" w:rsidRDefault="0078396C" w:rsidP="00A85019">
            <w:pPr>
              <w:pStyle w:val="afff8"/>
              <w:rPr>
                <w:rFonts w:eastAsiaTheme="minorEastAsia"/>
                <w:sz w:val="24"/>
              </w:rPr>
            </w:pPr>
            <w:r w:rsidRPr="00A032E6">
              <w:rPr>
                <w:rFonts w:eastAsiaTheme="minorEastAsia"/>
                <w:sz w:val="24"/>
              </w:rPr>
              <w:t>Высокоэффективная жидкостная хроматография</w:t>
            </w:r>
          </w:p>
        </w:tc>
      </w:tr>
      <w:tr w:rsidR="0078396C" w:rsidRPr="00A032E6" w14:paraId="710209B9" w14:textId="77777777" w:rsidTr="0051021C">
        <w:trPr>
          <w:trHeight w:val="20"/>
        </w:trPr>
        <w:tc>
          <w:tcPr>
            <w:tcW w:w="1956" w:type="dxa"/>
            <w:vAlign w:val="center"/>
          </w:tcPr>
          <w:p w14:paraId="66592924" w14:textId="77777777" w:rsidR="0078396C" w:rsidRPr="00A032E6" w:rsidRDefault="0078396C" w:rsidP="00A85019">
            <w:pPr>
              <w:pStyle w:val="afff8"/>
              <w:rPr>
                <w:rFonts w:eastAsiaTheme="minorEastAsia"/>
                <w:sz w:val="24"/>
              </w:rPr>
            </w:pPr>
            <w:r w:rsidRPr="00A032E6">
              <w:rPr>
                <w:sz w:val="24"/>
              </w:rPr>
              <w:t>ГХ</w:t>
            </w:r>
          </w:p>
        </w:tc>
        <w:tc>
          <w:tcPr>
            <w:tcW w:w="7389" w:type="dxa"/>
            <w:vAlign w:val="center"/>
          </w:tcPr>
          <w:p w14:paraId="058C4364" w14:textId="77777777" w:rsidR="0078396C" w:rsidRPr="00A032E6" w:rsidRDefault="0078396C" w:rsidP="00A85019">
            <w:pPr>
              <w:pStyle w:val="afff8"/>
              <w:rPr>
                <w:rFonts w:eastAsiaTheme="minorEastAsia"/>
                <w:sz w:val="24"/>
              </w:rPr>
            </w:pPr>
            <w:r w:rsidRPr="00A032E6">
              <w:rPr>
                <w:sz w:val="24"/>
              </w:rPr>
              <w:t>Газовая хроматография</w:t>
            </w:r>
          </w:p>
        </w:tc>
      </w:tr>
      <w:tr w:rsidR="00E670E6" w:rsidRPr="00A032E6" w14:paraId="404C7A2C" w14:textId="77777777" w:rsidTr="0051021C">
        <w:trPr>
          <w:trHeight w:val="20"/>
        </w:trPr>
        <w:tc>
          <w:tcPr>
            <w:tcW w:w="1956" w:type="dxa"/>
            <w:vAlign w:val="center"/>
          </w:tcPr>
          <w:p w14:paraId="426F6455" w14:textId="4706FDAF" w:rsidR="00E670E6" w:rsidRDefault="00E670E6" w:rsidP="0078396C">
            <w:r>
              <w:t>ГЦК</w:t>
            </w:r>
          </w:p>
        </w:tc>
        <w:tc>
          <w:tcPr>
            <w:tcW w:w="7389" w:type="dxa"/>
            <w:vAlign w:val="center"/>
          </w:tcPr>
          <w:p w14:paraId="4668DF54" w14:textId="060C952C" w:rsidR="00E670E6" w:rsidRDefault="00E670E6" w:rsidP="0078396C">
            <w:r>
              <w:t>Гепатоцеллюлярная карцинома</w:t>
            </w:r>
          </w:p>
        </w:tc>
      </w:tr>
      <w:tr w:rsidR="0078396C" w:rsidRPr="00A032E6" w14:paraId="2682233C" w14:textId="77777777" w:rsidTr="0051021C">
        <w:trPr>
          <w:trHeight w:val="20"/>
        </w:trPr>
        <w:tc>
          <w:tcPr>
            <w:tcW w:w="1956" w:type="dxa"/>
            <w:vAlign w:val="center"/>
          </w:tcPr>
          <w:p w14:paraId="3B2B89DF" w14:textId="01B937FF" w:rsidR="0078396C" w:rsidRPr="00144DAC" w:rsidRDefault="0078396C" w:rsidP="0078396C">
            <w:pPr>
              <w:rPr>
                <w:rFonts w:eastAsiaTheme="minorEastAsia"/>
                <w:color w:val="000000" w:themeColor="text1"/>
              </w:rPr>
            </w:pPr>
            <w:r>
              <w:t>ГЦР</w:t>
            </w:r>
          </w:p>
        </w:tc>
        <w:tc>
          <w:tcPr>
            <w:tcW w:w="7389" w:type="dxa"/>
            <w:vAlign w:val="center"/>
          </w:tcPr>
          <w:p w14:paraId="1054F686" w14:textId="066C3EFE" w:rsidR="0078396C" w:rsidRPr="00144DAC" w:rsidRDefault="0078396C" w:rsidP="0078396C">
            <w:pPr>
              <w:rPr>
                <w:rFonts w:eastAsiaTheme="minorEastAsia"/>
                <w:color w:val="000000" w:themeColor="text1"/>
              </w:rPr>
            </w:pPr>
            <w:r>
              <w:t xml:space="preserve">Гепатоцеллюлярный рак </w:t>
            </w:r>
          </w:p>
        </w:tc>
      </w:tr>
      <w:tr w:rsidR="0078396C" w:rsidRPr="00A032E6" w14:paraId="64F5657A" w14:textId="77777777" w:rsidTr="0051021C">
        <w:trPr>
          <w:trHeight w:val="20"/>
        </w:trPr>
        <w:tc>
          <w:tcPr>
            <w:tcW w:w="1956" w:type="dxa"/>
            <w:vAlign w:val="center"/>
          </w:tcPr>
          <w:p w14:paraId="763BF976" w14:textId="77777777" w:rsidR="0078396C" w:rsidRPr="00144DAC" w:rsidRDefault="0078396C" w:rsidP="00A85019">
            <w:pPr>
              <w:pStyle w:val="afff8"/>
              <w:rPr>
                <w:sz w:val="24"/>
              </w:rPr>
            </w:pPr>
            <w:r w:rsidRPr="00144DAC">
              <w:rPr>
                <w:rFonts w:eastAsiaTheme="minorEastAsia"/>
                <w:color w:val="000000" w:themeColor="text1"/>
                <w:sz w:val="24"/>
              </w:rPr>
              <w:t>ГЭБ</w:t>
            </w:r>
          </w:p>
        </w:tc>
        <w:tc>
          <w:tcPr>
            <w:tcW w:w="7389" w:type="dxa"/>
            <w:vAlign w:val="center"/>
          </w:tcPr>
          <w:p w14:paraId="75DE1C6D" w14:textId="77777777" w:rsidR="0078396C" w:rsidRPr="00144DAC" w:rsidRDefault="0078396C" w:rsidP="00A85019">
            <w:pPr>
              <w:pStyle w:val="afff8"/>
              <w:rPr>
                <w:sz w:val="24"/>
              </w:rPr>
            </w:pPr>
            <w:r w:rsidRPr="00144DAC">
              <w:rPr>
                <w:rFonts w:eastAsiaTheme="minorEastAsia"/>
                <w:color w:val="000000" w:themeColor="text1"/>
                <w:sz w:val="24"/>
              </w:rPr>
              <w:t>Гематоэнцефалический барьер</w:t>
            </w:r>
          </w:p>
        </w:tc>
      </w:tr>
      <w:tr w:rsidR="0078396C" w:rsidRPr="00A032E6" w14:paraId="43EFE9D9" w14:textId="77777777" w:rsidTr="0051021C">
        <w:trPr>
          <w:trHeight w:val="20"/>
        </w:trPr>
        <w:tc>
          <w:tcPr>
            <w:tcW w:w="1956" w:type="dxa"/>
            <w:vAlign w:val="center"/>
          </w:tcPr>
          <w:p w14:paraId="3542D81B" w14:textId="77777777" w:rsidR="0078396C" w:rsidRPr="00A032E6" w:rsidRDefault="0078396C" w:rsidP="00A85019">
            <w:pPr>
              <w:pStyle w:val="afff8"/>
              <w:rPr>
                <w:rFonts w:eastAsiaTheme="minorEastAsia"/>
                <w:sz w:val="24"/>
              </w:rPr>
            </w:pPr>
            <w:r w:rsidRPr="00A032E6">
              <w:rPr>
                <w:rFonts w:eastAsiaTheme="minorEastAsia"/>
                <w:sz w:val="24"/>
              </w:rPr>
              <w:t>ДИ</w:t>
            </w:r>
          </w:p>
        </w:tc>
        <w:tc>
          <w:tcPr>
            <w:tcW w:w="7389" w:type="dxa"/>
            <w:vAlign w:val="center"/>
          </w:tcPr>
          <w:p w14:paraId="60695507" w14:textId="77777777" w:rsidR="0078396C" w:rsidRPr="00A032E6" w:rsidRDefault="0078396C" w:rsidP="00A85019">
            <w:pPr>
              <w:pStyle w:val="afff8"/>
              <w:rPr>
                <w:rFonts w:eastAsiaTheme="minorEastAsia"/>
                <w:sz w:val="24"/>
              </w:rPr>
            </w:pPr>
            <w:r w:rsidRPr="00A032E6">
              <w:rPr>
                <w:rFonts w:eastAsiaTheme="minorEastAsia"/>
                <w:sz w:val="24"/>
              </w:rPr>
              <w:t>Доверительный интервал</w:t>
            </w:r>
          </w:p>
        </w:tc>
      </w:tr>
      <w:tr w:rsidR="0078396C" w:rsidRPr="00A032E6" w14:paraId="5886CDC9" w14:textId="77777777" w:rsidTr="0051021C">
        <w:trPr>
          <w:trHeight w:val="20"/>
        </w:trPr>
        <w:tc>
          <w:tcPr>
            <w:tcW w:w="1956" w:type="dxa"/>
            <w:vAlign w:val="center"/>
          </w:tcPr>
          <w:p w14:paraId="65EB10C8" w14:textId="77777777" w:rsidR="0078396C" w:rsidRPr="00A032E6" w:rsidRDefault="0078396C" w:rsidP="00A85019">
            <w:pPr>
              <w:pStyle w:val="afff8"/>
              <w:rPr>
                <w:rFonts w:eastAsiaTheme="minorEastAsia"/>
                <w:sz w:val="24"/>
              </w:rPr>
            </w:pPr>
            <w:r w:rsidRPr="00A032E6">
              <w:rPr>
                <w:rFonts w:eastAsiaTheme="minorEastAsia"/>
                <w:sz w:val="24"/>
              </w:rPr>
              <w:t>ДНК</w:t>
            </w:r>
          </w:p>
        </w:tc>
        <w:tc>
          <w:tcPr>
            <w:tcW w:w="7389" w:type="dxa"/>
            <w:vAlign w:val="center"/>
          </w:tcPr>
          <w:p w14:paraId="05EFB887" w14:textId="77777777" w:rsidR="0078396C" w:rsidRPr="00A032E6" w:rsidRDefault="0078396C" w:rsidP="00A85019">
            <w:pPr>
              <w:pStyle w:val="afff8"/>
              <w:rPr>
                <w:rFonts w:eastAsiaTheme="minorEastAsia"/>
                <w:sz w:val="24"/>
              </w:rPr>
            </w:pPr>
            <w:r w:rsidRPr="00A032E6">
              <w:rPr>
                <w:rFonts w:eastAsiaTheme="minorEastAsia"/>
                <w:sz w:val="24"/>
              </w:rPr>
              <w:t>Дезоксирибонуклеиновая кислота</w:t>
            </w:r>
          </w:p>
        </w:tc>
      </w:tr>
      <w:tr w:rsidR="008C6AFF" w:rsidRPr="00A032E6" w14:paraId="1B68494E" w14:textId="77777777" w:rsidTr="00D050C7">
        <w:trPr>
          <w:trHeight w:val="20"/>
        </w:trPr>
        <w:tc>
          <w:tcPr>
            <w:tcW w:w="1956" w:type="dxa"/>
          </w:tcPr>
          <w:p w14:paraId="380B6D00" w14:textId="4B64F16D" w:rsidR="008C6AFF" w:rsidRPr="008C6AFF" w:rsidRDefault="008C6AFF" w:rsidP="008C6AFF">
            <w:pPr>
              <w:pStyle w:val="afff8"/>
              <w:rPr>
                <w:rFonts w:eastAsiaTheme="minorEastAsia"/>
                <w:sz w:val="24"/>
              </w:rPr>
            </w:pPr>
            <w:r w:rsidRPr="00D050C7">
              <w:rPr>
                <w:sz w:val="24"/>
              </w:rPr>
              <w:t>ЖКТ</w:t>
            </w:r>
          </w:p>
        </w:tc>
        <w:tc>
          <w:tcPr>
            <w:tcW w:w="7389" w:type="dxa"/>
          </w:tcPr>
          <w:p w14:paraId="296178E9" w14:textId="7A2124E2" w:rsidR="008C6AFF" w:rsidRPr="008C6AFF" w:rsidRDefault="008C6AFF" w:rsidP="008C6AFF">
            <w:pPr>
              <w:pStyle w:val="afff8"/>
              <w:rPr>
                <w:rFonts w:eastAsiaTheme="minorEastAsia"/>
                <w:sz w:val="24"/>
              </w:rPr>
            </w:pPr>
            <w:r w:rsidRPr="00D050C7">
              <w:rPr>
                <w:sz w:val="24"/>
              </w:rPr>
              <w:t>Желудочно-кишечный тракт</w:t>
            </w:r>
          </w:p>
        </w:tc>
      </w:tr>
      <w:tr w:rsidR="00415447" w:rsidRPr="00A032E6" w14:paraId="4C0996A0" w14:textId="77777777" w:rsidTr="0051021C">
        <w:trPr>
          <w:trHeight w:val="20"/>
        </w:trPr>
        <w:tc>
          <w:tcPr>
            <w:tcW w:w="1956" w:type="dxa"/>
            <w:vAlign w:val="center"/>
          </w:tcPr>
          <w:p w14:paraId="167A5773" w14:textId="7E2ABE86" w:rsidR="00415447" w:rsidRPr="008036D6" w:rsidRDefault="00415447" w:rsidP="00A85019">
            <w:pPr>
              <w:pStyle w:val="afff8"/>
              <w:rPr>
                <w:rFonts w:eastAsiaTheme="minorEastAsia"/>
                <w:sz w:val="24"/>
              </w:rPr>
            </w:pPr>
            <w:r w:rsidRPr="00D050C7">
              <w:rPr>
                <w:sz w:val="24"/>
              </w:rPr>
              <w:t>ЖСС</w:t>
            </w:r>
          </w:p>
        </w:tc>
        <w:tc>
          <w:tcPr>
            <w:tcW w:w="7389" w:type="dxa"/>
            <w:vAlign w:val="center"/>
          </w:tcPr>
          <w:p w14:paraId="6E79A706" w14:textId="3208CEF5" w:rsidR="00415447" w:rsidRDefault="00671AC1" w:rsidP="00A85019">
            <w:r>
              <w:t>Ж</w:t>
            </w:r>
            <w:r w:rsidR="00415447" w:rsidRPr="00415447">
              <w:t>идкостны</w:t>
            </w:r>
            <w:r>
              <w:t>й</w:t>
            </w:r>
            <w:r w:rsidR="00415447" w:rsidRPr="00415447">
              <w:t xml:space="preserve"> сцинтилляционны</w:t>
            </w:r>
            <w:r>
              <w:t>й</w:t>
            </w:r>
            <w:r w:rsidR="00415447" w:rsidRPr="00415447">
              <w:t xml:space="preserve"> счетчик </w:t>
            </w:r>
          </w:p>
        </w:tc>
      </w:tr>
      <w:tr w:rsidR="0078396C" w:rsidRPr="00A032E6" w14:paraId="69188983" w14:textId="77777777" w:rsidTr="0051021C">
        <w:trPr>
          <w:trHeight w:val="20"/>
        </w:trPr>
        <w:tc>
          <w:tcPr>
            <w:tcW w:w="1956" w:type="dxa"/>
            <w:vAlign w:val="center"/>
          </w:tcPr>
          <w:p w14:paraId="34B20702" w14:textId="77777777" w:rsidR="0078396C" w:rsidRPr="00A032E6" w:rsidRDefault="0078396C" w:rsidP="00A85019">
            <w:pPr>
              <w:pStyle w:val="afff8"/>
              <w:rPr>
                <w:rFonts w:eastAsiaTheme="minorEastAsia"/>
                <w:sz w:val="24"/>
              </w:rPr>
            </w:pPr>
            <w:r w:rsidRPr="001474E8">
              <w:rPr>
                <w:rFonts w:eastAsiaTheme="minorEastAsia"/>
                <w:sz w:val="24"/>
              </w:rPr>
              <w:lastRenderedPageBreak/>
              <w:t>ЖХ-МС</w:t>
            </w:r>
          </w:p>
        </w:tc>
        <w:tc>
          <w:tcPr>
            <w:tcW w:w="7389" w:type="dxa"/>
            <w:vAlign w:val="center"/>
          </w:tcPr>
          <w:p w14:paraId="2CC3A833" w14:textId="77777777" w:rsidR="0078396C" w:rsidRPr="00A032E6" w:rsidRDefault="0078396C" w:rsidP="00A85019">
            <w:pPr>
              <w:rPr>
                <w:rFonts w:eastAsiaTheme="minorEastAsia"/>
              </w:rPr>
            </w:pPr>
            <w:r>
              <w:t>Ж</w:t>
            </w:r>
            <w:r w:rsidRPr="000275F3">
              <w:t>идкостн</w:t>
            </w:r>
            <w:r>
              <w:t>ая</w:t>
            </w:r>
            <w:r w:rsidRPr="000275F3">
              <w:t xml:space="preserve"> хроматографи</w:t>
            </w:r>
            <w:r>
              <w:t>я</w:t>
            </w:r>
            <w:r w:rsidRPr="000275F3">
              <w:t xml:space="preserve"> с масс спектрометрией </w:t>
            </w:r>
          </w:p>
        </w:tc>
      </w:tr>
      <w:tr w:rsidR="0078396C" w:rsidRPr="00A032E6" w14:paraId="3EA07407" w14:textId="77777777" w:rsidTr="0051021C">
        <w:trPr>
          <w:trHeight w:val="20"/>
        </w:trPr>
        <w:tc>
          <w:tcPr>
            <w:tcW w:w="1956" w:type="dxa"/>
            <w:vAlign w:val="center"/>
          </w:tcPr>
          <w:p w14:paraId="6D605063" w14:textId="77777777" w:rsidR="0078396C" w:rsidRPr="00A032E6" w:rsidRDefault="0078396C" w:rsidP="00A85019">
            <w:pPr>
              <w:pStyle w:val="afff8"/>
              <w:rPr>
                <w:rFonts w:eastAsiaTheme="minorEastAsia"/>
                <w:sz w:val="24"/>
              </w:rPr>
            </w:pPr>
            <w:r w:rsidRPr="00A032E6">
              <w:rPr>
                <w:rFonts w:eastAsiaTheme="minorEastAsia"/>
                <w:sz w:val="24"/>
              </w:rPr>
              <w:t>ИИ</w:t>
            </w:r>
          </w:p>
        </w:tc>
        <w:tc>
          <w:tcPr>
            <w:tcW w:w="7389" w:type="dxa"/>
            <w:vAlign w:val="center"/>
          </w:tcPr>
          <w:p w14:paraId="22F8D217" w14:textId="77777777" w:rsidR="0078396C" w:rsidRPr="00A032E6" w:rsidRDefault="0078396C" w:rsidP="00A85019">
            <w:pPr>
              <w:pStyle w:val="afff8"/>
              <w:rPr>
                <w:rFonts w:eastAsiaTheme="minorEastAsia"/>
                <w:sz w:val="24"/>
              </w:rPr>
            </w:pPr>
            <w:r w:rsidRPr="00A032E6">
              <w:rPr>
                <w:rFonts w:eastAsiaTheme="minorEastAsia"/>
                <w:sz w:val="24"/>
              </w:rPr>
              <w:t xml:space="preserve">Ингибиторы интегразы </w:t>
            </w:r>
          </w:p>
        </w:tc>
      </w:tr>
      <w:tr w:rsidR="0078396C" w:rsidRPr="00A032E6" w14:paraId="47EE5E1D" w14:textId="77777777" w:rsidTr="0051021C">
        <w:trPr>
          <w:trHeight w:val="20"/>
        </w:trPr>
        <w:tc>
          <w:tcPr>
            <w:tcW w:w="1956" w:type="dxa"/>
            <w:vAlign w:val="center"/>
          </w:tcPr>
          <w:p w14:paraId="2C9008CF" w14:textId="77777777" w:rsidR="0078396C" w:rsidRPr="00A032E6" w:rsidRDefault="0078396C" w:rsidP="00A85019">
            <w:pPr>
              <w:pStyle w:val="afff8"/>
              <w:rPr>
                <w:rFonts w:eastAsiaTheme="minorEastAsia"/>
                <w:sz w:val="24"/>
              </w:rPr>
            </w:pPr>
            <w:r w:rsidRPr="00A032E6">
              <w:rPr>
                <w:rFonts w:eastAsiaTheme="minorEastAsia"/>
                <w:sz w:val="24"/>
              </w:rPr>
              <w:t>ИМП</w:t>
            </w:r>
          </w:p>
        </w:tc>
        <w:tc>
          <w:tcPr>
            <w:tcW w:w="7389" w:type="dxa"/>
            <w:vAlign w:val="center"/>
          </w:tcPr>
          <w:p w14:paraId="2CAEC5FE" w14:textId="16F859BC" w:rsidR="0078396C" w:rsidRPr="00A032E6" w:rsidRDefault="0078396C" w:rsidP="00A85019">
            <w:pPr>
              <w:pStyle w:val="afff8"/>
              <w:rPr>
                <w:rFonts w:eastAsiaTheme="minorEastAsia"/>
                <w:sz w:val="24"/>
              </w:rPr>
            </w:pPr>
            <w:r w:rsidRPr="00A032E6">
              <w:rPr>
                <w:rFonts w:eastAsiaTheme="minorEastAsia"/>
                <w:sz w:val="24"/>
              </w:rPr>
              <w:t xml:space="preserve">Инструкция </w:t>
            </w:r>
            <w:r w:rsidR="003620FA">
              <w:rPr>
                <w:rFonts w:eastAsiaTheme="minorEastAsia"/>
                <w:sz w:val="24"/>
              </w:rPr>
              <w:t>по</w:t>
            </w:r>
            <w:r w:rsidR="003620FA" w:rsidRPr="00A032E6">
              <w:rPr>
                <w:rFonts w:eastAsiaTheme="minorEastAsia"/>
                <w:sz w:val="24"/>
              </w:rPr>
              <w:t xml:space="preserve"> </w:t>
            </w:r>
            <w:r w:rsidRPr="00A032E6">
              <w:rPr>
                <w:rFonts w:eastAsiaTheme="minorEastAsia"/>
                <w:sz w:val="24"/>
              </w:rPr>
              <w:t>медицинскому применению</w:t>
            </w:r>
          </w:p>
        </w:tc>
      </w:tr>
      <w:tr w:rsidR="0078396C" w:rsidRPr="00A032E6" w14:paraId="668E0CB2" w14:textId="77777777" w:rsidTr="0051021C">
        <w:trPr>
          <w:trHeight w:val="20"/>
        </w:trPr>
        <w:tc>
          <w:tcPr>
            <w:tcW w:w="1956" w:type="dxa"/>
            <w:vAlign w:val="center"/>
          </w:tcPr>
          <w:p w14:paraId="1E9D6B42" w14:textId="77777777" w:rsidR="0078396C" w:rsidRPr="00A032E6" w:rsidRDefault="0078396C" w:rsidP="00A85019">
            <w:pPr>
              <w:pStyle w:val="afff8"/>
              <w:rPr>
                <w:rFonts w:eastAsiaTheme="minorEastAsia"/>
                <w:sz w:val="24"/>
              </w:rPr>
            </w:pPr>
            <w:r w:rsidRPr="00A032E6">
              <w:rPr>
                <w:rFonts w:eastAsiaTheme="minorEastAsia"/>
                <w:sz w:val="24"/>
              </w:rPr>
              <w:t>ИП</w:t>
            </w:r>
          </w:p>
        </w:tc>
        <w:tc>
          <w:tcPr>
            <w:tcW w:w="7389" w:type="dxa"/>
            <w:vAlign w:val="center"/>
          </w:tcPr>
          <w:p w14:paraId="18288BF6" w14:textId="77777777" w:rsidR="0078396C" w:rsidRPr="00A032E6" w:rsidRDefault="0078396C" w:rsidP="00A85019">
            <w:pPr>
              <w:pStyle w:val="afff8"/>
              <w:rPr>
                <w:rFonts w:eastAsiaTheme="minorEastAsia"/>
                <w:sz w:val="24"/>
              </w:rPr>
            </w:pPr>
            <w:r w:rsidRPr="00A032E6">
              <w:rPr>
                <w:rFonts w:eastAsiaTheme="minorEastAsia"/>
                <w:sz w:val="24"/>
              </w:rPr>
              <w:t>Ингибитор протеазы</w:t>
            </w:r>
          </w:p>
        </w:tc>
      </w:tr>
      <w:tr w:rsidR="00E670E6" w:rsidRPr="00A032E6" w14:paraId="4BE87B70" w14:textId="77777777" w:rsidTr="0051021C">
        <w:trPr>
          <w:trHeight w:val="20"/>
        </w:trPr>
        <w:tc>
          <w:tcPr>
            <w:tcW w:w="1956" w:type="dxa"/>
            <w:vAlign w:val="center"/>
          </w:tcPr>
          <w:p w14:paraId="2B85DCED" w14:textId="6720E5E4" w:rsidR="00E670E6" w:rsidRPr="00A032E6" w:rsidRDefault="00E670E6" w:rsidP="00A85019">
            <w:pPr>
              <w:pStyle w:val="afff8"/>
              <w:rPr>
                <w:rFonts w:eastAsiaTheme="minorEastAsia"/>
                <w:sz w:val="24"/>
              </w:rPr>
            </w:pPr>
            <w:r>
              <w:rPr>
                <w:rFonts w:eastAsiaTheme="minorEastAsia"/>
                <w:sz w:val="24"/>
              </w:rPr>
              <w:t>ИТК</w:t>
            </w:r>
          </w:p>
        </w:tc>
        <w:tc>
          <w:tcPr>
            <w:tcW w:w="7389" w:type="dxa"/>
            <w:vAlign w:val="center"/>
          </w:tcPr>
          <w:p w14:paraId="49794212" w14:textId="5E939DD3" w:rsidR="00E670E6" w:rsidRPr="00A032E6" w:rsidRDefault="00E670E6" w:rsidP="00A85019">
            <w:pPr>
              <w:pStyle w:val="afff8"/>
              <w:rPr>
                <w:rFonts w:eastAsiaTheme="minorEastAsia"/>
                <w:sz w:val="24"/>
              </w:rPr>
            </w:pPr>
            <w:r>
              <w:rPr>
                <w:rFonts w:eastAsiaTheme="minorEastAsia"/>
                <w:sz w:val="24"/>
              </w:rPr>
              <w:t>Ингибиторы тирозинкиназы</w:t>
            </w:r>
          </w:p>
        </w:tc>
      </w:tr>
      <w:tr w:rsidR="0078396C" w:rsidRPr="00A032E6" w14:paraId="77D72260" w14:textId="77777777" w:rsidTr="0051021C">
        <w:trPr>
          <w:trHeight w:val="20"/>
        </w:trPr>
        <w:tc>
          <w:tcPr>
            <w:tcW w:w="1956" w:type="dxa"/>
            <w:vAlign w:val="center"/>
          </w:tcPr>
          <w:p w14:paraId="7289E892" w14:textId="77777777" w:rsidR="0078396C" w:rsidRPr="00A032E6" w:rsidRDefault="0078396C" w:rsidP="00A85019">
            <w:pPr>
              <w:pStyle w:val="afff8"/>
              <w:rPr>
                <w:rFonts w:eastAsiaTheme="minorEastAsia"/>
                <w:sz w:val="24"/>
              </w:rPr>
            </w:pPr>
            <w:r w:rsidRPr="00A032E6">
              <w:rPr>
                <w:rFonts w:eastAsiaTheme="minorEastAsia"/>
                <w:sz w:val="24"/>
              </w:rPr>
              <w:t>КИ</w:t>
            </w:r>
          </w:p>
        </w:tc>
        <w:tc>
          <w:tcPr>
            <w:tcW w:w="7389" w:type="dxa"/>
            <w:vAlign w:val="center"/>
          </w:tcPr>
          <w:p w14:paraId="2FAC1610" w14:textId="77777777" w:rsidR="0078396C" w:rsidRPr="00A032E6" w:rsidRDefault="0078396C" w:rsidP="00A85019">
            <w:pPr>
              <w:pStyle w:val="afff8"/>
              <w:rPr>
                <w:rFonts w:eastAsiaTheme="minorEastAsia"/>
                <w:sz w:val="24"/>
              </w:rPr>
            </w:pPr>
            <w:r w:rsidRPr="00A032E6">
              <w:rPr>
                <w:rFonts w:eastAsiaTheme="minorEastAsia"/>
                <w:sz w:val="24"/>
              </w:rPr>
              <w:t>Клинические исследования</w:t>
            </w:r>
          </w:p>
        </w:tc>
      </w:tr>
      <w:tr w:rsidR="0078396C" w:rsidRPr="00A032E6" w14:paraId="49B49DCC" w14:textId="77777777" w:rsidTr="0051021C">
        <w:trPr>
          <w:trHeight w:val="20"/>
        </w:trPr>
        <w:tc>
          <w:tcPr>
            <w:tcW w:w="1956" w:type="dxa"/>
            <w:vAlign w:val="center"/>
          </w:tcPr>
          <w:p w14:paraId="134EB06B" w14:textId="77777777" w:rsidR="0078396C" w:rsidRPr="00A032E6" w:rsidRDefault="0078396C" w:rsidP="00A85019">
            <w:pPr>
              <w:pStyle w:val="afff8"/>
              <w:rPr>
                <w:rFonts w:eastAsiaTheme="minorEastAsia"/>
                <w:sz w:val="24"/>
              </w:rPr>
            </w:pPr>
            <w:r w:rsidRPr="00A032E6">
              <w:rPr>
                <w:rFonts w:eastAsiaTheme="minorEastAsia"/>
                <w:sz w:val="24"/>
              </w:rPr>
              <w:t>ЛПНП</w:t>
            </w:r>
          </w:p>
        </w:tc>
        <w:tc>
          <w:tcPr>
            <w:tcW w:w="7389" w:type="dxa"/>
            <w:vAlign w:val="center"/>
          </w:tcPr>
          <w:p w14:paraId="4CD2AFF1" w14:textId="77777777" w:rsidR="0078396C" w:rsidRPr="00A032E6" w:rsidRDefault="0078396C" w:rsidP="00A85019">
            <w:pPr>
              <w:pStyle w:val="afff8"/>
              <w:rPr>
                <w:rFonts w:eastAsiaTheme="minorEastAsia"/>
                <w:sz w:val="24"/>
              </w:rPr>
            </w:pPr>
            <w:r w:rsidRPr="00A032E6">
              <w:rPr>
                <w:rFonts w:eastAsiaTheme="minorEastAsia"/>
                <w:sz w:val="24"/>
              </w:rPr>
              <w:t>Липопротеины низкой плотности</w:t>
            </w:r>
          </w:p>
        </w:tc>
      </w:tr>
      <w:tr w:rsidR="00BC6DE9" w:rsidRPr="00A032E6" w14:paraId="49310D86" w14:textId="77777777" w:rsidTr="0051021C">
        <w:trPr>
          <w:trHeight w:val="20"/>
        </w:trPr>
        <w:tc>
          <w:tcPr>
            <w:tcW w:w="1956" w:type="dxa"/>
            <w:vAlign w:val="center"/>
          </w:tcPr>
          <w:p w14:paraId="75CB0073" w14:textId="765503DD" w:rsidR="00BC6DE9" w:rsidRPr="00A032E6" w:rsidRDefault="00BC6DE9" w:rsidP="00A85019">
            <w:pPr>
              <w:pStyle w:val="afff8"/>
              <w:rPr>
                <w:rFonts w:eastAsiaTheme="minorEastAsia"/>
                <w:sz w:val="24"/>
              </w:rPr>
            </w:pPr>
            <w:r>
              <w:rPr>
                <w:rFonts w:eastAsiaTheme="minorEastAsia"/>
                <w:sz w:val="24"/>
              </w:rPr>
              <w:t>НПВ</w:t>
            </w:r>
          </w:p>
        </w:tc>
        <w:tc>
          <w:tcPr>
            <w:tcW w:w="7389" w:type="dxa"/>
            <w:vAlign w:val="center"/>
          </w:tcPr>
          <w:p w14:paraId="07DD2069" w14:textId="59883E35" w:rsidR="00BC6DE9" w:rsidRPr="00A032E6" w:rsidRDefault="00BC6DE9" w:rsidP="00A85019">
            <w:pPr>
              <w:pStyle w:val="afff8"/>
              <w:rPr>
                <w:rFonts w:eastAsiaTheme="minorEastAsia"/>
                <w:sz w:val="24"/>
              </w:rPr>
            </w:pPr>
            <w:r>
              <w:rPr>
                <w:rFonts w:eastAsiaTheme="minorEastAsia"/>
                <w:sz w:val="24"/>
              </w:rPr>
              <w:t>Нижняя полая вена</w:t>
            </w:r>
          </w:p>
        </w:tc>
      </w:tr>
      <w:tr w:rsidR="0078396C" w:rsidRPr="00A032E6" w14:paraId="00CB071F" w14:textId="77777777" w:rsidTr="0051021C">
        <w:trPr>
          <w:trHeight w:val="20"/>
        </w:trPr>
        <w:tc>
          <w:tcPr>
            <w:tcW w:w="1956" w:type="dxa"/>
            <w:vAlign w:val="center"/>
          </w:tcPr>
          <w:p w14:paraId="4E35CD89" w14:textId="77777777" w:rsidR="0078396C" w:rsidRPr="00A032E6" w:rsidRDefault="0078396C" w:rsidP="00A85019">
            <w:pPr>
              <w:pStyle w:val="afff8"/>
              <w:rPr>
                <w:rFonts w:eastAsiaTheme="minorEastAsia"/>
                <w:sz w:val="24"/>
                <w:lang w:val="en-US"/>
              </w:rPr>
            </w:pPr>
            <w:r w:rsidRPr="00A032E6">
              <w:rPr>
                <w:rFonts w:eastAsiaTheme="minorEastAsia"/>
                <w:sz w:val="24"/>
              </w:rPr>
              <w:t xml:space="preserve">НЯ </w:t>
            </w:r>
          </w:p>
        </w:tc>
        <w:tc>
          <w:tcPr>
            <w:tcW w:w="7389" w:type="dxa"/>
            <w:vAlign w:val="center"/>
          </w:tcPr>
          <w:p w14:paraId="011AEB8C" w14:textId="77777777" w:rsidR="0078396C" w:rsidRPr="00A032E6" w:rsidRDefault="0078396C" w:rsidP="00A85019">
            <w:pPr>
              <w:pStyle w:val="afff8"/>
              <w:rPr>
                <w:rFonts w:eastAsiaTheme="minorEastAsia"/>
                <w:sz w:val="24"/>
              </w:rPr>
            </w:pPr>
            <w:r w:rsidRPr="00A032E6">
              <w:rPr>
                <w:rFonts w:eastAsiaTheme="minorEastAsia"/>
                <w:sz w:val="24"/>
              </w:rPr>
              <w:t>Нежелательные явления</w:t>
            </w:r>
          </w:p>
        </w:tc>
      </w:tr>
      <w:tr w:rsidR="00044EE2" w:rsidRPr="00A032E6" w14:paraId="592F473F" w14:textId="77777777" w:rsidTr="0051021C">
        <w:trPr>
          <w:trHeight w:val="20"/>
        </w:trPr>
        <w:tc>
          <w:tcPr>
            <w:tcW w:w="1956" w:type="dxa"/>
            <w:vAlign w:val="center"/>
          </w:tcPr>
          <w:p w14:paraId="57C8A7C1" w14:textId="290663E4" w:rsidR="00044EE2" w:rsidRPr="00E670E6" w:rsidRDefault="00044EE2" w:rsidP="00A85019">
            <w:pPr>
              <w:pStyle w:val="afff8"/>
              <w:rPr>
                <w:rFonts w:eastAsiaTheme="minorEastAsia"/>
                <w:sz w:val="24"/>
              </w:rPr>
            </w:pPr>
            <w:r>
              <w:rPr>
                <w:rFonts w:eastAsiaTheme="minorEastAsia"/>
                <w:sz w:val="24"/>
              </w:rPr>
              <w:t>ОВ</w:t>
            </w:r>
          </w:p>
        </w:tc>
        <w:tc>
          <w:tcPr>
            <w:tcW w:w="7389" w:type="dxa"/>
            <w:vAlign w:val="center"/>
          </w:tcPr>
          <w:p w14:paraId="47D889E7" w14:textId="04C7CD56" w:rsidR="00044EE2" w:rsidRDefault="00044EE2" w:rsidP="00A85019">
            <w:pPr>
              <w:pStyle w:val="afff8"/>
              <w:rPr>
                <w:rFonts w:eastAsiaTheme="minorEastAsia"/>
                <w:sz w:val="24"/>
              </w:rPr>
            </w:pPr>
            <w:r>
              <w:rPr>
                <w:rFonts w:eastAsiaTheme="minorEastAsia"/>
                <w:sz w:val="24"/>
              </w:rPr>
              <w:t>Общая выживаемость</w:t>
            </w:r>
          </w:p>
        </w:tc>
      </w:tr>
      <w:tr w:rsidR="00E670E6" w:rsidRPr="00A032E6" w14:paraId="6721C7F7" w14:textId="77777777" w:rsidTr="0051021C">
        <w:trPr>
          <w:trHeight w:val="20"/>
        </w:trPr>
        <w:tc>
          <w:tcPr>
            <w:tcW w:w="1956" w:type="dxa"/>
            <w:vAlign w:val="center"/>
          </w:tcPr>
          <w:p w14:paraId="3E6B6076" w14:textId="6625BE73" w:rsidR="00E670E6" w:rsidRDefault="00E670E6" w:rsidP="00A85019">
            <w:pPr>
              <w:pStyle w:val="afff8"/>
              <w:rPr>
                <w:rFonts w:eastAsiaTheme="minorEastAsia"/>
                <w:sz w:val="24"/>
              </w:rPr>
            </w:pPr>
            <w:r w:rsidRPr="00E670E6">
              <w:rPr>
                <w:rFonts w:eastAsiaTheme="minorEastAsia"/>
                <w:sz w:val="24"/>
              </w:rPr>
              <w:t>ПКР</w:t>
            </w:r>
          </w:p>
        </w:tc>
        <w:tc>
          <w:tcPr>
            <w:tcW w:w="7389" w:type="dxa"/>
            <w:vAlign w:val="center"/>
          </w:tcPr>
          <w:p w14:paraId="386072D3" w14:textId="3A541152" w:rsidR="00E670E6" w:rsidRDefault="00E670E6" w:rsidP="00A85019">
            <w:pPr>
              <w:pStyle w:val="afff8"/>
              <w:rPr>
                <w:rFonts w:eastAsiaTheme="minorEastAsia"/>
                <w:sz w:val="24"/>
              </w:rPr>
            </w:pPr>
            <w:r>
              <w:rPr>
                <w:rFonts w:eastAsiaTheme="minorEastAsia"/>
                <w:sz w:val="24"/>
              </w:rPr>
              <w:t>П</w:t>
            </w:r>
            <w:r w:rsidRPr="00E670E6">
              <w:rPr>
                <w:rFonts w:eastAsiaTheme="minorEastAsia"/>
                <w:sz w:val="24"/>
              </w:rPr>
              <w:t>очечно-клеточный рак</w:t>
            </w:r>
          </w:p>
        </w:tc>
      </w:tr>
      <w:tr w:rsidR="0078396C" w:rsidRPr="00A032E6" w14:paraId="726CD29A" w14:textId="77777777" w:rsidTr="0051021C">
        <w:trPr>
          <w:trHeight w:val="20"/>
        </w:trPr>
        <w:tc>
          <w:tcPr>
            <w:tcW w:w="1956" w:type="dxa"/>
            <w:vAlign w:val="center"/>
          </w:tcPr>
          <w:p w14:paraId="07DCD8A7" w14:textId="77777777" w:rsidR="0078396C" w:rsidRPr="00A032E6" w:rsidRDefault="0078396C" w:rsidP="00A85019">
            <w:pPr>
              <w:pStyle w:val="afff8"/>
              <w:rPr>
                <w:rFonts w:eastAsiaTheme="minorEastAsia"/>
                <w:sz w:val="24"/>
              </w:rPr>
            </w:pPr>
            <w:r>
              <w:rPr>
                <w:rFonts w:eastAsiaTheme="minorEastAsia"/>
                <w:sz w:val="24"/>
              </w:rPr>
              <w:t>ПЦР</w:t>
            </w:r>
          </w:p>
        </w:tc>
        <w:tc>
          <w:tcPr>
            <w:tcW w:w="7389" w:type="dxa"/>
            <w:vAlign w:val="center"/>
          </w:tcPr>
          <w:p w14:paraId="3E7039F9" w14:textId="77777777" w:rsidR="0078396C" w:rsidRPr="00A032E6" w:rsidRDefault="0078396C" w:rsidP="00A85019">
            <w:pPr>
              <w:pStyle w:val="afff8"/>
              <w:rPr>
                <w:rFonts w:eastAsiaTheme="minorEastAsia"/>
                <w:sz w:val="24"/>
              </w:rPr>
            </w:pPr>
            <w:r>
              <w:rPr>
                <w:rFonts w:eastAsiaTheme="minorEastAsia"/>
                <w:sz w:val="24"/>
              </w:rPr>
              <w:t>Полимеразная цепная реакция</w:t>
            </w:r>
          </w:p>
        </w:tc>
      </w:tr>
      <w:tr w:rsidR="006D06DD" w:rsidRPr="00A032E6" w14:paraId="5D5C3C0C" w14:textId="77777777" w:rsidTr="0051021C">
        <w:trPr>
          <w:trHeight w:val="20"/>
        </w:trPr>
        <w:tc>
          <w:tcPr>
            <w:tcW w:w="1956" w:type="dxa"/>
            <w:vAlign w:val="center"/>
          </w:tcPr>
          <w:p w14:paraId="07F8A7A1" w14:textId="401A5D20" w:rsidR="006D06DD" w:rsidRPr="005F7263" w:rsidRDefault="006D06DD" w:rsidP="00A85019">
            <w:pPr>
              <w:pStyle w:val="afff8"/>
              <w:rPr>
                <w:rFonts w:eastAsiaTheme="minorEastAsia"/>
                <w:sz w:val="24"/>
              </w:rPr>
            </w:pPr>
            <w:r w:rsidRPr="006D06DD">
              <w:rPr>
                <w:rFonts w:eastAsiaTheme="minorEastAsia"/>
                <w:sz w:val="24"/>
              </w:rPr>
              <w:t>РЙТ</w:t>
            </w:r>
          </w:p>
        </w:tc>
        <w:tc>
          <w:tcPr>
            <w:tcW w:w="7389" w:type="dxa"/>
            <w:vAlign w:val="center"/>
          </w:tcPr>
          <w:p w14:paraId="69437E96" w14:textId="749FD55A" w:rsidR="006D06DD" w:rsidRPr="005F7263" w:rsidRDefault="006D06DD" w:rsidP="006D06DD">
            <w:pPr>
              <w:rPr>
                <w:rFonts w:eastAsiaTheme="minorEastAsia"/>
              </w:rPr>
            </w:pPr>
            <w:r>
              <w:t xml:space="preserve">Радиойодтерапия </w:t>
            </w:r>
          </w:p>
        </w:tc>
      </w:tr>
      <w:tr w:rsidR="0078396C" w:rsidRPr="00A032E6" w14:paraId="10045A40" w14:textId="77777777" w:rsidTr="0051021C">
        <w:trPr>
          <w:trHeight w:val="20"/>
        </w:trPr>
        <w:tc>
          <w:tcPr>
            <w:tcW w:w="1956" w:type="dxa"/>
            <w:vAlign w:val="center"/>
          </w:tcPr>
          <w:p w14:paraId="53D85A2D" w14:textId="77777777" w:rsidR="0078396C" w:rsidRPr="005F7263" w:rsidRDefault="0078396C" w:rsidP="00A85019">
            <w:pPr>
              <w:pStyle w:val="afff8"/>
              <w:rPr>
                <w:rFonts w:eastAsiaTheme="minorEastAsia"/>
                <w:sz w:val="24"/>
              </w:rPr>
            </w:pPr>
            <w:r w:rsidRPr="005F7263">
              <w:rPr>
                <w:rFonts w:eastAsiaTheme="minorEastAsia"/>
                <w:sz w:val="24"/>
              </w:rPr>
              <w:t>РНК</w:t>
            </w:r>
          </w:p>
        </w:tc>
        <w:tc>
          <w:tcPr>
            <w:tcW w:w="7389" w:type="dxa"/>
            <w:vAlign w:val="center"/>
          </w:tcPr>
          <w:p w14:paraId="2E08507B" w14:textId="77777777" w:rsidR="0078396C" w:rsidRPr="005F7263" w:rsidRDefault="0078396C" w:rsidP="00A85019">
            <w:pPr>
              <w:pStyle w:val="afff8"/>
              <w:rPr>
                <w:rFonts w:eastAsiaTheme="minorEastAsia"/>
                <w:sz w:val="24"/>
              </w:rPr>
            </w:pPr>
            <w:r w:rsidRPr="005F7263">
              <w:rPr>
                <w:rFonts w:eastAsiaTheme="minorEastAsia"/>
                <w:sz w:val="24"/>
              </w:rPr>
              <w:t>Рибонуклеиновая кислота</w:t>
            </w:r>
          </w:p>
        </w:tc>
      </w:tr>
      <w:tr w:rsidR="00E670E6" w:rsidRPr="00A032E6" w14:paraId="4C9216DB" w14:textId="77777777" w:rsidTr="0051021C">
        <w:trPr>
          <w:trHeight w:val="20"/>
        </w:trPr>
        <w:tc>
          <w:tcPr>
            <w:tcW w:w="1956" w:type="dxa"/>
            <w:vAlign w:val="center"/>
          </w:tcPr>
          <w:p w14:paraId="341C33A4" w14:textId="72ED782F" w:rsidR="00E670E6" w:rsidRPr="00E670E6" w:rsidRDefault="00E670E6" w:rsidP="00A85019">
            <w:pPr>
              <w:pStyle w:val="afff8"/>
              <w:rPr>
                <w:rFonts w:eastAsiaTheme="minorEastAsia"/>
                <w:sz w:val="24"/>
              </w:rPr>
            </w:pPr>
            <w:r w:rsidRPr="00E670E6">
              <w:rPr>
                <w:rFonts w:eastAsiaTheme="minorEastAsia"/>
                <w:sz w:val="24"/>
              </w:rPr>
              <w:t>РТМ</w:t>
            </w:r>
          </w:p>
        </w:tc>
        <w:tc>
          <w:tcPr>
            <w:tcW w:w="7389" w:type="dxa"/>
            <w:vAlign w:val="center"/>
          </w:tcPr>
          <w:p w14:paraId="38F5E655" w14:textId="01D5E37E" w:rsidR="00E670E6" w:rsidRPr="00E670E6" w:rsidRDefault="00E670E6" w:rsidP="00A85019">
            <w:pPr>
              <w:pStyle w:val="afff8"/>
              <w:rPr>
                <w:rFonts w:eastAsiaTheme="minorEastAsia"/>
                <w:sz w:val="24"/>
              </w:rPr>
            </w:pPr>
            <w:r w:rsidRPr="00E670E6">
              <w:rPr>
                <w:rFonts w:eastAsiaTheme="minorEastAsia"/>
                <w:sz w:val="24"/>
              </w:rPr>
              <w:t xml:space="preserve">Рак тела матки </w:t>
            </w:r>
          </w:p>
        </w:tc>
      </w:tr>
      <w:tr w:rsidR="00E670E6" w:rsidRPr="00A032E6" w14:paraId="64EB380F" w14:textId="77777777" w:rsidTr="0051021C">
        <w:trPr>
          <w:trHeight w:val="20"/>
        </w:trPr>
        <w:tc>
          <w:tcPr>
            <w:tcW w:w="1956" w:type="dxa"/>
            <w:vAlign w:val="center"/>
          </w:tcPr>
          <w:p w14:paraId="5FBC3606" w14:textId="426FA68E" w:rsidR="00E670E6" w:rsidRDefault="00E670E6" w:rsidP="00A85019">
            <w:pPr>
              <w:pStyle w:val="afff8"/>
              <w:rPr>
                <w:rFonts w:eastAsiaTheme="minorEastAsia"/>
                <w:sz w:val="24"/>
              </w:rPr>
            </w:pPr>
            <w:r w:rsidRPr="00E670E6">
              <w:rPr>
                <w:rFonts w:eastAsiaTheme="minorEastAsia"/>
                <w:sz w:val="24"/>
              </w:rPr>
              <w:t>РЩЖ</w:t>
            </w:r>
          </w:p>
        </w:tc>
        <w:tc>
          <w:tcPr>
            <w:tcW w:w="7389" w:type="dxa"/>
            <w:vAlign w:val="center"/>
          </w:tcPr>
          <w:p w14:paraId="5271703A" w14:textId="66EB2F54" w:rsidR="00E670E6" w:rsidRDefault="00E670E6" w:rsidP="00A85019">
            <w:pPr>
              <w:pStyle w:val="afff8"/>
              <w:rPr>
                <w:rFonts w:eastAsiaTheme="minorEastAsia"/>
                <w:sz w:val="24"/>
              </w:rPr>
            </w:pPr>
            <w:r w:rsidRPr="00E670E6">
              <w:rPr>
                <w:rFonts w:eastAsiaTheme="minorEastAsia"/>
                <w:sz w:val="24"/>
              </w:rPr>
              <w:t>Рак щитовидной железы</w:t>
            </w:r>
          </w:p>
        </w:tc>
      </w:tr>
      <w:tr w:rsidR="00E670E6" w:rsidRPr="00A032E6" w14:paraId="306AF447" w14:textId="77777777" w:rsidTr="0051021C">
        <w:trPr>
          <w:trHeight w:val="20"/>
        </w:trPr>
        <w:tc>
          <w:tcPr>
            <w:tcW w:w="1956" w:type="dxa"/>
            <w:vAlign w:val="center"/>
          </w:tcPr>
          <w:p w14:paraId="2DB56FBB" w14:textId="72903598" w:rsidR="00E670E6" w:rsidRPr="00A032E6" w:rsidRDefault="00E670E6" w:rsidP="00A85019">
            <w:pPr>
              <w:pStyle w:val="afff8"/>
              <w:rPr>
                <w:rFonts w:eastAsiaTheme="minorEastAsia"/>
                <w:sz w:val="24"/>
              </w:rPr>
            </w:pPr>
            <w:r>
              <w:rPr>
                <w:rFonts w:eastAsiaTheme="minorEastAsia"/>
                <w:sz w:val="24"/>
              </w:rPr>
              <w:t>РЭ</w:t>
            </w:r>
          </w:p>
        </w:tc>
        <w:tc>
          <w:tcPr>
            <w:tcW w:w="7389" w:type="dxa"/>
            <w:vAlign w:val="center"/>
          </w:tcPr>
          <w:p w14:paraId="248C2B6F" w14:textId="22F814E5" w:rsidR="00E670E6" w:rsidRPr="00A032E6" w:rsidRDefault="00E670E6" w:rsidP="00A85019">
            <w:pPr>
              <w:pStyle w:val="afff8"/>
              <w:rPr>
                <w:rFonts w:eastAsiaTheme="minorEastAsia"/>
                <w:sz w:val="24"/>
              </w:rPr>
            </w:pPr>
            <w:r>
              <w:rPr>
                <w:rFonts w:eastAsiaTheme="minorEastAsia"/>
                <w:sz w:val="24"/>
              </w:rPr>
              <w:t>Рак эндометрия</w:t>
            </w:r>
          </w:p>
        </w:tc>
      </w:tr>
      <w:tr w:rsidR="0078396C" w:rsidRPr="00A032E6" w14:paraId="591ACD51" w14:textId="77777777" w:rsidTr="0051021C">
        <w:trPr>
          <w:trHeight w:val="20"/>
        </w:trPr>
        <w:tc>
          <w:tcPr>
            <w:tcW w:w="1956" w:type="dxa"/>
            <w:vAlign w:val="center"/>
          </w:tcPr>
          <w:p w14:paraId="7908337F" w14:textId="77777777" w:rsidR="0078396C" w:rsidRPr="00A032E6" w:rsidRDefault="0078396C" w:rsidP="00A85019">
            <w:pPr>
              <w:pStyle w:val="afff8"/>
              <w:rPr>
                <w:rFonts w:eastAsiaTheme="minorEastAsia"/>
                <w:sz w:val="24"/>
              </w:rPr>
            </w:pPr>
            <w:r w:rsidRPr="00A032E6">
              <w:rPr>
                <w:rFonts w:eastAsiaTheme="minorEastAsia"/>
                <w:sz w:val="24"/>
              </w:rPr>
              <w:t>СНЯ</w:t>
            </w:r>
          </w:p>
        </w:tc>
        <w:tc>
          <w:tcPr>
            <w:tcW w:w="7389" w:type="dxa"/>
            <w:vAlign w:val="center"/>
          </w:tcPr>
          <w:p w14:paraId="4AAC8FF0" w14:textId="77777777" w:rsidR="0078396C" w:rsidRPr="00A032E6" w:rsidRDefault="0078396C" w:rsidP="00A85019">
            <w:pPr>
              <w:pStyle w:val="afff8"/>
              <w:rPr>
                <w:rFonts w:eastAsiaTheme="minorEastAsia"/>
                <w:sz w:val="24"/>
              </w:rPr>
            </w:pPr>
            <w:r w:rsidRPr="00A032E6">
              <w:rPr>
                <w:rFonts w:eastAsiaTheme="minorEastAsia"/>
                <w:sz w:val="24"/>
              </w:rPr>
              <w:t>Серьёзные нежелательные явления</w:t>
            </w:r>
          </w:p>
        </w:tc>
      </w:tr>
      <w:tr w:rsidR="00543F0E" w:rsidRPr="00A032E6" w14:paraId="33E3A5AA" w14:textId="77777777" w:rsidTr="0051021C">
        <w:trPr>
          <w:trHeight w:val="20"/>
        </w:trPr>
        <w:tc>
          <w:tcPr>
            <w:tcW w:w="1956" w:type="dxa"/>
            <w:vAlign w:val="center"/>
          </w:tcPr>
          <w:p w14:paraId="5D64D5E6" w14:textId="7984D89F" w:rsidR="00543F0E" w:rsidRPr="009324E3" w:rsidRDefault="00543F0E" w:rsidP="00543F0E">
            <w:pPr>
              <w:pStyle w:val="afff8"/>
              <w:rPr>
                <w:rFonts w:eastAsiaTheme="minorEastAsia"/>
                <w:sz w:val="24"/>
              </w:rPr>
            </w:pPr>
            <w:r w:rsidRPr="009324E3">
              <w:rPr>
                <w:color w:val="000000"/>
                <w:sz w:val="24"/>
              </w:rPr>
              <w:t>США</w:t>
            </w:r>
          </w:p>
        </w:tc>
        <w:tc>
          <w:tcPr>
            <w:tcW w:w="7389" w:type="dxa"/>
            <w:vAlign w:val="center"/>
          </w:tcPr>
          <w:p w14:paraId="006EC0B6" w14:textId="78774CDC" w:rsidR="00543F0E" w:rsidRPr="00A032E6" w:rsidRDefault="00543F0E" w:rsidP="00543F0E">
            <w:pPr>
              <w:pStyle w:val="afff8"/>
              <w:rPr>
                <w:rFonts w:eastAsiaTheme="minorEastAsia"/>
                <w:sz w:val="24"/>
              </w:rPr>
            </w:pPr>
            <w:r w:rsidRPr="00733320">
              <w:rPr>
                <w:color w:val="000000"/>
                <w:sz w:val="24"/>
              </w:rPr>
              <w:t>Соединенные Штаты Америки</w:t>
            </w:r>
          </w:p>
        </w:tc>
      </w:tr>
      <w:tr w:rsidR="00E670E6" w:rsidRPr="00A032E6" w14:paraId="0DF1AEE4" w14:textId="77777777" w:rsidTr="0051021C">
        <w:trPr>
          <w:trHeight w:val="20"/>
        </w:trPr>
        <w:tc>
          <w:tcPr>
            <w:tcW w:w="1956" w:type="dxa"/>
            <w:vAlign w:val="center"/>
          </w:tcPr>
          <w:p w14:paraId="375F564B" w14:textId="68256133" w:rsidR="00E670E6" w:rsidRPr="00E670E6" w:rsidRDefault="00E670E6" w:rsidP="00A85019">
            <w:pPr>
              <w:pStyle w:val="afff8"/>
              <w:rPr>
                <w:rFonts w:eastAsiaTheme="minorEastAsia"/>
                <w:sz w:val="24"/>
              </w:rPr>
            </w:pPr>
            <w:r w:rsidRPr="00E670E6">
              <w:rPr>
                <w:sz w:val="24"/>
              </w:rPr>
              <w:t>ТК</w:t>
            </w:r>
          </w:p>
        </w:tc>
        <w:tc>
          <w:tcPr>
            <w:tcW w:w="7389" w:type="dxa"/>
            <w:vAlign w:val="center"/>
          </w:tcPr>
          <w:p w14:paraId="5F7E5E3A" w14:textId="51C464DE" w:rsidR="00E670E6" w:rsidRPr="00A032E6" w:rsidRDefault="00E670E6" w:rsidP="00E670E6">
            <w:pPr>
              <w:rPr>
                <w:rFonts w:eastAsiaTheme="minorEastAsia"/>
              </w:rPr>
            </w:pPr>
            <w:r w:rsidRPr="00536FEC">
              <w:t xml:space="preserve">Тирозинкиназы </w:t>
            </w:r>
          </w:p>
        </w:tc>
      </w:tr>
      <w:tr w:rsidR="0078396C" w:rsidRPr="00A032E6" w14:paraId="2BB24049" w14:textId="77777777" w:rsidTr="0051021C">
        <w:trPr>
          <w:trHeight w:val="20"/>
        </w:trPr>
        <w:tc>
          <w:tcPr>
            <w:tcW w:w="1956" w:type="dxa"/>
            <w:vAlign w:val="center"/>
          </w:tcPr>
          <w:p w14:paraId="06585B0B" w14:textId="77777777" w:rsidR="0078396C" w:rsidRPr="00A032E6" w:rsidRDefault="0078396C" w:rsidP="00A85019">
            <w:pPr>
              <w:pStyle w:val="afff8"/>
              <w:rPr>
                <w:rFonts w:eastAsiaTheme="minorEastAsia"/>
                <w:sz w:val="24"/>
              </w:rPr>
            </w:pPr>
            <w:r w:rsidRPr="00A032E6">
              <w:rPr>
                <w:rFonts w:eastAsiaTheme="minorEastAsia"/>
                <w:sz w:val="24"/>
              </w:rPr>
              <w:t>ЦНС</w:t>
            </w:r>
          </w:p>
        </w:tc>
        <w:tc>
          <w:tcPr>
            <w:tcW w:w="7389" w:type="dxa"/>
            <w:vAlign w:val="center"/>
          </w:tcPr>
          <w:p w14:paraId="06A965C7" w14:textId="77777777" w:rsidR="0078396C" w:rsidRPr="00A032E6" w:rsidRDefault="0078396C" w:rsidP="00A85019">
            <w:pPr>
              <w:pStyle w:val="afff8"/>
              <w:rPr>
                <w:rFonts w:eastAsiaTheme="minorEastAsia"/>
                <w:sz w:val="24"/>
              </w:rPr>
            </w:pPr>
            <w:r w:rsidRPr="00A032E6">
              <w:rPr>
                <w:rFonts w:eastAsiaTheme="minorEastAsia"/>
                <w:sz w:val="24"/>
              </w:rPr>
              <w:t>Центральная нервная система</w:t>
            </w:r>
          </w:p>
        </w:tc>
      </w:tr>
      <w:tr w:rsidR="00044EE2" w:rsidRPr="00A032E6" w14:paraId="5272163D" w14:textId="77777777" w:rsidTr="0051021C">
        <w:trPr>
          <w:trHeight w:val="20"/>
        </w:trPr>
        <w:tc>
          <w:tcPr>
            <w:tcW w:w="1956" w:type="dxa"/>
            <w:vAlign w:val="center"/>
          </w:tcPr>
          <w:p w14:paraId="6133B3F2" w14:textId="6803FB97" w:rsidR="00044EE2" w:rsidRPr="00E670E6" w:rsidRDefault="00044EE2" w:rsidP="00A85019">
            <w:pPr>
              <w:pStyle w:val="afff8"/>
              <w:rPr>
                <w:rFonts w:eastAsiaTheme="minorEastAsia"/>
                <w:sz w:val="24"/>
              </w:rPr>
            </w:pPr>
            <w:r w:rsidRPr="00044EE2">
              <w:rPr>
                <w:rFonts w:eastAsiaTheme="minorEastAsia"/>
                <w:sz w:val="24"/>
              </w:rPr>
              <w:t>ЧОО</w:t>
            </w:r>
          </w:p>
        </w:tc>
        <w:tc>
          <w:tcPr>
            <w:tcW w:w="7389" w:type="dxa"/>
            <w:vAlign w:val="center"/>
          </w:tcPr>
          <w:p w14:paraId="178B34B7" w14:textId="4879BCAE" w:rsidR="00044EE2" w:rsidRDefault="00044EE2" w:rsidP="00A85019">
            <w:pPr>
              <w:pStyle w:val="afff8"/>
              <w:rPr>
                <w:rFonts w:eastAsiaTheme="minorEastAsia"/>
                <w:sz w:val="24"/>
              </w:rPr>
            </w:pPr>
            <w:r>
              <w:rPr>
                <w:rFonts w:eastAsiaTheme="minorEastAsia"/>
                <w:sz w:val="24"/>
              </w:rPr>
              <w:t>Ч</w:t>
            </w:r>
            <w:r w:rsidRPr="00044EE2">
              <w:rPr>
                <w:rFonts w:eastAsiaTheme="minorEastAsia"/>
                <w:sz w:val="24"/>
              </w:rPr>
              <w:t>астот</w:t>
            </w:r>
            <w:r>
              <w:rPr>
                <w:rFonts w:eastAsiaTheme="minorEastAsia"/>
                <w:sz w:val="24"/>
              </w:rPr>
              <w:t>а</w:t>
            </w:r>
            <w:r w:rsidRPr="00044EE2">
              <w:rPr>
                <w:rFonts w:eastAsiaTheme="minorEastAsia"/>
                <w:sz w:val="24"/>
              </w:rPr>
              <w:t xml:space="preserve"> ответа на терапию </w:t>
            </w:r>
          </w:p>
        </w:tc>
      </w:tr>
      <w:tr w:rsidR="0078396C" w:rsidRPr="00A032E6" w14:paraId="6EACFF32" w14:textId="77777777" w:rsidTr="0051021C">
        <w:trPr>
          <w:trHeight w:val="20"/>
        </w:trPr>
        <w:tc>
          <w:tcPr>
            <w:tcW w:w="1956" w:type="dxa"/>
            <w:vAlign w:val="center"/>
          </w:tcPr>
          <w:p w14:paraId="705904D0" w14:textId="2BCB0BE3" w:rsidR="0078396C" w:rsidRPr="004D7C17" w:rsidRDefault="00E670E6" w:rsidP="00A85019">
            <w:pPr>
              <w:pStyle w:val="afff8"/>
              <w:rPr>
                <w:rFonts w:eastAsiaTheme="minorEastAsia"/>
                <w:sz w:val="24"/>
              </w:rPr>
            </w:pPr>
            <w:r w:rsidRPr="00E670E6">
              <w:rPr>
                <w:rFonts w:eastAsiaTheme="minorEastAsia"/>
                <w:sz w:val="24"/>
              </w:rPr>
              <w:t>ЩЖ</w:t>
            </w:r>
          </w:p>
        </w:tc>
        <w:tc>
          <w:tcPr>
            <w:tcW w:w="7389" w:type="dxa"/>
            <w:vAlign w:val="center"/>
          </w:tcPr>
          <w:p w14:paraId="221A86AA" w14:textId="39C3EAEA" w:rsidR="0078396C" w:rsidRPr="00A032E6" w:rsidRDefault="00E670E6" w:rsidP="00A85019">
            <w:pPr>
              <w:pStyle w:val="afff8"/>
              <w:rPr>
                <w:rFonts w:eastAsiaTheme="minorEastAsia"/>
                <w:sz w:val="24"/>
              </w:rPr>
            </w:pPr>
            <w:r>
              <w:rPr>
                <w:rFonts w:eastAsiaTheme="minorEastAsia"/>
                <w:sz w:val="24"/>
              </w:rPr>
              <w:t>Щ</w:t>
            </w:r>
            <w:r w:rsidRPr="00E670E6">
              <w:rPr>
                <w:rFonts w:eastAsiaTheme="minorEastAsia"/>
                <w:sz w:val="24"/>
              </w:rPr>
              <w:t>итовидн</w:t>
            </w:r>
            <w:r>
              <w:rPr>
                <w:rFonts w:eastAsiaTheme="minorEastAsia"/>
                <w:sz w:val="24"/>
              </w:rPr>
              <w:t>ая</w:t>
            </w:r>
            <w:r w:rsidRPr="00E670E6">
              <w:rPr>
                <w:rFonts w:eastAsiaTheme="minorEastAsia"/>
                <w:sz w:val="24"/>
              </w:rPr>
              <w:t xml:space="preserve"> желез</w:t>
            </w:r>
            <w:r>
              <w:rPr>
                <w:rFonts w:eastAsiaTheme="minorEastAsia"/>
                <w:sz w:val="24"/>
              </w:rPr>
              <w:t>а</w:t>
            </w:r>
          </w:p>
        </w:tc>
      </w:tr>
      <w:tr w:rsidR="0078396C" w:rsidRPr="00A032E6" w14:paraId="3C6484EB" w14:textId="77777777" w:rsidTr="0051021C">
        <w:trPr>
          <w:trHeight w:val="144"/>
        </w:trPr>
        <w:tc>
          <w:tcPr>
            <w:tcW w:w="1956" w:type="dxa"/>
            <w:vAlign w:val="center"/>
          </w:tcPr>
          <w:p w14:paraId="7DC72064" w14:textId="77777777" w:rsidR="0078396C" w:rsidRPr="00516DC5" w:rsidRDefault="0078396C" w:rsidP="00A85019">
            <w:pPr>
              <w:pStyle w:val="afff8"/>
              <w:rPr>
                <w:rFonts w:eastAsiaTheme="minorEastAsia"/>
                <w:sz w:val="24"/>
              </w:rPr>
            </w:pPr>
            <w:r w:rsidRPr="00516DC5">
              <w:rPr>
                <w:color w:val="000000" w:themeColor="text1"/>
                <w:sz w:val="24"/>
              </w:rPr>
              <w:t>ЭКГ</w:t>
            </w:r>
          </w:p>
        </w:tc>
        <w:tc>
          <w:tcPr>
            <w:tcW w:w="7389" w:type="dxa"/>
            <w:vAlign w:val="center"/>
          </w:tcPr>
          <w:p w14:paraId="5B3286A6" w14:textId="77777777" w:rsidR="0078396C" w:rsidRPr="00516DC5" w:rsidRDefault="0078396C" w:rsidP="00A85019">
            <w:pPr>
              <w:pStyle w:val="afff8"/>
              <w:rPr>
                <w:rFonts w:eastAsiaTheme="minorEastAsia"/>
                <w:sz w:val="24"/>
              </w:rPr>
            </w:pPr>
            <w:r w:rsidRPr="00516DC5">
              <w:rPr>
                <w:color w:val="000000" w:themeColor="text1"/>
                <w:sz w:val="24"/>
              </w:rPr>
              <w:t>Электрокардиограмма</w:t>
            </w:r>
          </w:p>
        </w:tc>
      </w:tr>
    </w:tbl>
    <w:p w14:paraId="3B937FA3" w14:textId="77777777" w:rsidR="00981B3F" w:rsidRPr="00E4467D" w:rsidRDefault="00981B3F" w:rsidP="00981B3F">
      <w:pPr>
        <w:pStyle w:val="ad"/>
      </w:pPr>
    </w:p>
    <w:p w14:paraId="6C4BE062" w14:textId="77777777" w:rsidR="000139E5" w:rsidRPr="000139E5" w:rsidRDefault="000139E5" w:rsidP="000139E5"/>
    <w:p w14:paraId="202E41F9" w14:textId="098DC15F" w:rsidR="00295007" w:rsidRPr="005E6358" w:rsidRDefault="00295007" w:rsidP="00295007">
      <w:pPr>
        <w:pStyle w:val="12"/>
        <w:pageBreakBefore/>
        <w:spacing w:line="240" w:lineRule="auto"/>
        <w:rPr>
          <w:rFonts w:cs="Times New Roman"/>
          <w:color w:val="000000" w:themeColor="text1"/>
          <w:szCs w:val="24"/>
        </w:rPr>
      </w:pPr>
      <w:bookmarkStart w:id="9" w:name="_Toc126059679"/>
      <w:r w:rsidRPr="005E6358">
        <w:rPr>
          <w:rFonts w:cs="Times New Roman"/>
          <w:color w:val="000000" w:themeColor="text1"/>
          <w:szCs w:val="24"/>
        </w:rPr>
        <w:lastRenderedPageBreak/>
        <w:t>ИСТОРИЯ ДОКУМЕНТА</w:t>
      </w:r>
      <w:bookmarkEnd w:id="5"/>
      <w:bookmarkEnd w:id="9"/>
    </w:p>
    <w:tbl>
      <w:tblPr>
        <w:tblStyle w:val="a8"/>
        <w:tblW w:w="0" w:type="auto"/>
        <w:tblInd w:w="-5" w:type="dxa"/>
        <w:tblLook w:val="04A0" w:firstRow="1" w:lastRow="0" w:firstColumn="1" w:lastColumn="0" w:noHBand="0" w:noVBand="1"/>
      </w:tblPr>
      <w:tblGrid>
        <w:gridCol w:w="2835"/>
        <w:gridCol w:w="6515"/>
      </w:tblGrid>
      <w:tr w:rsidR="00606FC4" w:rsidRPr="0038618C" w14:paraId="6EA0EDD0" w14:textId="77777777" w:rsidTr="00A4074B">
        <w:trPr>
          <w:trHeight w:val="659"/>
        </w:trPr>
        <w:tc>
          <w:tcPr>
            <w:tcW w:w="2835" w:type="dxa"/>
            <w:shd w:val="clear" w:color="auto" w:fill="D9D9D9" w:themeFill="background1" w:themeFillShade="D9"/>
            <w:vAlign w:val="center"/>
          </w:tcPr>
          <w:p w14:paraId="1B71ABCB" w14:textId="21595863" w:rsidR="00606FC4" w:rsidRPr="00D050C7" w:rsidRDefault="00606FC4" w:rsidP="00A4074B">
            <w:pPr>
              <w:jc w:val="center"/>
              <w:rPr>
                <w:b/>
              </w:rPr>
            </w:pPr>
            <w:r w:rsidRPr="00D050C7">
              <w:rPr>
                <w:b/>
              </w:rPr>
              <w:t xml:space="preserve">Версия </w:t>
            </w:r>
          </w:p>
        </w:tc>
        <w:tc>
          <w:tcPr>
            <w:tcW w:w="6515" w:type="dxa"/>
            <w:shd w:val="clear" w:color="auto" w:fill="D9D9D9" w:themeFill="background1" w:themeFillShade="D9"/>
            <w:vAlign w:val="center"/>
          </w:tcPr>
          <w:p w14:paraId="72D84A22" w14:textId="77777777" w:rsidR="00606FC4" w:rsidRPr="00D050C7" w:rsidRDefault="00606FC4" w:rsidP="00A4074B">
            <w:pPr>
              <w:jc w:val="center"/>
              <w:rPr>
                <w:b/>
              </w:rPr>
            </w:pPr>
            <w:r w:rsidRPr="00D050C7">
              <w:rPr>
                <w:b/>
              </w:rPr>
              <w:t>Описание изменений</w:t>
            </w:r>
          </w:p>
        </w:tc>
      </w:tr>
      <w:tr w:rsidR="00606FC4" w:rsidRPr="000E22E4" w14:paraId="2BB717AB" w14:textId="77777777" w:rsidTr="00A4074B">
        <w:trPr>
          <w:trHeight w:val="304"/>
        </w:trPr>
        <w:tc>
          <w:tcPr>
            <w:tcW w:w="2835" w:type="dxa"/>
            <w:shd w:val="clear" w:color="auto" w:fill="auto"/>
            <w:vAlign w:val="center"/>
          </w:tcPr>
          <w:p w14:paraId="2ED04152" w14:textId="6723B867" w:rsidR="00606FC4" w:rsidRPr="00D050C7" w:rsidRDefault="00606FC4" w:rsidP="000971D1">
            <w:pPr>
              <w:jc w:val="center"/>
            </w:pPr>
            <w:r w:rsidRPr="00D050C7">
              <w:t xml:space="preserve">1.0 от </w:t>
            </w:r>
            <w:r w:rsidR="000971D1">
              <w:rPr>
                <w:lang w:val="en-US"/>
              </w:rPr>
              <w:t>30</w:t>
            </w:r>
            <w:r w:rsidRPr="00D050C7">
              <w:t xml:space="preserve"> </w:t>
            </w:r>
            <w:r w:rsidR="00DC43E0">
              <w:t>января</w:t>
            </w:r>
            <w:r w:rsidRPr="00D050C7">
              <w:t xml:space="preserve"> 202</w:t>
            </w:r>
            <w:r w:rsidR="00DC43E0">
              <w:t>3</w:t>
            </w:r>
            <w:r w:rsidRPr="00D050C7">
              <w:t xml:space="preserve"> г.</w:t>
            </w:r>
          </w:p>
        </w:tc>
        <w:tc>
          <w:tcPr>
            <w:tcW w:w="6515" w:type="dxa"/>
            <w:shd w:val="clear" w:color="auto" w:fill="auto"/>
            <w:vAlign w:val="center"/>
          </w:tcPr>
          <w:p w14:paraId="0666AAE7" w14:textId="77777777" w:rsidR="00606FC4" w:rsidRPr="00D050C7" w:rsidRDefault="00606FC4" w:rsidP="00A4074B">
            <w:r w:rsidRPr="00D050C7">
              <w:t>Исходная версия.</w:t>
            </w:r>
          </w:p>
        </w:tc>
      </w:tr>
    </w:tbl>
    <w:p w14:paraId="54F021E8" w14:textId="77777777" w:rsidR="00295007" w:rsidRDefault="00295007" w:rsidP="00295007">
      <w:pPr>
        <w:ind w:firstLine="709"/>
        <w:rPr>
          <w:color w:val="000000" w:themeColor="text1"/>
          <w:highlight w:val="yellow"/>
          <w:lang w:eastAsia="ru-RU"/>
        </w:rPr>
      </w:pPr>
    </w:p>
    <w:p w14:paraId="1B5197FA" w14:textId="77777777" w:rsidR="00295007" w:rsidRPr="005E6358" w:rsidRDefault="00295007" w:rsidP="00295007">
      <w:pPr>
        <w:rPr>
          <w:color w:val="000000" w:themeColor="text1"/>
        </w:rPr>
      </w:pPr>
    </w:p>
    <w:p w14:paraId="24400B5E" w14:textId="77777777" w:rsidR="00295007" w:rsidRPr="005E6358" w:rsidRDefault="00295007" w:rsidP="00295007">
      <w:pPr>
        <w:rPr>
          <w:color w:val="000000" w:themeColor="text1"/>
        </w:rPr>
      </w:pPr>
    </w:p>
    <w:p w14:paraId="4800DBCE" w14:textId="77777777" w:rsidR="00295007" w:rsidRPr="005E6358" w:rsidRDefault="00295007" w:rsidP="00295007">
      <w:pPr>
        <w:rPr>
          <w:color w:val="000000" w:themeColor="text1"/>
        </w:rPr>
      </w:pPr>
    </w:p>
    <w:p w14:paraId="63FD52B0" w14:textId="77777777" w:rsidR="00295007" w:rsidRPr="005E6358" w:rsidRDefault="00295007" w:rsidP="00295007">
      <w:pPr>
        <w:rPr>
          <w:color w:val="000000" w:themeColor="text1"/>
        </w:rPr>
      </w:pPr>
    </w:p>
    <w:p w14:paraId="085A1683" w14:textId="77777777" w:rsidR="00295007" w:rsidRPr="005E6358" w:rsidRDefault="00295007" w:rsidP="00295007">
      <w:pPr>
        <w:tabs>
          <w:tab w:val="center" w:pos="4677"/>
        </w:tabs>
        <w:rPr>
          <w:color w:val="000000" w:themeColor="text1"/>
        </w:rPr>
        <w:sectPr w:rsidR="00295007" w:rsidRPr="005E6358" w:rsidSect="00C0440F">
          <w:pgSz w:w="11906" w:h="16838"/>
          <w:pgMar w:top="1393" w:right="850" w:bottom="1134" w:left="1701" w:header="708" w:footer="708" w:gutter="0"/>
          <w:cols w:space="708"/>
          <w:docGrid w:linePitch="360"/>
        </w:sectPr>
      </w:pPr>
      <w:r w:rsidRPr="005E6358">
        <w:rPr>
          <w:color w:val="000000" w:themeColor="text1"/>
        </w:rPr>
        <w:tab/>
      </w:r>
    </w:p>
    <w:p w14:paraId="031E5AA3" w14:textId="77777777" w:rsidR="00295007" w:rsidRPr="007A2314" w:rsidRDefault="00295007" w:rsidP="00295007">
      <w:pPr>
        <w:pStyle w:val="12"/>
        <w:spacing w:line="240" w:lineRule="auto"/>
        <w:rPr>
          <w:rFonts w:cs="Times New Roman"/>
          <w:color w:val="000000" w:themeColor="text1"/>
        </w:rPr>
      </w:pPr>
      <w:bookmarkStart w:id="10" w:name="_Toc126059680"/>
      <w:r w:rsidRPr="007A2314">
        <w:rPr>
          <w:rFonts w:cs="Times New Roman"/>
          <w:color w:val="000000" w:themeColor="text1"/>
        </w:rPr>
        <w:lastRenderedPageBreak/>
        <w:t>РЕЗЮМЕ</w:t>
      </w:r>
      <w:bookmarkEnd w:id="10"/>
    </w:p>
    <w:p w14:paraId="06D3EAB0" w14:textId="5DE7078A" w:rsidR="00A405AB" w:rsidRDefault="00A405AB" w:rsidP="00B80C34">
      <w:pPr>
        <w:ind w:firstLine="709"/>
      </w:pPr>
      <w:r>
        <w:t>В 2020 году во всем мире было зарегистрировано около 19,3 млн. новых случаев рака (18,1 млн без учета немеланомного рака кожи) и почти 10,0 миллионов смертей от рака (9,9 миллиона без учета немеланомного рака кожи). О</w:t>
      </w:r>
      <w:r w:rsidRPr="003248DC">
        <w:t xml:space="preserve">жидается, что </w:t>
      </w:r>
      <w:r w:rsidR="00235A86">
        <w:t xml:space="preserve">число зарегистрированных случаев </w:t>
      </w:r>
      <w:r w:rsidRPr="003248DC">
        <w:t xml:space="preserve">в 2040 году </w:t>
      </w:r>
      <w:r w:rsidR="00235A86">
        <w:t>составит</w:t>
      </w:r>
      <w:r w:rsidR="00235A86" w:rsidRPr="003248DC">
        <w:t xml:space="preserve"> </w:t>
      </w:r>
      <w:r w:rsidRPr="003248DC">
        <w:t>28,4 миллиона, что на 47% больше, чем в 2020 году</w:t>
      </w:r>
      <w:r>
        <w:t xml:space="preserve">. Показатель распространенности злокачественных новообразований </w:t>
      </w:r>
      <w:r w:rsidR="00235A86">
        <w:t>среди</w:t>
      </w:r>
      <w:r>
        <w:t xml:space="preserve"> населения России в 2021 г. составил 2 690,5 на 100 тыс. населения, что выше уровня 2011 г. (2 029,0) на 32,6%. Рост данного показателя обусловлен как ростом заболеваемости и выявляемости, так и увеличением выживаемости онкологических больных.</w:t>
      </w:r>
    </w:p>
    <w:p w14:paraId="5EEE87BC" w14:textId="4D80FDAB" w:rsidR="006A786D" w:rsidRDefault="006928D6" w:rsidP="00B80C34">
      <w:pPr>
        <w:ind w:firstLine="709"/>
        <w:rPr>
          <w:lang w:eastAsia="ru-RU"/>
        </w:rPr>
      </w:pPr>
      <w:r>
        <w:rPr>
          <w:lang w:eastAsia="ru-RU"/>
        </w:rPr>
        <w:t xml:space="preserve">Ленватиниб является ингибитором тирозинкиназы I типа, проявляющим выраженную антиангиогенную активность при лечении рака. </w:t>
      </w:r>
      <w:r w:rsidR="0015348C">
        <w:rPr>
          <w:lang w:eastAsia="ru-RU"/>
        </w:rPr>
        <w:t>Благодаря активности в отношении</w:t>
      </w:r>
      <w:r>
        <w:rPr>
          <w:lang w:eastAsia="ru-RU"/>
        </w:rPr>
        <w:t xml:space="preserve"> множественных солидных </w:t>
      </w:r>
      <w:r w:rsidR="0015348C">
        <w:rPr>
          <w:lang w:eastAsia="ru-RU"/>
        </w:rPr>
        <w:t>опухолей</w:t>
      </w:r>
      <w:r>
        <w:rPr>
          <w:lang w:eastAsia="ru-RU"/>
        </w:rPr>
        <w:t>, препарат был одобрен при дифференцированном раке щитовидной железы</w:t>
      </w:r>
      <w:r w:rsidR="00543694">
        <w:rPr>
          <w:lang w:eastAsia="ru-RU"/>
        </w:rPr>
        <w:t xml:space="preserve"> (РЩЖ)</w:t>
      </w:r>
      <w:r>
        <w:rPr>
          <w:lang w:eastAsia="ru-RU"/>
        </w:rPr>
        <w:t>, гепатоцеллюлярной карциноме</w:t>
      </w:r>
      <w:r w:rsidR="00543694">
        <w:rPr>
          <w:lang w:eastAsia="ru-RU"/>
        </w:rPr>
        <w:t xml:space="preserve"> (ГЦК)</w:t>
      </w:r>
      <w:r>
        <w:rPr>
          <w:lang w:eastAsia="ru-RU"/>
        </w:rPr>
        <w:t>, почечно-клеточной карциноме и при лечении рака эндометрия</w:t>
      </w:r>
      <w:r w:rsidR="00543694">
        <w:rPr>
          <w:lang w:eastAsia="ru-RU"/>
        </w:rPr>
        <w:t xml:space="preserve"> (РЭ)</w:t>
      </w:r>
      <w:r>
        <w:rPr>
          <w:lang w:eastAsia="ru-RU"/>
        </w:rPr>
        <w:t xml:space="preserve"> в качестве монотерапии или в </w:t>
      </w:r>
      <w:r w:rsidR="00FB0A5B">
        <w:rPr>
          <w:lang w:eastAsia="ru-RU"/>
        </w:rPr>
        <w:t xml:space="preserve">составе </w:t>
      </w:r>
      <w:r>
        <w:rPr>
          <w:lang w:eastAsia="ru-RU"/>
        </w:rPr>
        <w:t xml:space="preserve">комбинированной химиотерапии. Кроме того, ленватиниб продемонстрировал многообещающие результаты при некоторых других типах опухолей, включая медуллярный рак, анапластический </w:t>
      </w:r>
      <w:r w:rsidR="00543694">
        <w:rPr>
          <w:lang w:eastAsia="ru-RU"/>
        </w:rPr>
        <w:t>РЩЖ</w:t>
      </w:r>
      <w:r>
        <w:rPr>
          <w:lang w:eastAsia="ru-RU"/>
        </w:rPr>
        <w:t>, аденоидно-кистозный рак</w:t>
      </w:r>
      <w:r w:rsidR="00AB24FF">
        <w:rPr>
          <w:lang w:eastAsia="ru-RU"/>
        </w:rPr>
        <w:t xml:space="preserve">. </w:t>
      </w:r>
    </w:p>
    <w:p w14:paraId="07C1B5FA" w14:textId="19FE2D56" w:rsidR="006928D6" w:rsidRDefault="006928D6" w:rsidP="00B80C34">
      <w:pPr>
        <w:ind w:firstLine="709"/>
        <w:rPr>
          <w:lang w:eastAsia="ru-RU"/>
        </w:rPr>
      </w:pPr>
      <w:r>
        <w:rPr>
          <w:lang w:eastAsia="ru-RU"/>
        </w:rPr>
        <w:t>Ленватиниб – пероральный мультикиназный ингибитор, действующий на рецепторы к фактору роста эндотелия сосудов 1</w:t>
      </w:r>
      <w:r w:rsidR="00235A86" w:rsidDel="00235A86">
        <w:rPr>
          <w:lang w:eastAsia="ru-RU"/>
        </w:rPr>
        <w:t xml:space="preserve"> </w:t>
      </w:r>
      <w:r w:rsidR="000A56AC">
        <w:rPr>
          <w:lang w:eastAsia="ru-RU"/>
        </w:rPr>
        <w:t>(</w:t>
      </w:r>
      <w:r w:rsidR="000A56AC" w:rsidRPr="00981B3F">
        <w:rPr>
          <w:lang w:val="en-US"/>
        </w:rPr>
        <w:t>vascular</w:t>
      </w:r>
      <w:r w:rsidR="000A56AC" w:rsidRPr="00D050C7">
        <w:t xml:space="preserve"> </w:t>
      </w:r>
      <w:r w:rsidR="000A56AC" w:rsidRPr="00981B3F">
        <w:rPr>
          <w:lang w:val="en-US"/>
        </w:rPr>
        <w:t>endothelial</w:t>
      </w:r>
      <w:r w:rsidR="000A56AC" w:rsidRPr="00D050C7">
        <w:t xml:space="preserve"> </w:t>
      </w:r>
      <w:r w:rsidR="000A56AC" w:rsidRPr="00981B3F">
        <w:rPr>
          <w:lang w:val="en-US"/>
        </w:rPr>
        <w:t>growth</w:t>
      </w:r>
      <w:r w:rsidR="000A56AC" w:rsidRPr="00D050C7">
        <w:t xml:space="preserve"> </w:t>
      </w:r>
      <w:r w:rsidR="000A56AC" w:rsidRPr="00981B3F">
        <w:rPr>
          <w:lang w:val="en-US"/>
        </w:rPr>
        <w:t>factor</w:t>
      </w:r>
      <w:r w:rsidR="000A56AC">
        <w:t>,</w:t>
      </w:r>
      <w:r w:rsidR="000A56AC">
        <w:rPr>
          <w:lang w:eastAsia="ru-RU"/>
        </w:rPr>
        <w:t xml:space="preserve"> </w:t>
      </w:r>
      <w:r>
        <w:rPr>
          <w:lang w:eastAsia="ru-RU"/>
        </w:rPr>
        <w:t>VEGF</w:t>
      </w:r>
      <w:r w:rsidR="000A56AC">
        <w:rPr>
          <w:lang w:eastAsia="ru-RU"/>
        </w:rPr>
        <w:t>)</w:t>
      </w:r>
      <w:r>
        <w:rPr>
          <w:lang w:eastAsia="ru-RU"/>
        </w:rPr>
        <w:t xml:space="preserve">, рецепторы к фактору роста фибробластов </w:t>
      </w:r>
      <w:r w:rsidR="001D118C" w:rsidRPr="00754D84">
        <w:rPr>
          <w:bCs/>
          <w:lang w:eastAsia="ru-RU"/>
        </w:rPr>
        <w:t>(Fibroblast growth factor receptor</w:t>
      </w:r>
      <w:r w:rsidR="001D118C">
        <w:rPr>
          <w:bCs/>
          <w:lang w:eastAsia="ru-RU"/>
        </w:rPr>
        <w:t xml:space="preserve">, </w:t>
      </w:r>
      <w:r>
        <w:rPr>
          <w:lang w:eastAsia="ru-RU"/>
        </w:rPr>
        <w:t>FGFR</w:t>
      </w:r>
      <w:r w:rsidR="001D118C">
        <w:rPr>
          <w:lang w:eastAsia="ru-RU"/>
        </w:rPr>
        <w:t>)</w:t>
      </w:r>
      <w:r>
        <w:rPr>
          <w:lang w:eastAsia="ru-RU"/>
        </w:rPr>
        <w:t xml:space="preserve">, рецепторы к тромбоцитарному фактору роста α </w:t>
      </w:r>
      <w:r w:rsidR="006B175E">
        <w:rPr>
          <w:lang w:eastAsia="ru-RU"/>
        </w:rPr>
        <w:t>(</w:t>
      </w:r>
      <w:r w:rsidR="006B175E">
        <w:rPr>
          <w:lang w:val="en-US"/>
        </w:rPr>
        <w:t>P</w:t>
      </w:r>
      <w:r w:rsidR="006B175E" w:rsidRPr="006A786D">
        <w:rPr>
          <w:lang w:val="en-US"/>
        </w:rPr>
        <w:t>latelet</w:t>
      </w:r>
      <w:r w:rsidR="006B175E" w:rsidRPr="006A786D">
        <w:t>-</w:t>
      </w:r>
      <w:r w:rsidR="006B175E" w:rsidRPr="006A786D">
        <w:rPr>
          <w:lang w:val="en-US"/>
        </w:rPr>
        <w:t>derived</w:t>
      </w:r>
      <w:r w:rsidR="006B175E" w:rsidRPr="006A786D">
        <w:t xml:space="preserve"> </w:t>
      </w:r>
      <w:r w:rsidR="006B175E" w:rsidRPr="006A786D">
        <w:rPr>
          <w:lang w:val="en-US"/>
        </w:rPr>
        <w:t>growth</w:t>
      </w:r>
      <w:r w:rsidR="006B175E" w:rsidRPr="006A786D">
        <w:t xml:space="preserve"> </w:t>
      </w:r>
      <w:r w:rsidR="006B175E" w:rsidRPr="006A786D">
        <w:rPr>
          <w:lang w:val="en-US"/>
        </w:rPr>
        <w:t>factor</w:t>
      </w:r>
      <w:r w:rsidR="006B175E" w:rsidRPr="006A786D">
        <w:t xml:space="preserve"> </w:t>
      </w:r>
      <w:r w:rsidR="006B175E" w:rsidRPr="006A786D">
        <w:rPr>
          <w:lang w:val="en-US"/>
        </w:rPr>
        <w:t>receptor</w:t>
      </w:r>
      <w:r w:rsidR="006B175E" w:rsidRPr="006A786D">
        <w:t>-α</w:t>
      </w:r>
      <w:r w:rsidR="006B175E">
        <w:t>,</w:t>
      </w:r>
      <w:r w:rsidR="006B175E">
        <w:rPr>
          <w:lang w:eastAsia="ru-RU"/>
        </w:rPr>
        <w:t xml:space="preserve"> </w:t>
      </w:r>
      <w:r>
        <w:rPr>
          <w:lang w:eastAsia="ru-RU"/>
        </w:rPr>
        <w:t>PDGFR</w:t>
      </w:r>
      <w:r w:rsidR="006B175E" w:rsidRPr="006A786D">
        <w:t>-α</w:t>
      </w:r>
      <w:r w:rsidR="006B175E">
        <w:t>)</w:t>
      </w:r>
      <w:r>
        <w:rPr>
          <w:lang w:eastAsia="ru-RU"/>
        </w:rPr>
        <w:t>, а также протоонкогены RET и KIT.</w:t>
      </w:r>
    </w:p>
    <w:p w14:paraId="60876FF9" w14:textId="0CBE3E67" w:rsidR="00AB24FF" w:rsidRDefault="00AB24FF" w:rsidP="00B80C34">
      <w:pPr>
        <w:ind w:firstLine="709"/>
      </w:pPr>
      <w:r>
        <w:t xml:space="preserve">В феврале 2015 года </w:t>
      </w:r>
      <w:r w:rsidR="0088743D" w:rsidRPr="0088743D">
        <w:t xml:space="preserve">Управление по контролю за качеством пищевых продуктов и лекарственных средств </w:t>
      </w:r>
      <w:r w:rsidR="006B5997">
        <w:rPr>
          <w:color w:val="000000"/>
        </w:rPr>
        <w:t>Соединенных Штатов</w:t>
      </w:r>
      <w:r w:rsidR="006B5997" w:rsidRPr="00733320">
        <w:rPr>
          <w:color w:val="000000"/>
        </w:rPr>
        <w:t xml:space="preserve"> Америки</w:t>
      </w:r>
      <w:r w:rsidR="006B5997" w:rsidRPr="0088743D">
        <w:t xml:space="preserve"> </w:t>
      </w:r>
      <w:r w:rsidR="006B5997">
        <w:t>(</w:t>
      </w:r>
      <w:r w:rsidR="0088743D" w:rsidRPr="0088743D">
        <w:t>США</w:t>
      </w:r>
      <w:r w:rsidR="006B5997">
        <w:t>)</w:t>
      </w:r>
      <w:r w:rsidR="0088743D" w:rsidRPr="0088743D">
        <w:t xml:space="preserve"> </w:t>
      </w:r>
      <w:r w:rsidR="0088743D">
        <w:t>(</w:t>
      </w:r>
      <w:r>
        <w:t>FDA</w:t>
      </w:r>
      <w:r w:rsidR="0088743D">
        <w:t>)</w:t>
      </w:r>
      <w:r w:rsidR="007D1DBF" w:rsidRPr="007D1DBF">
        <w:t xml:space="preserve"> </w:t>
      </w:r>
      <w:r>
        <w:t>одобрило ленватиниб для лечения пациентов с местно-</w:t>
      </w:r>
      <w:r w:rsidR="00235A86">
        <w:t xml:space="preserve">распространенным </w:t>
      </w:r>
      <w:r>
        <w:t xml:space="preserve">или метастатическим, прогрессирующим, резистентным к лечению радиоактивным йодом дифференцированного рака щитовидной железы. В мае 2015 года </w:t>
      </w:r>
      <w:r w:rsidR="0088743D">
        <w:t>Европейское медицинское агенство (</w:t>
      </w:r>
      <w:r>
        <w:t>ЕМА</w:t>
      </w:r>
      <w:r w:rsidR="0088743D">
        <w:t>)</w:t>
      </w:r>
      <w:r>
        <w:t xml:space="preserve"> также одобрил</w:t>
      </w:r>
      <w:r w:rsidR="00FB0A5B">
        <w:t>о</w:t>
      </w:r>
      <w:r>
        <w:t xml:space="preserve"> ленватиниб для лечения прогрессирующего, местно-распространенного или метастатического дифференцированного </w:t>
      </w:r>
      <w:r w:rsidR="00543694">
        <w:t>РЩЖ</w:t>
      </w:r>
      <w:r>
        <w:t xml:space="preserve"> у взрослых, у которых заболевание прогрессировало, несмотря на стандартное лечение радиоактивным йодом. В последующие годы, после проведения клинических исследований, л</w:t>
      </w:r>
      <w:r w:rsidRPr="0010791D">
        <w:t>енватиниб</w:t>
      </w:r>
      <w:r>
        <w:t xml:space="preserve"> был зарегистрирован по показаниям </w:t>
      </w:r>
      <w:r w:rsidR="00543694">
        <w:t>ГЦК</w:t>
      </w:r>
      <w:r>
        <w:t>,</w:t>
      </w:r>
      <w:r w:rsidRPr="00506F4C">
        <w:t xml:space="preserve"> почечно-клеточн</w:t>
      </w:r>
      <w:r>
        <w:t>ая</w:t>
      </w:r>
      <w:r w:rsidRPr="00506F4C">
        <w:t xml:space="preserve"> карцином</w:t>
      </w:r>
      <w:r>
        <w:t>а</w:t>
      </w:r>
      <w:r w:rsidRPr="00506F4C">
        <w:t xml:space="preserve"> </w:t>
      </w:r>
      <w:r>
        <w:t xml:space="preserve">и </w:t>
      </w:r>
      <w:r w:rsidR="00543694">
        <w:t>РЭ</w:t>
      </w:r>
      <w:r>
        <w:t xml:space="preserve">. В </w:t>
      </w:r>
      <w:r w:rsidR="00F64C15">
        <w:t xml:space="preserve">Российской Федерации </w:t>
      </w:r>
      <w:r>
        <w:t xml:space="preserve">ленватиниб </w:t>
      </w:r>
      <w:r w:rsidRPr="00687904">
        <w:t>был зарегистрирован 29.12.2015.</w:t>
      </w:r>
    </w:p>
    <w:p w14:paraId="5CD7B845" w14:textId="61932FDA" w:rsidR="00295007" w:rsidRDefault="006928D6" w:rsidP="00B80C34">
      <w:pPr>
        <w:ind w:firstLine="709"/>
        <w:rPr>
          <w:lang w:eastAsia="ru-RU"/>
        </w:rPr>
      </w:pPr>
      <w:r>
        <w:rPr>
          <w:lang w:eastAsia="ru-RU"/>
        </w:rPr>
        <w:t xml:space="preserve">Эффективность лекарственных препаратов, содержащих ленватиниб, в качестве средства для лечения множественных солидных </w:t>
      </w:r>
      <w:r w:rsidR="00235A86">
        <w:rPr>
          <w:lang w:eastAsia="ru-RU"/>
        </w:rPr>
        <w:t xml:space="preserve">опухолей </w:t>
      </w:r>
      <w:r>
        <w:rPr>
          <w:lang w:eastAsia="ru-RU"/>
        </w:rPr>
        <w:t xml:space="preserve">(дифференцированный </w:t>
      </w:r>
      <w:r w:rsidR="00543694">
        <w:rPr>
          <w:lang w:eastAsia="ru-RU"/>
        </w:rPr>
        <w:t>РЩЖ</w:t>
      </w:r>
      <w:r>
        <w:rPr>
          <w:lang w:eastAsia="ru-RU"/>
        </w:rPr>
        <w:t xml:space="preserve">, </w:t>
      </w:r>
      <w:r w:rsidR="00543694">
        <w:t>ГЦК</w:t>
      </w:r>
      <w:r>
        <w:rPr>
          <w:lang w:eastAsia="ru-RU"/>
        </w:rPr>
        <w:t xml:space="preserve">, почечно-клеточная карцинома, </w:t>
      </w:r>
      <w:r w:rsidR="00543694">
        <w:rPr>
          <w:lang w:eastAsia="ru-RU"/>
        </w:rPr>
        <w:t>РЭ</w:t>
      </w:r>
      <w:r>
        <w:rPr>
          <w:lang w:eastAsia="ru-RU"/>
        </w:rPr>
        <w:t xml:space="preserve">) в качестве монотерапии или в </w:t>
      </w:r>
      <w:r w:rsidR="00FB0A5B">
        <w:rPr>
          <w:lang w:eastAsia="ru-RU"/>
        </w:rPr>
        <w:t xml:space="preserve">составе </w:t>
      </w:r>
      <w:r>
        <w:rPr>
          <w:lang w:eastAsia="ru-RU"/>
        </w:rPr>
        <w:t>комбинированной химиотерапии у взрослых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ленватиниба в составе комбинированной терапии солидных опухолей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52FB75A4" w14:textId="77777777" w:rsidR="00D833F8" w:rsidRPr="00AF7CFB" w:rsidRDefault="00D833F8" w:rsidP="00B80C34">
      <w:pPr>
        <w:ind w:firstLine="709"/>
        <w:rPr>
          <w:color w:val="000000" w:themeColor="text1"/>
        </w:rPr>
      </w:pPr>
      <w:bookmarkStart w:id="11" w:name="_Hlk118302966"/>
      <w:r w:rsidRPr="00AF7CFB">
        <w:rPr>
          <w:color w:val="000000" w:themeColor="text1"/>
        </w:rPr>
        <w:t xml:space="preserve">Для изучения ленватиниба 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ленватиниба. </w:t>
      </w:r>
    </w:p>
    <w:p w14:paraId="13DCEDAC" w14:textId="723431CC" w:rsidR="00D833F8" w:rsidRPr="009F43BF" w:rsidRDefault="00D833F8" w:rsidP="00B80C34">
      <w:pPr>
        <w:ind w:firstLine="709"/>
      </w:pPr>
      <w:r w:rsidRPr="009F43BF">
        <w:lastRenderedPageBreak/>
        <w:t xml:space="preserve">При изучении </w:t>
      </w:r>
      <w:r w:rsidRPr="00D833F8">
        <w:t>первичной фармакодинамики</w:t>
      </w:r>
      <w:r w:rsidRPr="009F43BF">
        <w:t xml:space="preserve"> </w:t>
      </w:r>
      <w:r w:rsidRPr="009F43BF">
        <w:rPr>
          <w:i/>
          <w:iCs/>
        </w:rPr>
        <w:t>in vitro</w:t>
      </w:r>
      <w:r w:rsidRPr="009F43BF">
        <w:t xml:space="preserve"> </w:t>
      </w:r>
      <w:r w:rsidR="002F6EDA">
        <w:t>(</w:t>
      </w:r>
      <w:r w:rsidR="00235A86" w:rsidRPr="009F43BF">
        <w:t>изуча</w:t>
      </w:r>
      <w:r w:rsidR="00235A86">
        <w:t>лся профиль ингибирования около</w:t>
      </w:r>
      <w:r w:rsidR="00235A86" w:rsidRPr="009F43BF">
        <w:t xml:space="preserve"> </w:t>
      </w:r>
      <w:r w:rsidRPr="009F43BF">
        <w:t>66 протеинкиназ</w:t>
      </w:r>
      <w:r w:rsidR="002F6EDA">
        <w:t>)</w:t>
      </w:r>
      <w:r w:rsidR="00235A86">
        <w:t xml:space="preserve"> установлено</w:t>
      </w:r>
      <w:r w:rsidRPr="009F43BF">
        <w:t>, что ленватиниб селективно ингибировал тирозинкиназную активность рецепторов VEGF (VEGFR1-3) и RET со значени</w:t>
      </w:r>
      <w:r w:rsidR="00671AC1">
        <w:t>е</w:t>
      </w:r>
      <w:r w:rsidRPr="009F43BF">
        <w:t xml:space="preserve">м </w:t>
      </w:r>
      <w:bookmarkStart w:id="12" w:name="_Hlk118307352"/>
      <w:r w:rsidRPr="009F43BF">
        <w:t xml:space="preserve">константы ингибирования (Ki) </w:t>
      </w:r>
      <w:bookmarkEnd w:id="12"/>
      <w:r w:rsidRPr="009F43BF">
        <w:t>приблизительно равным 1 нмоль/л. Ленватиниб ингибировал другие тирозинкиназные рецепторы, связанные с проангиогенными и онкогенными путями, включая FGFR1-4, PDGFRα и KIT, со значениями медианной ингибирующей концентрации (IC</w:t>
      </w:r>
      <w:r w:rsidRPr="009B4009">
        <w:rPr>
          <w:vertAlign w:val="subscript"/>
        </w:rPr>
        <w:t>50</w:t>
      </w:r>
      <w:r w:rsidRPr="009F43BF">
        <w:t>) ниже 100 нмоль/л.</w:t>
      </w:r>
    </w:p>
    <w:p w14:paraId="0340409D" w14:textId="5176F4EE" w:rsidR="00D833F8" w:rsidRDefault="00D833F8" w:rsidP="00B80C34">
      <w:pPr>
        <w:ind w:firstLine="709"/>
      </w:pPr>
      <w:r w:rsidRPr="009F43BF">
        <w:t xml:space="preserve">Был оценен противоопухолевый эффект ленватиниба </w:t>
      </w:r>
      <w:r w:rsidRPr="009F43BF">
        <w:rPr>
          <w:i/>
          <w:iCs/>
        </w:rPr>
        <w:t>in vivo</w:t>
      </w:r>
      <w:r w:rsidRPr="009F43BF">
        <w:t xml:space="preserve"> на рост опухоли клеточной линии папиллярной карциномы щитовидной железы человека К1 на модели ксенотрансплантата мыши. </w:t>
      </w:r>
      <w:r w:rsidR="00235A86">
        <w:t>Установлено</w:t>
      </w:r>
      <w:r w:rsidRPr="009F43BF">
        <w:t>, что ежедневное введение ленватиниба в течение 14 дней мышам, которым имплантировали клеточную линию карциномы щитовидной железы человека К1, приводило к задержке роста опухоли дозозависимым образом</w:t>
      </w:r>
      <w:r>
        <w:t>.</w:t>
      </w:r>
      <w:r w:rsidRPr="009F43BF">
        <w:t xml:space="preserve"> </w:t>
      </w:r>
    </w:p>
    <w:p w14:paraId="322C3FBE" w14:textId="1B442F39" w:rsidR="00D833F8" w:rsidRPr="009F43BF" w:rsidRDefault="00D833F8" w:rsidP="00B80C34">
      <w:pPr>
        <w:ind w:firstLine="709"/>
      </w:pPr>
      <w:r w:rsidRPr="00D833F8">
        <w:t>Токсичность при однократном и многократном введении ленватиниба изучали у крыс, собак и обезьян.</w:t>
      </w:r>
      <w:r>
        <w:t xml:space="preserve"> </w:t>
      </w:r>
      <w:r w:rsidRPr="009F43BF">
        <w:t>Основными органами</w:t>
      </w:r>
      <w:r w:rsidR="00235A86">
        <w:t>-мишенями</w:t>
      </w:r>
      <w:r w:rsidRPr="009F43BF">
        <w:t xml:space="preserve"> токсичности ленватиниба </w:t>
      </w:r>
      <w:r>
        <w:t xml:space="preserve">у экспериментальных животных </w:t>
      </w:r>
      <w:r w:rsidRPr="009F43BF">
        <w:t>были желудочно-кишечный тракт</w:t>
      </w:r>
      <w:r w:rsidR="0059726E">
        <w:t xml:space="preserve"> </w:t>
      </w:r>
      <w:r w:rsidR="007A5993">
        <w:t>(ЖКТ)</w:t>
      </w:r>
      <w:r w:rsidRPr="009F43BF">
        <w:t xml:space="preserve"> (водянистый стул, снижение массы тела и потребления пищи, дегенерация медиальных артерий в желудке и слепой кишке), почк</w:t>
      </w:r>
      <w:r>
        <w:t>и</w:t>
      </w:r>
      <w:r w:rsidRPr="009F43BF">
        <w:t xml:space="preserve"> (гломерулопатия), печен</w:t>
      </w:r>
      <w:r>
        <w:t>ь</w:t>
      </w:r>
      <w:r w:rsidRPr="009F43BF">
        <w:t xml:space="preserve"> (повышение </w:t>
      </w:r>
      <w:r w:rsidR="00060E9F">
        <w:t>а</w:t>
      </w:r>
      <w:r w:rsidR="00F64C15">
        <w:t>ланинаминотрансферазы (</w:t>
      </w:r>
      <w:r w:rsidRPr="009F43BF">
        <w:t>АЛТ</w:t>
      </w:r>
      <w:r w:rsidR="00060E9F">
        <w:t>)</w:t>
      </w:r>
      <w:r w:rsidRPr="009F43BF">
        <w:t xml:space="preserve"> и </w:t>
      </w:r>
      <w:r w:rsidR="00060E9F">
        <w:t>аспа</w:t>
      </w:r>
      <w:r w:rsidR="00320B2C">
        <w:t>р</w:t>
      </w:r>
      <w:r w:rsidR="00060E9F">
        <w:t>татаминотрансферазы (</w:t>
      </w:r>
      <w:r w:rsidRPr="009F43BF">
        <w:t>АСТ), желчн</w:t>
      </w:r>
      <w:r>
        <w:t>ый</w:t>
      </w:r>
      <w:r w:rsidRPr="009F43BF">
        <w:t xml:space="preserve"> пузыр</w:t>
      </w:r>
      <w:r>
        <w:t>ь</w:t>
      </w:r>
      <w:r w:rsidRPr="009F43BF">
        <w:t xml:space="preserve"> (артериальный фиброзный некроз), яичк</w:t>
      </w:r>
      <w:r>
        <w:t>и</w:t>
      </w:r>
      <w:r w:rsidRPr="009F43BF">
        <w:t>, головно</w:t>
      </w:r>
      <w:r>
        <w:t>й</w:t>
      </w:r>
      <w:r w:rsidRPr="009F43BF">
        <w:t xml:space="preserve"> мозг</w:t>
      </w:r>
      <w:r w:rsidR="00FB0A5B">
        <w:t>,</w:t>
      </w:r>
      <w:r w:rsidRPr="009F43BF">
        <w:t xml:space="preserve"> селезенк</w:t>
      </w:r>
      <w:r w:rsidR="00FB0A5B">
        <w:t>а</w:t>
      </w:r>
      <w:r w:rsidRPr="009F43BF">
        <w:t xml:space="preserve"> (лимфоидная атрофия) и надпочечник</w:t>
      </w:r>
      <w:r>
        <w:t>и</w:t>
      </w:r>
      <w:r w:rsidRPr="009F43BF">
        <w:t xml:space="preserve"> (корковая гипертрофия).</w:t>
      </w:r>
    </w:p>
    <w:p w14:paraId="28931FFC" w14:textId="5BA8B107" w:rsidR="00D833F8" w:rsidRDefault="00D833F8" w:rsidP="00B80C34">
      <w:pPr>
        <w:ind w:firstLine="709"/>
      </w:pPr>
      <w:r>
        <w:t>Р</w:t>
      </w:r>
      <w:r w:rsidRPr="009F43BF">
        <w:t>езультаты токсикокинетических исследований повторных доз позволяют предположить, что введение ленватиниба может ухудшить мужскую и женскую репродуктивную функцию и/или фертильность</w:t>
      </w:r>
      <w:r>
        <w:t>.</w:t>
      </w:r>
    </w:p>
    <w:p w14:paraId="14AD7743" w14:textId="77777777" w:rsidR="00D833F8" w:rsidRPr="009F43BF" w:rsidRDefault="00D833F8" w:rsidP="00B80C34">
      <w:pPr>
        <w:ind w:firstLine="709"/>
      </w:pPr>
      <w:r w:rsidRPr="009F43BF">
        <w:t xml:space="preserve">Исследование эмбриофетального развития, проведенное на крысах, показало, что ленватиниб эмбриотоксичен, фетотоксичен и обладает тератогенным потенциалом. В группе ленватиниба постимплантационные потери составляли 82,2% по сравнению с контрольной группой (3,8%) из-за ранней резорбции плода, что приводило к статистически значимому снижению среднего числа живых плодов в помете и количества самок с живыми плодами. </w:t>
      </w:r>
    </w:p>
    <w:bookmarkEnd w:id="11"/>
    <w:p w14:paraId="6D96F344" w14:textId="333D2753" w:rsidR="00D833F8" w:rsidRPr="00312637" w:rsidRDefault="00D833F8" w:rsidP="00B80C34">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прогрессирующим, резистентным к радиойоду дифференцированным раком щитовидной железы </w:t>
      </w:r>
      <w:r w:rsidR="00E66293">
        <w:t>показ</w:t>
      </w:r>
      <w:r w:rsidR="00E66293" w:rsidRPr="00354EFF">
        <w:t>ан</w:t>
      </w:r>
      <w:r w:rsidR="00E66293">
        <w:t>а</w:t>
      </w:r>
      <w:r w:rsidR="00E66293" w:rsidRPr="00354EFF">
        <w:t xml:space="preserve"> </w:t>
      </w:r>
      <w:r w:rsidR="00E66293">
        <w:t>в</w:t>
      </w:r>
      <w:r w:rsidRPr="00354EFF">
        <w:t xml:space="preserve"> одном</w:t>
      </w:r>
      <w:r>
        <w:t xml:space="preserve"> </w:t>
      </w:r>
      <w:r w:rsidRPr="00354EFF">
        <w:t>ключево</w:t>
      </w:r>
      <w:r w:rsidR="00FB0A5B">
        <w:t>м</w:t>
      </w:r>
      <w:r w:rsidRPr="00354EFF">
        <w:t xml:space="preserve"> исследование </w:t>
      </w:r>
      <w:r w:rsidR="006A5A20">
        <w:rPr>
          <w:lang w:val="en-US"/>
        </w:rPr>
        <w:t>III</w:t>
      </w:r>
      <w:r w:rsidR="006A5A20" w:rsidRPr="00354EFF">
        <w:t xml:space="preserve"> </w:t>
      </w:r>
      <w:r w:rsidRPr="00354EFF">
        <w:t>фазы E7080-G000-303 (</w:t>
      </w:r>
      <w:r w:rsidRPr="00CD07EA">
        <w:t>ClinicalTrials.gov Identifier: NCT01321554</w:t>
      </w:r>
      <w:r w:rsidRPr="00354EFF">
        <w:t xml:space="preserve">, исследование </w:t>
      </w:r>
      <w:r w:rsidRPr="003E6BAA">
        <w:t>SELECT</w:t>
      </w:r>
      <w:r w:rsidRPr="00354EFF">
        <w:t>).</w:t>
      </w:r>
    </w:p>
    <w:p w14:paraId="2C1E02D2" w14:textId="13249F6F" w:rsidR="00D833F8" w:rsidRDefault="00DC43E0" w:rsidP="00B80C34">
      <w:pPr>
        <w:ind w:firstLine="709"/>
      </w:pPr>
      <w:r>
        <w:t>Установлено</w:t>
      </w:r>
      <w:r w:rsidR="00D833F8" w:rsidRPr="003E6BAA">
        <w:t xml:space="preserve">, </w:t>
      </w:r>
      <w:r w:rsidR="00D833F8">
        <w:t xml:space="preserve">что </w:t>
      </w:r>
      <w:r w:rsidR="00D833F8" w:rsidRPr="003E6BAA">
        <w:t xml:space="preserve">медиана выживаемости без прогрессирования </w:t>
      </w:r>
      <w:r w:rsidR="00D62E2A">
        <w:t xml:space="preserve">(ВБП) </w:t>
      </w:r>
      <w:r w:rsidR="00D833F8" w:rsidRPr="003E6BAA">
        <w:t>составила 18,3 мес в группе ленватиниба и 3,6 мес в группе плацебо (отношение рисков прогрессирования или смерти 0,21; 99% доверительный интервал</w:t>
      </w:r>
      <w:r w:rsidR="00667E30">
        <w:t xml:space="preserve"> (ДИ)</w:t>
      </w:r>
      <w:r w:rsidR="00D833F8" w:rsidRPr="003E6BAA">
        <w:t xml:space="preserve"> 0,14–0,31; </w:t>
      </w:r>
      <w:r w:rsidR="00235A86">
        <w:rPr>
          <w:lang w:val="en-US"/>
        </w:rPr>
        <w:t>p</w:t>
      </w:r>
      <w:r w:rsidR="00D833F8" w:rsidRPr="003E6BAA">
        <w:t xml:space="preserve">&lt;0,001). Преимущество </w:t>
      </w:r>
      <w:r w:rsidR="00154B5C">
        <w:t>ВБП</w:t>
      </w:r>
      <w:r w:rsidR="00D833F8" w:rsidRPr="003E6BAA">
        <w:t xml:space="preserve">, связанное с ленватинибом, наблюдалось во всех заранее определенных подгруппах. Среднее время до первого снижения дозы составило 2,8 месяца. Среднее время объективного ответа составило 2,0 (95% ДИ: 1,9, 3,5) месяцев; однако у </w:t>
      </w:r>
      <w:r w:rsidR="00971445" w:rsidRPr="003E6BAA">
        <w:t xml:space="preserve">70,4% </w:t>
      </w:r>
      <w:r w:rsidR="00D833F8" w:rsidRPr="003E6BAA">
        <w:t>пациентов</w:t>
      </w:r>
      <w:r w:rsidR="00FB0A5B">
        <w:t xml:space="preserve"> </w:t>
      </w:r>
      <w:r w:rsidR="00154B5C">
        <w:t xml:space="preserve">с </w:t>
      </w:r>
      <w:r w:rsidR="00304897" w:rsidRPr="003E6BAA">
        <w:t>полн</w:t>
      </w:r>
      <w:r w:rsidR="00304897">
        <w:t>ы</w:t>
      </w:r>
      <w:r w:rsidR="00154B5C">
        <w:t>м</w:t>
      </w:r>
      <w:r w:rsidR="00304897" w:rsidRPr="003E6BAA">
        <w:t xml:space="preserve"> </w:t>
      </w:r>
      <w:r w:rsidR="00D833F8" w:rsidRPr="003E6BAA">
        <w:t xml:space="preserve">или </w:t>
      </w:r>
      <w:r w:rsidR="00304897" w:rsidRPr="003E6BAA">
        <w:t>частичн</w:t>
      </w:r>
      <w:r w:rsidR="00304897">
        <w:t>ы</w:t>
      </w:r>
      <w:r w:rsidR="00154B5C">
        <w:t>м</w:t>
      </w:r>
      <w:r w:rsidR="00304897" w:rsidRPr="003E6BAA">
        <w:t xml:space="preserve"> </w:t>
      </w:r>
      <w:r w:rsidR="00D833F8" w:rsidRPr="003E6BAA">
        <w:t>ответ</w:t>
      </w:r>
      <w:r w:rsidR="00154B5C">
        <w:t>ом</w:t>
      </w:r>
      <w:r w:rsidR="00D833F8" w:rsidRPr="003E6BAA">
        <w:t xml:space="preserve"> на ленватиниб</w:t>
      </w:r>
      <w:r w:rsidR="00971445">
        <w:t xml:space="preserve"> </w:t>
      </w:r>
      <w:r w:rsidR="00D833F8" w:rsidRPr="003E6BAA">
        <w:t>наблюдалось развитие ответа во время или в течение 30 дней после приема дозы 24 мг.</w:t>
      </w:r>
    </w:p>
    <w:p w14:paraId="165F0EC1" w14:textId="110B98C7" w:rsidR="00D833F8" w:rsidRDefault="00D833F8" w:rsidP="00B80C34">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t>нерезектабельной ГЦК доказана в и</w:t>
      </w:r>
      <w:r w:rsidRPr="00AA676B">
        <w:t>сследовани</w:t>
      </w:r>
      <w:r>
        <w:t>и</w:t>
      </w:r>
      <w:r w:rsidRPr="00AA676B">
        <w:t xml:space="preserve"> </w:t>
      </w:r>
      <w:r>
        <w:t>REFLECT</w:t>
      </w:r>
      <w:r w:rsidRPr="00AA676B">
        <w:t xml:space="preserve"> </w:t>
      </w:r>
      <w:r>
        <w:t>(</w:t>
      </w:r>
      <w:r w:rsidRPr="00F77D2A">
        <w:rPr>
          <w:lang w:val="en-US"/>
        </w:rPr>
        <w:t>ClinicalTrials</w:t>
      </w:r>
      <w:r w:rsidRPr="00EB4298">
        <w:t>.</w:t>
      </w:r>
      <w:r w:rsidRPr="00F77D2A">
        <w:rPr>
          <w:lang w:val="en-US"/>
        </w:rPr>
        <w:t>gov</w:t>
      </w:r>
      <w:r w:rsidRPr="00EB4298">
        <w:t xml:space="preserve"> </w:t>
      </w:r>
      <w:r w:rsidRPr="00F77D2A">
        <w:rPr>
          <w:lang w:val="en-US"/>
        </w:rPr>
        <w:t>Identifier</w:t>
      </w:r>
      <w:r w:rsidRPr="00EB4298">
        <w:t xml:space="preserve">: </w:t>
      </w:r>
      <w:r w:rsidRPr="00F77D2A">
        <w:rPr>
          <w:lang w:val="en-US"/>
        </w:rPr>
        <w:t>NCT</w:t>
      </w:r>
      <w:r w:rsidRPr="00EB4298">
        <w:t>01761266</w:t>
      </w:r>
      <w:r>
        <w:t>)</w:t>
      </w:r>
      <w:r w:rsidR="00671AC1">
        <w:t xml:space="preserve"> </w:t>
      </w:r>
      <w:r w:rsidRPr="00AA676B">
        <w:t xml:space="preserve">— </w:t>
      </w:r>
      <w:r>
        <w:t xml:space="preserve">регистрационном исследование </w:t>
      </w:r>
      <w:r w:rsidR="006A5A20">
        <w:rPr>
          <w:lang w:val="en-US"/>
        </w:rPr>
        <w:t>III</w:t>
      </w:r>
      <w:r>
        <w:t xml:space="preserve"> фазы.</w:t>
      </w:r>
    </w:p>
    <w:p w14:paraId="57C5BB22" w14:textId="7530EBEC" w:rsidR="00D833F8" w:rsidRDefault="00DC43E0" w:rsidP="00B80C34">
      <w:pPr>
        <w:ind w:firstLine="709"/>
        <w:rPr>
          <w:b/>
        </w:rPr>
      </w:pPr>
      <w:r>
        <w:t>Установлено</w:t>
      </w:r>
      <w:r w:rsidR="00D833F8">
        <w:t xml:space="preserve">, что в обеих группах лечения в исследовании REFLECT медиана общей выживаемости </w:t>
      </w:r>
      <w:r w:rsidR="00623245">
        <w:t xml:space="preserve">(ОВ) </w:t>
      </w:r>
      <w:r w:rsidR="00D833F8">
        <w:t>была примерно на 9 месяцев больше у субъектов, получавши</w:t>
      </w:r>
      <w:r w:rsidR="00FB0A5B">
        <w:t>х</w:t>
      </w:r>
      <w:r w:rsidR="00D833F8">
        <w:t xml:space="preserve"> противораковую терапию после окончания исследования, чем у </w:t>
      </w:r>
      <w:r w:rsidR="00971445">
        <w:t>пациентов, прекративших лечение</w:t>
      </w:r>
      <w:r w:rsidR="00D833F8">
        <w:t xml:space="preserve">. В группе ленватиниба медиана </w:t>
      </w:r>
      <w:r w:rsidR="00623245" w:rsidRPr="00623245">
        <w:t>ОВ</w:t>
      </w:r>
      <w:r w:rsidR="00623245" w:rsidRPr="00623245" w:rsidDel="00623245">
        <w:t xml:space="preserve"> </w:t>
      </w:r>
      <w:r w:rsidR="00D833F8">
        <w:t xml:space="preserve">составила 19,5 месяцев (95% ДИ: 15,7, 23,0) </w:t>
      </w:r>
      <w:r w:rsidR="00D833F8">
        <w:lastRenderedPageBreak/>
        <w:t>для субъектов, получавши</w:t>
      </w:r>
      <w:r w:rsidR="00FB0A5B">
        <w:t>х</w:t>
      </w:r>
      <w:r w:rsidR="00D833F8">
        <w:t xml:space="preserve"> противораковую терапию после окончания исследования (43%) и 10,5 месяцев (95% ДИ: 8,6, 12,2) у </w:t>
      </w:r>
      <w:r w:rsidR="00971445">
        <w:t>пациентов, прекративших лечение</w:t>
      </w:r>
      <w:r w:rsidR="00D833F8">
        <w:t xml:space="preserve">. В группе сорафениба медиана </w:t>
      </w:r>
      <w:r w:rsidR="00623245">
        <w:t>ОВ</w:t>
      </w:r>
      <w:r w:rsidR="00623245" w:rsidDel="00623245">
        <w:t xml:space="preserve"> </w:t>
      </w:r>
      <w:r w:rsidR="00D833F8">
        <w:t xml:space="preserve">составила 17,0 месяцев (95% ДИ: 14,2, 18,8) для субъектов, получивших противораковую терапию после окончания исследования (51%) и 7,9 месяца (95% ДИ: 6,6, 9,7) у </w:t>
      </w:r>
      <w:r w:rsidR="00971445">
        <w:t>пациентов, прекративших лечение</w:t>
      </w:r>
      <w:r w:rsidR="00D833F8">
        <w:t xml:space="preserve">. Средняя </w:t>
      </w:r>
      <w:r w:rsidR="00623245">
        <w:t>ОВ</w:t>
      </w:r>
      <w:r w:rsidR="00623245" w:rsidDel="00623245">
        <w:t xml:space="preserve"> </w:t>
      </w:r>
      <w:r w:rsidR="00D833F8">
        <w:t>была примерно на 2,5 месяца дольше в группе ленватиниба по сравнению с группой сорафениба в обеих подгруппах субъектов (с противораковой терапией после окончания исследования или без нее)</w:t>
      </w:r>
      <w:r w:rsidR="00181B0F">
        <w:t>.</w:t>
      </w:r>
    </w:p>
    <w:p w14:paraId="57A8E9F5" w14:textId="04F0D0BB" w:rsidR="00D833F8" w:rsidRDefault="00D833F8" w:rsidP="00B80C34">
      <w:pPr>
        <w:ind w:firstLine="709"/>
      </w:pPr>
      <w:r w:rsidRPr="00D77518">
        <w:t xml:space="preserve">Эффективность ленватиниба в комбинации с пембролизумабом изучали в регистрационном исследовании </w:t>
      </w:r>
      <w:r w:rsidR="000D61DB">
        <w:rPr>
          <w:lang w:val="en-US"/>
        </w:rPr>
        <w:t>III</w:t>
      </w:r>
      <w:r w:rsidRPr="00D77518">
        <w:t xml:space="preserve"> фазы у больных с раком эндометрия (MK-3475-775/E7080-G000-309, ClinicalTrials.gov Identifier: NCT03517449.). </w:t>
      </w:r>
    </w:p>
    <w:p w14:paraId="06243758" w14:textId="7F6EA36C" w:rsidR="00D833F8" w:rsidRDefault="00D833F8" w:rsidP="00B80C34">
      <w:pPr>
        <w:ind w:firstLine="709"/>
        <w:rPr>
          <w:b/>
        </w:rPr>
      </w:pPr>
      <w:r>
        <w:t xml:space="preserve">В ходе исследования </w:t>
      </w:r>
      <w:r w:rsidR="00DC43E0">
        <w:t>установлено</w:t>
      </w:r>
      <w:r>
        <w:t>, что м</w:t>
      </w:r>
      <w:r w:rsidRPr="00B618F3">
        <w:t xml:space="preserve">едиана </w:t>
      </w:r>
      <w:r w:rsidR="00751CDB">
        <w:t>ОВ</w:t>
      </w:r>
      <w:r w:rsidR="00751CDB" w:rsidRPr="00B618F3" w:rsidDel="00751CDB">
        <w:t xml:space="preserve"> </w:t>
      </w:r>
      <w:r w:rsidRPr="00B618F3">
        <w:t xml:space="preserve">была выше при применении ленватиниба в сочетании с пембролизумабом, чем </w:t>
      </w:r>
      <w:r>
        <w:t>в группе сравнения</w:t>
      </w:r>
      <w:r w:rsidRPr="00B618F3">
        <w:t xml:space="preserve"> </w:t>
      </w:r>
      <w:r w:rsidR="00790A2A">
        <w:t>(</w:t>
      </w:r>
      <w:r w:rsidR="00790A2A">
        <w:rPr>
          <w:rFonts w:eastAsiaTheme="minorEastAsia"/>
        </w:rPr>
        <w:t>п</w:t>
      </w:r>
      <w:r w:rsidR="00790A2A" w:rsidRPr="00AA48F6">
        <w:rPr>
          <w:rFonts w:eastAsiaTheme="minorEastAsia"/>
        </w:rPr>
        <w:t>опуляция пациентов, получившая хотя бы 1 дозу исследуемого препарата (</w:t>
      </w:r>
      <w:r w:rsidR="00790A2A" w:rsidRPr="00C22830">
        <w:rPr>
          <w:rFonts w:eastAsiaTheme="minorEastAsia"/>
          <w:lang w:val="en-US"/>
        </w:rPr>
        <w:t>Intention</w:t>
      </w:r>
      <w:r w:rsidR="00790A2A" w:rsidRPr="00C22830">
        <w:rPr>
          <w:rFonts w:eastAsiaTheme="minorEastAsia"/>
        </w:rPr>
        <w:t xml:space="preserve"> </w:t>
      </w:r>
      <w:r w:rsidR="00790A2A" w:rsidRPr="00C22830">
        <w:rPr>
          <w:rFonts w:eastAsiaTheme="minorEastAsia"/>
          <w:lang w:val="en-US"/>
        </w:rPr>
        <w:t>to</w:t>
      </w:r>
      <w:r w:rsidR="00790A2A" w:rsidRPr="00C22830">
        <w:rPr>
          <w:rFonts w:eastAsiaTheme="minorEastAsia"/>
        </w:rPr>
        <w:t xml:space="preserve"> </w:t>
      </w:r>
      <w:r w:rsidR="00790A2A" w:rsidRPr="00C22830">
        <w:rPr>
          <w:rFonts w:eastAsiaTheme="minorEastAsia"/>
          <w:lang w:val="en-US"/>
        </w:rPr>
        <w:t>Treat</w:t>
      </w:r>
      <w:r w:rsidR="00790A2A" w:rsidRPr="00C22830">
        <w:rPr>
          <w:rFonts w:eastAsiaTheme="minorEastAsia"/>
        </w:rPr>
        <w:t xml:space="preserve"> </w:t>
      </w:r>
      <w:r w:rsidR="00790A2A" w:rsidRPr="00C22830">
        <w:rPr>
          <w:rFonts w:eastAsiaTheme="minorEastAsia"/>
          <w:lang w:val="en-US"/>
        </w:rPr>
        <w:t>population</w:t>
      </w:r>
      <w:r w:rsidR="00790A2A">
        <w:rPr>
          <w:rFonts w:eastAsiaTheme="minorEastAsia"/>
        </w:rPr>
        <w:t xml:space="preserve">, </w:t>
      </w:r>
      <w:r w:rsidR="00181B0F">
        <w:rPr>
          <w:lang w:val="en-US"/>
        </w:rPr>
        <w:t>ITT</w:t>
      </w:r>
      <w:r w:rsidRPr="00B618F3">
        <w:t xml:space="preserve">: 17,4 против 12,0 месяцев; отношение риска смерти 0,68; 95% ДИ от 0,56 до 0,84; </w:t>
      </w:r>
      <w:r w:rsidR="00971445">
        <w:rPr>
          <w:lang w:val="en-US"/>
        </w:rPr>
        <w:t>p</w:t>
      </w:r>
      <w:r w:rsidRPr="00B618F3">
        <w:t xml:space="preserve">&lt;0,001; в целом: 18,3 против 11,4 месяцев; отношение рисков 0,62; 95% ДИ от 0,51 до 0,75; </w:t>
      </w:r>
      <w:r w:rsidR="00971445">
        <w:rPr>
          <w:lang w:val="en-US"/>
        </w:rPr>
        <w:t>p</w:t>
      </w:r>
      <w:r w:rsidRPr="00B618F3">
        <w:t>&lt;0,001)</w:t>
      </w:r>
      <w:r>
        <w:t xml:space="preserve">. В общей сложности 121/411 (29%) пациентов, получавших ленватиниб и пембролизумаб, получили продолжение исследуемой терапии после прогрессирования заболевания, определенного по </w:t>
      </w:r>
      <w:r w:rsidR="00E26716">
        <w:rPr>
          <w:rFonts w:eastAsiaTheme="minorEastAsia"/>
        </w:rPr>
        <w:t>критериям</w:t>
      </w:r>
      <w:r w:rsidR="00E26716" w:rsidRPr="00E670E6">
        <w:rPr>
          <w:rFonts w:eastAsiaTheme="minorEastAsia"/>
        </w:rPr>
        <w:t xml:space="preserve"> ответа солидных опухолей на терапию</w:t>
      </w:r>
      <w:r w:rsidR="00E26716">
        <w:rPr>
          <w:rFonts w:eastAsiaTheme="minorEastAsia"/>
        </w:rPr>
        <w:t xml:space="preserve"> </w:t>
      </w:r>
      <w:r w:rsidR="00E26716" w:rsidRPr="00D050C7">
        <w:rPr>
          <w:rFonts w:eastAsiaTheme="minorEastAsia"/>
        </w:rPr>
        <w:t>(</w:t>
      </w:r>
      <w:r w:rsidR="00E26716" w:rsidRPr="00E670E6">
        <w:rPr>
          <w:rFonts w:eastAsiaTheme="minorEastAsia"/>
          <w:lang w:val="en-US"/>
        </w:rPr>
        <w:t>Response</w:t>
      </w:r>
      <w:r w:rsidR="00E26716" w:rsidRPr="00D050C7">
        <w:rPr>
          <w:rFonts w:eastAsiaTheme="minorEastAsia"/>
        </w:rPr>
        <w:t xml:space="preserve"> </w:t>
      </w:r>
      <w:r w:rsidR="00E26716" w:rsidRPr="00E670E6">
        <w:rPr>
          <w:rFonts w:eastAsiaTheme="minorEastAsia"/>
          <w:lang w:val="en-US"/>
        </w:rPr>
        <w:t>Eval</w:t>
      </w:r>
      <w:r w:rsidR="00E26716">
        <w:rPr>
          <w:rFonts w:eastAsiaTheme="minorEastAsia"/>
          <w:lang w:val="en-US"/>
        </w:rPr>
        <w:t>uation</w:t>
      </w:r>
      <w:r w:rsidR="00E26716" w:rsidRPr="00D050C7">
        <w:rPr>
          <w:rFonts w:eastAsiaTheme="minorEastAsia"/>
        </w:rPr>
        <w:t xml:space="preserve"> </w:t>
      </w:r>
      <w:r w:rsidR="00E26716">
        <w:rPr>
          <w:rFonts w:eastAsiaTheme="minorEastAsia"/>
          <w:lang w:val="en-US"/>
        </w:rPr>
        <w:t>Criteria</w:t>
      </w:r>
      <w:r w:rsidR="00E26716" w:rsidRPr="00D050C7">
        <w:rPr>
          <w:rFonts w:eastAsiaTheme="minorEastAsia"/>
        </w:rPr>
        <w:t xml:space="preserve"> </w:t>
      </w:r>
      <w:r w:rsidR="00E26716">
        <w:rPr>
          <w:rFonts w:eastAsiaTheme="minorEastAsia"/>
          <w:lang w:val="en-US"/>
        </w:rPr>
        <w:t>In</w:t>
      </w:r>
      <w:r w:rsidR="00E26716" w:rsidRPr="00D050C7">
        <w:rPr>
          <w:rFonts w:eastAsiaTheme="minorEastAsia"/>
        </w:rPr>
        <w:t xml:space="preserve"> </w:t>
      </w:r>
      <w:r w:rsidR="00E26716">
        <w:rPr>
          <w:rFonts w:eastAsiaTheme="minorEastAsia"/>
          <w:lang w:val="en-US"/>
        </w:rPr>
        <w:t>Solid</w:t>
      </w:r>
      <w:r w:rsidR="00E26716" w:rsidRPr="00D050C7">
        <w:rPr>
          <w:rFonts w:eastAsiaTheme="minorEastAsia"/>
        </w:rPr>
        <w:t xml:space="preserve"> </w:t>
      </w:r>
      <w:r w:rsidR="00E26716">
        <w:rPr>
          <w:rFonts w:eastAsiaTheme="minorEastAsia"/>
          <w:lang w:val="en-US"/>
        </w:rPr>
        <w:t>Tumors</w:t>
      </w:r>
      <w:r w:rsidR="00E26716" w:rsidRPr="00D050C7">
        <w:rPr>
          <w:rFonts w:eastAsiaTheme="minorEastAsia"/>
        </w:rPr>
        <w:t xml:space="preserve">, </w:t>
      </w:r>
      <w:r>
        <w:t>RECIST</w:t>
      </w:r>
      <w:r w:rsidR="00E26716">
        <w:t>)</w:t>
      </w:r>
      <w:r>
        <w:t xml:space="preserve">. Средняя продолжительность постпрогрессирующей терапии составила 2,8 месяца. Оценка состояния опухоли проводилась каждые 8 недель. </w:t>
      </w:r>
      <w:r w:rsidRPr="00B73AB9">
        <w:t xml:space="preserve">Комбинация ленватиниба и пембролизумаба привела к значительно более длительному выживанию без прогрессирования заболевания и </w:t>
      </w:r>
      <w:r w:rsidR="003D1C3D">
        <w:t>ОВ</w:t>
      </w:r>
      <w:r w:rsidRPr="00B73AB9">
        <w:t xml:space="preserve"> по сравнению с</w:t>
      </w:r>
      <w:r>
        <w:t xml:space="preserve">о стандартной </w:t>
      </w:r>
      <w:r w:rsidRPr="00B73AB9">
        <w:t>химиотерапией у пациенто</w:t>
      </w:r>
      <w:r>
        <w:t>в</w:t>
      </w:r>
      <w:r w:rsidRPr="00B73AB9">
        <w:t xml:space="preserve"> с распространенным раком эндометрия</w:t>
      </w:r>
      <w:r>
        <w:t>.</w:t>
      </w:r>
    </w:p>
    <w:p w14:paraId="366BEE8E" w14:textId="53DB31F1" w:rsidR="00D833F8" w:rsidRDefault="00D833F8" w:rsidP="00B80C34">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t xml:space="preserve">почечно-клеточным раком без предшествующей системной терапии </w:t>
      </w:r>
      <w:r w:rsidR="00FB0A5B">
        <w:t xml:space="preserve">была </w:t>
      </w:r>
      <w:r>
        <w:t>доказана</w:t>
      </w:r>
      <w:r w:rsidR="00FB0A5B">
        <w:t xml:space="preserve"> в</w:t>
      </w:r>
      <w:r>
        <w:t xml:space="preserve"> регистрационном исследовании </w:t>
      </w:r>
      <w:r w:rsidR="006806F4">
        <w:rPr>
          <w:lang w:val="en-US"/>
        </w:rPr>
        <w:t>III</w:t>
      </w:r>
      <w:r w:rsidR="006806F4">
        <w:t xml:space="preserve"> </w:t>
      </w:r>
      <w:r>
        <w:t xml:space="preserve">фазы (E7080, </w:t>
      </w:r>
      <w:r w:rsidRPr="00843860">
        <w:rPr>
          <w:lang w:val="en-US"/>
        </w:rPr>
        <w:t>CLEAR</w:t>
      </w:r>
      <w:r>
        <w:t xml:space="preserve">. </w:t>
      </w:r>
      <w:r w:rsidRPr="00843860">
        <w:rPr>
          <w:lang w:val="en-US"/>
        </w:rPr>
        <w:t>ClinicalTrials</w:t>
      </w:r>
      <w:r w:rsidRPr="00593C83">
        <w:t>.</w:t>
      </w:r>
      <w:r w:rsidRPr="00843860">
        <w:rPr>
          <w:lang w:val="en-US"/>
        </w:rPr>
        <w:t>gov</w:t>
      </w:r>
      <w:r w:rsidRPr="00593C83">
        <w:t xml:space="preserve"> </w:t>
      </w:r>
      <w:r w:rsidRPr="00843860">
        <w:rPr>
          <w:lang w:val="en-US"/>
        </w:rPr>
        <w:t>Identifier</w:t>
      </w:r>
      <w:r w:rsidRPr="00593C83">
        <w:t xml:space="preserve">: </w:t>
      </w:r>
      <w:r w:rsidRPr="00843860">
        <w:rPr>
          <w:lang w:val="en-US"/>
        </w:rPr>
        <w:t>NCT</w:t>
      </w:r>
      <w:r w:rsidRPr="00593C83">
        <w:t>02811861</w:t>
      </w:r>
      <w:r>
        <w:t>)</w:t>
      </w:r>
      <w:r w:rsidRPr="00593C83">
        <w:t xml:space="preserve">. </w:t>
      </w:r>
    </w:p>
    <w:p w14:paraId="65AB9147" w14:textId="211C8BFC" w:rsidR="00D833F8" w:rsidRDefault="00DC43E0" w:rsidP="00B80C34">
      <w:pPr>
        <w:ind w:firstLine="709"/>
      </w:pPr>
      <w:r>
        <w:t>Установлено</w:t>
      </w:r>
      <w:r w:rsidR="00D833F8">
        <w:t xml:space="preserve">, что </w:t>
      </w:r>
      <w:r w:rsidR="00B12D9D">
        <w:t>ВБП</w:t>
      </w:r>
      <w:r w:rsidR="00D833F8">
        <w:t xml:space="preserve"> заболевания была выше в группе ленватиниба плюс пембролизумаб, чем в группе сунитиниба (медиана 23,9 и 9,2 месяца; отношение рисков прогрессирования заболевания или смерти 0,39; 95% [ДИ] 0,32–0,49; </w:t>
      </w:r>
      <w:r w:rsidR="00235A86">
        <w:rPr>
          <w:lang w:val="en-US"/>
        </w:rPr>
        <w:t>p</w:t>
      </w:r>
      <w:r w:rsidR="00D833F8">
        <w:t xml:space="preserve">&lt;0,001), </w:t>
      </w:r>
      <w:r w:rsidR="005E22C9">
        <w:t xml:space="preserve">выше </w:t>
      </w:r>
      <w:r w:rsidR="00D833F8">
        <w:t xml:space="preserve">при приеме ленватиниба плюс эверолимус, чем при приеме сунитиниба (медиана 14,7 и 9,2 месяца; отношение рисков 0,65; 95% ДИ 0,53–0,80; </w:t>
      </w:r>
      <w:r w:rsidR="00235A86">
        <w:rPr>
          <w:lang w:val="en-US"/>
        </w:rPr>
        <w:t>p</w:t>
      </w:r>
      <w:r w:rsidR="00D833F8">
        <w:t xml:space="preserve">&lt;0,001). </w:t>
      </w:r>
      <w:r w:rsidR="00BE220A">
        <w:t>ОВ</w:t>
      </w:r>
      <w:r w:rsidR="00D833F8">
        <w:t xml:space="preserve"> была выше в группе ленватиниба плюс пембролизумаб, чем в группе сунитиниба (отношение рисков для смерти 0,66; 95% ДИ от 0,49 до 0,88; </w:t>
      </w:r>
      <w:r w:rsidR="00235A86">
        <w:rPr>
          <w:lang w:val="en-US"/>
        </w:rPr>
        <w:t>p</w:t>
      </w:r>
      <w:r w:rsidR="00235A86">
        <w:t xml:space="preserve"> </w:t>
      </w:r>
      <w:r w:rsidR="00D833F8">
        <w:t xml:space="preserve">= 0,005), но не выше в группе ленватиниба плюс эверолимус по сравнению с сунитинибом (отношение рисков 1,15; 95% ДИ от 0,88 до 1,50; </w:t>
      </w:r>
      <w:r w:rsidR="00971445">
        <w:rPr>
          <w:lang w:val="en-US"/>
        </w:rPr>
        <w:t>p</w:t>
      </w:r>
      <w:r w:rsidR="00971445">
        <w:t xml:space="preserve"> </w:t>
      </w:r>
      <w:r w:rsidR="00D833F8">
        <w:t xml:space="preserve">= 0,30). Таким образом, комбинация ленватиниба и пембролизумаба ассоциировалась со значительно большей </w:t>
      </w:r>
      <w:r w:rsidR="00BE220A">
        <w:t>ВБП</w:t>
      </w:r>
      <w:r w:rsidR="00D833F8">
        <w:t xml:space="preserve"> и </w:t>
      </w:r>
      <w:r w:rsidR="00BE220A">
        <w:t>ОВ</w:t>
      </w:r>
      <w:r w:rsidR="00D833F8">
        <w:t>, чем при лечении сунитинибом.</w:t>
      </w:r>
    </w:p>
    <w:p w14:paraId="0F464F62" w14:textId="340C40CD" w:rsidR="00D833F8" w:rsidRDefault="00181B0F" w:rsidP="00B80C34">
      <w:pPr>
        <w:ind w:firstLine="709"/>
      </w:pPr>
      <w:r>
        <w:t>П</w:t>
      </w:r>
      <w:r w:rsidR="00D833F8">
        <w:t>ри изучении безопасности был сделан вывод, что лечение ленватинибом сопровождается</w:t>
      </w:r>
      <w:r w:rsidR="00DC43E0">
        <w:t xml:space="preserve"> целым рядом побочных реакций. Однако, л</w:t>
      </w:r>
      <w:r w:rsidR="00D833F8">
        <w:t xml:space="preserve">енватиниб является препаратом с управляемым профилем безопасности. </w:t>
      </w:r>
      <w:r w:rsidR="00971445">
        <w:t xml:space="preserve">На случай развития </w:t>
      </w:r>
      <w:r w:rsidR="00D833F8">
        <w:t xml:space="preserve">побочных реакций </w:t>
      </w:r>
      <w:r w:rsidR="00643975">
        <w:t>и непереносимой т</w:t>
      </w:r>
      <w:r w:rsidR="002C0E7A">
        <w:t>о</w:t>
      </w:r>
      <w:r w:rsidR="00643975">
        <w:t xml:space="preserve">ксичности </w:t>
      </w:r>
      <w:r w:rsidR="00D833F8">
        <w:t>разработаны схемы к</w:t>
      </w:r>
      <w:r w:rsidR="00D833F8" w:rsidRPr="00F95846">
        <w:t>оррекци</w:t>
      </w:r>
      <w:r w:rsidR="00FB0A5B">
        <w:t>и</w:t>
      </w:r>
      <w:r w:rsidR="00D833F8" w:rsidRPr="00F95846">
        <w:t xml:space="preserve"> дозы при нежелательных реакциях</w:t>
      </w:r>
      <w:r w:rsidR="00D833F8">
        <w:t xml:space="preserve"> для всех показаний препарата, а также разработаны режимы модификации дозы при различных</w:t>
      </w:r>
      <w:r w:rsidR="00D00731">
        <w:t>, связанных с приемом препарата</w:t>
      </w:r>
      <w:r w:rsidR="00D833F8">
        <w:t xml:space="preserve"> состояниях (артериальная гипертензия, диарея, сердечная недостаточность, гепатотоксичность).</w:t>
      </w:r>
    </w:p>
    <w:p w14:paraId="39BD070D" w14:textId="752481B2" w:rsidR="00D833F8" w:rsidRPr="00F10AF6" w:rsidRDefault="00D833F8" w:rsidP="00B80C34">
      <w:pPr>
        <w:ind w:firstLine="709"/>
      </w:pPr>
      <w:r w:rsidRPr="00F10AF6">
        <w:t xml:space="preserve">С учетом медицинской, клинико-эпидемиологической и социально-экономической значимости лечения дифференцированного </w:t>
      </w:r>
      <w:r w:rsidR="00E41D89" w:rsidRPr="00F10AF6">
        <w:t>РЩЖ</w:t>
      </w:r>
      <w:r w:rsidRPr="00F10AF6">
        <w:t xml:space="preserve">, </w:t>
      </w:r>
      <w:r w:rsidR="00E41D89" w:rsidRPr="00F10AF6">
        <w:t>ГЦК</w:t>
      </w:r>
      <w:r w:rsidRPr="00F10AF6">
        <w:t xml:space="preserve">, </w:t>
      </w:r>
      <w:r w:rsidR="00E41D89" w:rsidRPr="00F10AF6">
        <w:t>ПКР</w:t>
      </w:r>
      <w:r w:rsidRPr="00F10AF6">
        <w:t xml:space="preserve"> и</w:t>
      </w:r>
      <w:r w:rsidR="00E41D89" w:rsidRPr="00F10AF6">
        <w:t xml:space="preserve"> РЭ</w:t>
      </w:r>
      <w:r w:rsidRPr="00F10AF6">
        <w:t xml:space="preserve">, регистрация нового </w:t>
      </w:r>
      <w:r w:rsidRPr="00F10AF6">
        <w:lastRenderedPageBreak/>
        <w:t xml:space="preserve">отечественного воспроизведенного лекарственного препарата </w:t>
      </w:r>
      <w:bookmarkStart w:id="13" w:name="_Hlk118147416"/>
      <w:r w:rsidR="004053F2" w:rsidRPr="00F10AF6">
        <w:rPr>
          <w:lang w:eastAsia="ru-RU"/>
        </w:rPr>
        <w:t>DT-LNV</w:t>
      </w:r>
      <w:r w:rsidRPr="00F10AF6">
        <w:t xml:space="preserve"> (МНН: </w:t>
      </w:r>
      <w:r w:rsidRPr="00F10AF6">
        <w:rPr>
          <w:bCs/>
          <w:color w:val="000000" w:themeColor="text1"/>
        </w:rPr>
        <w:t>ленватиниб)</w:t>
      </w:r>
      <w:r w:rsidRPr="00F10AF6">
        <w:t xml:space="preserve">, </w:t>
      </w:r>
      <w:bookmarkStart w:id="14" w:name="_Hlk118147450"/>
      <w:bookmarkEnd w:id="13"/>
      <w:r w:rsidRPr="00F10AF6">
        <w:t xml:space="preserve">капсулы 4 мг, 10 мг </w:t>
      </w:r>
      <w:bookmarkEnd w:id="14"/>
      <w:r w:rsidRPr="00F10AF6">
        <w:t>(производитель: АО «Р-Фарм», Россия), позволит снизить высокую стоимость противоопухолевых препаратов нового поколения и сделает доступным лечение большему количеству онкологических пациентов.</w:t>
      </w:r>
    </w:p>
    <w:p w14:paraId="36A2F018" w14:textId="79BC970A" w:rsidR="00606FC4" w:rsidRPr="00A4074B" w:rsidRDefault="00606FC4" w:rsidP="00B80C34">
      <w:pPr>
        <w:ind w:firstLine="709"/>
        <w:rPr>
          <w:bCs/>
          <w:color w:val="FF0000"/>
          <w:lang w:eastAsia="ru-RU"/>
        </w:rPr>
      </w:pPr>
      <w:r w:rsidRPr="00F10AF6">
        <w:rPr>
          <w:bCs/>
          <w:lang w:val="en-US" w:eastAsia="ru-RU"/>
        </w:rPr>
        <w:t>D</w:t>
      </w:r>
      <w:r w:rsidRPr="00F10AF6">
        <w:rPr>
          <w:lang w:val="en-US"/>
        </w:rPr>
        <w:t>T</w:t>
      </w:r>
      <w:r w:rsidRPr="00F10AF6">
        <w:t>-</w:t>
      </w:r>
      <w:r w:rsidRPr="00F10AF6">
        <w:rPr>
          <w:lang w:val="en-US"/>
        </w:rPr>
        <w:t>LNV</w:t>
      </w:r>
      <w:r w:rsidRPr="00F10AF6">
        <w:rPr>
          <w:bCs/>
          <w:lang w:eastAsia="ru-RU"/>
        </w:rPr>
        <w:t xml:space="preserve">, капсулы 4 мг и 10 мг, - воспроизведенный препарат ленватинба, разработанный дочерним подразделением ГК «Р-Фарм», Россия – </w:t>
      </w:r>
      <w:r w:rsidR="00087A74" w:rsidRPr="00F10AF6">
        <w:rPr>
          <w:bCs/>
          <w:lang w:eastAsia="ru-RU"/>
        </w:rPr>
        <w:t xml:space="preserve">ООО «Технология лекарств», </w:t>
      </w:r>
      <w:r w:rsidRPr="00F10AF6">
        <w:rPr>
          <w:bCs/>
          <w:lang w:eastAsia="ru-RU"/>
        </w:rPr>
        <w:t xml:space="preserve"> по заказу АО «Р-Фарм». Он полностью соответствует по качественному и количе</w:t>
      </w:r>
      <w:r w:rsidR="00E778B9">
        <w:rPr>
          <w:bCs/>
          <w:lang w:eastAsia="ru-RU"/>
        </w:rPr>
        <w:t xml:space="preserve">ственному составу действующего и </w:t>
      </w:r>
      <w:r w:rsidRPr="00F10AF6">
        <w:rPr>
          <w:bCs/>
          <w:lang w:eastAsia="ru-RU"/>
        </w:rPr>
        <w:t>вспомогательных веществ, лекарственной форме (капсулы) и планируемым к выпуску дозировкам (4 мг и 10 мг) референтному препарату Ленвима</w:t>
      </w:r>
      <w:r w:rsidRPr="00F10AF6">
        <w:rPr>
          <w:bCs/>
          <w:vertAlign w:val="superscript"/>
          <w:lang w:eastAsia="ru-RU"/>
        </w:rPr>
        <w:t>®</w:t>
      </w:r>
      <w:r w:rsidRPr="00F10AF6">
        <w:rPr>
          <w:bCs/>
          <w:lang w:eastAsia="ru-RU"/>
        </w:rPr>
        <w:t xml:space="preserve"> (МНН: ленватиниб), капсулы 4 мг и10 мг (владелец РУ: Эйсай Юроп Лимитед, Соединенное Королевство).</w:t>
      </w:r>
      <w:r w:rsidRPr="00F10AF6">
        <w:t xml:space="preserve"> </w:t>
      </w:r>
      <w:r w:rsidR="00A4074B" w:rsidRPr="00F10AF6">
        <w:t xml:space="preserve">Для доказательства эквивалентности препарата </w:t>
      </w:r>
      <w:r w:rsidR="00A4074B" w:rsidRPr="00F10AF6">
        <w:rPr>
          <w:bCs/>
          <w:lang w:val="en-US" w:eastAsia="ru-RU"/>
        </w:rPr>
        <w:t>D</w:t>
      </w:r>
      <w:r w:rsidR="00A4074B" w:rsidRPr="00F10AF6">
        <w:rPr>
          <w:lang w:val="en-US"/>
        </w:rPr>
        <w:t>T</w:t>
      </w:r>
      <w:r w:rsidR="00A4074B" w:rsidRPr="00F10AF6">
        <w:t>-</w:t>
      </w:r>
      <w:r w:rsidR="00A4074B" w:rsidRPr="00F10AF6">
        <w:rPr>
          <w:lang w:val="en-US"/>
        </w:rPr>
        <w:t>LNV</w:t>
      </w:r>
      <w:r w:rsidR="00A4074B" w:rsidRPr="00F10AF6">
        <w:t xml:space="preserve"> были проведены исследования сравнительной кинетики растворения в сравнении с референтным препаратом </w:t>
      </w:r>
      <w:r w:rsidR="00A4074B" w:rsidRPr="00F10AF6">
        <w:rPr>
          <w:lang w:eastAsia="ru-RU"/>
        </w:rPr>
        <w:t>Ленвима</w:t>
      </w:r>
      <w:r w:rsidR="00A4074B" w:rsidRPr="00F10AF6">
        <w:rPr>
          <w:vertAlign w:val="superscript"/>
          <w:lang w:eastAsia="ru-RU"/>
        </w:rPr>
        <w:t>®</w:t>
      </w:r>
      <w:r w:rsidR="00A4074B" w:rsidRPr="00F10AF6">
        <w:rPr>
          <w:rFonts w:eastAsia="Calibri"/>
        </w:rPr>
        <w:t xml:space="preserve"> </w:t>
      </w:r>
      <w:r w:rsidR="00A4074B" w:rsidRPr="00F10AF6">
        <w:t>(</w:t>
      </w:r>
      <w:r w:rsidR="00A4074B" w:rsidRPr="00F10AF6">
        <w:rPr>
          <w:bCs/>
          <w:lang w:eastAsia="ru-RU"/>
        </w:rPr>
        <w:t>Эйсай Юроп Лимитед, Соединенное Королевство</w:t>
      </w:r>
      <w:r w:rsidR="00A4074B" w:rsidRPr="00F10AF6">
        <w:t>)</w:t>
      </w:r>
      <w:r w:rsidR="00A4074B" w:rsidRPr="00F10AF6">
        <w:rPr>
          <w:rFonts w:eastAsiaTheme="minorHAnsi"/>
          <w:lang w:eastAsia="en-US"/>
        </w:rPr>
        <w:t xml:space="preserve"> в дозировках 4 мг и 1</w:t>
      </w:r>
      <w:r w:rsidR="00A4074B" w:rsidRPr="00F10AF6">
        <w:rPr>
          <w:rFonts w:eastAsiaTheme="minorHAnsi"/>
        </w:rPr>
        <w:t>0</w:t>
      </w:r>
      <w:r w:rsidR="00A4074B" w:rsidRPr="00F10AF6">
        <w:rPr>
          <w:rFonts w:eastAsiaTheme="minorHAnsi"/>
          <w:lang w:eastAsia="en-US"/>
        </w:rPr>
        <w:t xml:space="preserve"> мг </w:t>
      </w:r>
      <w:r w:rsidR="00A4074B" w:rsidRPr="00F10AF6">
        <w:t xml:space="preserve">(в </w:t>
      </w:r>
      <w:r w:rsidR="00F10AF6" w:rsidRPr="00F10AF6">
        <w:t>двух</w:t>
      </w:r>
      <w:r w:rsidR="00A4074B" w:rsidRPr="00F10AF6">
        <w:t xml:space="preserve"> модельных средах: </w:t>
      </w:r>
      <w:r w:rsidR="00A4074B" w:rsidRPr="00F10AF6">
        <w:rPr>
          <w:spacing w:val="-4"/>
        </w:rPr>
        <w:t>буферны</w:t>
      </w:r>
      <w:r w:rsidR="00DC43E0">
        <w:rPr>
          <w:spacing w:val="-4"/>
        </w:rPr>
        <w:t>е</w:t>
      </w:r>
      <w:r w:rsidR="00A4074B" w:rsidRPr="00F10AF6">
        <w:rPr>
          <w:spacing w:val="-4"/>
        </w:rPr>
        <w:t xml:space="preserve"> раствор</w:t>
      </w:r>
      <w:r w:rsidR="00DC43E0">
        <w:rPr>
          <w:spacing w:val="-4"/>
        </w:rPr>
        <w:t>ы</w:t>
      </w:r>
      <w:r w:rsidR="00A4074B" w:rsidRPr="00F10AF6">
        <w:t xml:space="preserve"> с рН 4,5 и 6,8, а также </w:t>
      </w:r>
      <w:r w:rsidR="00A4074B" w:rsidRPr="00F10AF6">
        <w:rPr>
          <w:color w:val="000000" w:themeColor="text1"/>
        </w:rPr>
        <w:t>в среде по НД (</w:t>
      </w:r>
      <w:r w:rsidR="00A4074B" w:rsidRPr="00F10AF6">
        <w:rPr>
          <w:spacing w:val="-4"/>
        </w:rPr>
        <w:t>0,1 М раствор хлороводородной кислоты</w:t>
      </w:r>
      <w:r w:rsidR="00A4074B" w:rsidRPr="00F10AF6">
        <w:rPr>
          <w:color w:val="000000" w:themeColor="text1"/>
        </w:rPr>
        <w:t xml:space="preserve">). Согласно полученным данным, кинетика растворения </w:t>
      </w:r>
      <w:r w:rsidR="00A4074B" w:rsidRPr="00F10AF6">
        <w:rPr>
          <w:bCs/>
          <w:lang w:val="en-US" w:eastAsia="ru-RU"/>
        </w:rPr>
        <w:t>D</w:t>
      </w:r>
      <w:r w:rsidR="00A4074B" w:rsidRPr="00F10AF6">
        <w:rPr>
          <w:lang w:val="en-US"/>
        </w:rPr>
        <w:t>T</w:t>
      </w:r>
      <w:r w:rsidR="00A4074B" w:rsidRPr="00F10AF6">
        <w:t>-</w:t>
      </w:r>
      <w:r w:rsidR="00A4074B" w:rsidRPr="00F10AF6">
        <w:rPr>
          <w:lang w:val="en-US"/>
        </w:rPr>
        <w:t>LNV</w:t>
      </w:r>
      <w:r w:rsidR="00A4074B" w:rsidRPr="00F10AF6">
        <w:rPr>
          <w:color w:val="000000" w:themeColor="text1"/>
        </w:rPr>
        <w:t xml:space="preserve"> эквивалентна кинетике растворения референтного препарата </w:t>
      </w:r>
      <w:r w:rsidR="00A4074B" w:rsidRPr="00F10AF6">
        <w:rPr>
          <w:lang w:eastAsia="ru-RU"/>
        </w:rPr>
        <w:t>Ленвима</w:t>
      </w:r>
      <w:r w:rsidR="00A4074B" w:rsidRPr="00F10AF6">
        <w:rPr>
          <w:vertAlign w:val="superscript"/>
          <w:lang w:eastAsia="ru-RU"/>
        </w:rPr>
        <w:t>®</w:t>
      </w:r>
      <w:r w:rsidR="00DC43E0">
        <w:rPr>
          <w:lang w:eastAsia="ru-RU"/>
        </w:rPr>
        <w:t xml:space="preserve"> в обеих дозировках</w:t>
      </w:r>
      <w:r w:rsidR="00A4074B" w:rsidRPr="00F10AF6">
        <w:rPr>
          <w:rFonts w:eastAsia="Calibri"/>
        </w:rPr>
        <w:t xml:space="preserve">, </w:t>
      </w:r>
      <w:r w:rsidR="00A4074B" w:rsidRPr="00F10AF6">
        <w:rPr>
          <w:color w:val="000000" w:themeColor="text1"/>
        </w:rPr>
        <w:t>что позволяет предполагать также эквивалентность фармакологических свойств обоих препаратов.</w:t>
      </w:r>
    </w:p>
    <w:p w14:paraId="23E1911A" w14:textId="1A6AF188" w:rsidR="00606FC4" w:rsidRDefault="00606FC4" w:rsidP="00B80C34">
      <w:pPr>
        <w:ind w:firstLine="709"/>
        <w:rPr>
          <w:bCs/>
          <w:lang w:eastAsia="ru-RU"/>
        </w:rPr>
      </w:pPr>
      <w:r w:rsidRPr="00855C22">
        <w:rPr>
          <w:bCs/>
          <w:lang w:eastAsia="ru-RU"/>
        </w:rPr>
        <w:t>Внедрение в клиническую практику нового во</w:t>
      </w:r>
      <w:r>
        <w:rPr>
          <w:bCs/>
          <w:lang w:eastAsia="ru-RU"/>
        </w:rPr>
        <w:t xml:space="preserve">спроизведенного препарата </w:t>
      </w:r>
      <w:r w:rsidR="00A4074B">
        <w:rPr>
          <w:bCs/>
          <w:lang w:eastAsia="ru-RU"/>
        </w:rPr>
        <w:t xml:space="preserve">ленватиниба </w:t>
      </w:r>
      <w:r w:rsidRPr="00855C22">
        <w:rPr>
          <w:bCs/>
          <w:lang w:eastAsia="ru-RU"/>
        </w:rPr>
        <w:t>позволит снизить цену современной комбинированной терапии онкологических заболеваний.</w:t>
      </w:r>
    </w:p>
    <w:p w14:paraId="403C7D5E" w14:textId="1BF7F1AE" w:rsidR="00E34B52" w:rsidRDefault="00E34B52">
      <w:pPr>
        <w:rPr>
          <w:lang w:eastAsia="ru-RU"/>
        </w:rPr>
      </w:pPr>
      <w:r>
        <w:rPr>
          <w:lang w:eastAsia="ru-RU"/>
        </w:rPr>
        <w:br w:type="page"/>
      </w:r>
    </w:p>
    <w:p w14:paraId="04CA1F37" w14:textId="77777777" w:rsidR="00295007" w:rsidRPr="005E6358" w:rsidRDefault="00295007" w:rsidP="00295007">
      <w:pPr>
        <w:pStyle w:val="12"/>
        <w:tabs>
          <w:tab w:val="left" w:pos="142"/>
          <w:tab w:val="left" w:pos="284"/>
        </w:tabs>
        <w:spacing w:line="240" w:lineRule="auto"/>
        <w:rPr>
          <w:rFonts w:cs="Times New Roman"/>
          <w:color w:val="000000" w:themeColor="text1"/>
          <w:szCs w:val="24"/>
        </w:rPr>
      </w:pPr>
      <w:bookmarkStart w:id="15" w:name="_Toc415001065"/>
      <w:bookmarkStart w:id="16" w:name="_Toc126059681"/>
      <w:r w:rsidRPr="005E6358">
        <w:rPr>
          <w:rFonts w:cs="Times New Roman"/>
          <w:color w:val="000000" w:themeColor="text1"/>
          <w:szCs w:val="24"/>
        </w:rPr>
        <w:lastRenderedPageBreak/>
        <w:t>1. ВВЕДЕНИЕ</w:t>
      </w:r>
      <w:bookmarkEnd w:id="15"/>
      <w:bookmarkEnd w:id="16"/>
    </w:p>
    <w:p w14:paraId="4B9C211F" w14:textId="77777777" w:rsidR="00F10AF6" w:rsidRPr="00F10AF6" w:rsidRDefault="00295007" w:rsidP="00F10AF6">
      <w:pPr>
        <w:pStyle w:val="2"/>
        <w:spacing w:line="240" w:lineRule="auto"/>
        <w:rPr>
          <w:color w:val="000000" w:themeColor="text1"/>
          <w:szCs w:val="24"/>
        </w:rPr>
      </w:pPr>
      <w:bookmarkStart w:id="17" w:name="_Toc415001066"/>
      <w:bookmarkStart w:id="18" w:name="_Toc126059682"/>
      <w:r w:rsidRPr="00F10AF6">
        <w:rPr>
          <w:color w:val="000000" w:themeColor="text1"/>
          <w:szCs w:val="24"/>
        </w:rPr>
        <w:t>1.1. Химическое название</w:t>
      </w:r>
      <w:bookmarkEnd w:id="17"/>
      <w:bookmarkEnd w:id="18"/>
      <w:r w:rsidR="00620CB1" w:rsidRPr="00F10AF6">
        <w:rPr>
          <w:color w:val="000000" w:themeColor="text1"/>
          <w:szCs w:val="24"/>
        </w:rPr>
        <w:t xml:space="preserve"> </w:t>
      </w:r>
    </w:p>
    <w:p w14:paraId="591C2CD0" w14:textId="7DD99403" w:rsidR="00295007" w:rsidRPr="00F10AF6" w:rsidRDefault="00B45C3A" w:rsidP="00F10AF6">
      <w:pPr>
        <w:pStyle w:val="OT"/>
        <w:ind w:firstLine="709"/>
        <w:rPr>
          <w:sz w:val="24"/>
          <w:szCs w:val="24"/>
        </w:rPr>
      </w:pPr>
      <w:r w:rsidRPr="00B45C3A">
        <w:rPr>
          <w:sz w:val="24"/>
          <w:szCs w:val="24"/>
        </w:rPr>
        <w:t xml:space="preserve">4-[3-хлор-4-(N’-циклопропилуреидо)фенокси]-7-метоксихинолин-6-карбоксамид </w:t>
      </w:r>
      <w:r w:rsidRPr="00F10AF6">
        <w:rPr>
          <w:sz w:val="24"/>
          <w:szCs w:val="24"/>
        </w:rPr>
        <w:t>метансульфонат</w:t>
      </w:r>
      <w:r w:rsidR="000B6428" w:rsidRPr="00F10AF6">
        <w:rPr>
          <w:bCs/>
          <w:color w:val="000000" w:themeColor="text1"/>
          <w:szCs w:val="24"/>
        </w:rPr>
        <w:t>.</w:t>
      </w:r>
    </w:p>
    <w:p w14:paraId="08A0EE16" w14:textId="3BEF0A3B" w:rsidR="00F10AF6" w:rsidRDefault="00295007" w:rsidP="00B1014A">
      <w:pPr>
        <w:pStyle w:val="2"/>
        <w:spacing w:line="240" w:lineRule="auto"/>
        <w:rPr>
          <w:color w:val="000000" w:themeColor="text1"/>
          <w:szCs w:val="24"/>
        </w:rPr>
      </w:pPr>
      <w:bookmarkStart w:id="19" w:name="_Toc415001067"/>
      <w:bookmarkStart w:id="20" w:name="_Toc126059683"/>
      <w:r w:rsidRPr="005E6358">
        <w:rPr>
          <w:color w:val="000000" w:themeColor="text1"/>
          <w:szCs w:val="24"/>
        </w:rPr>
        <w:t>1.2. Международное непатентованное</w:t>
      </w:r>
      <w:bookmarkEnd w:id="19"/>
      <w:r w:rsidR="00F10AF6">
        <w:rPr>
          <w:color w:val="000000" w:themeColor="text1"/>
          <w:szCs w:val="24"/>
        </w:rPr>
        <w:t xml:space="preserve"> название</w:t>
      </w:r>
      <w:bookmarkEnd w:id="20"/>
    </w:p>
    <w:p w14:paraId="36BB3476" w14:textId="731E4CA9" w:rsidR="00B1014A" w:rsidRPr="005134CB" w:rsidRDefault="00F10AF6" w:rsidP="00F10AF6">
      <w:pPr>
        <w:ind w:firstLine="709"/>
      </w:pPr>
      <w:r>
        <w:t>Л</w:t>
      </w:r>
      <w:r w:rsidR="005134CB" w:rsidRPr="005134CB">
        <w:t>енватиниб</w:t>
      </w:r>
      <w:r w:rsidR="00430273" w:rsidRPr="001C1B91">
        <w:t>.</w:t>
      </w:r>
    </w:p>
    <w:p w14:paraId="1DD19841" w14:textId="77777777" w:rsidR="003A39DF" w:rsidRDefault="003A39DF" w:rsidP="003A39DF">
      <w:pPr>
        <w:pStyle w:val="2"/>
        <w:spacing w:line="240" w:lineRule="auto"/>
        <w:rPr>
          <w:color w:val="000000" w:themeColor="text1"/>
          <w:szCs w:val="24"/>
        </w:rPr>
      </w:pPr>
      <w:bookmarkStart w:id="21" w:name="_Toc415001068"/>
      <w:bookmarkStart w:id="22" w:name="_Toc415001069"/>
      <w:bookmarkStart w:id="23" w:name="_Toc126059684"/>
      <w:r>
        <w:rPr>
          <w:color w:val="000000" w:themeColor="text1"/>
          <w:szCs w:val="24"/>
        </w:rPr>
        <w:t>1.3. Торговое название</w:t>
      </w:r>
      <w:bookmarkEnd w:id="21"/>
      <w:bookmarkEnd w:id="23"/>
    </w:p>
    <w:p w14:paraId="0CCAC378" w14:textId="4954B72B" w:rsidR="003A39DF" w:rsidRPr="00F10AF6" w:rsidRDefault="003A39DF" w:rsidP="00F10AF6">
      <w:pPr>
        <w:pStyle w:val="af3"/>
        <w:ind w:left="709"/>
        <w:rPr>
          <w:lang w:eastAsia="ru-RU"/>
        </w:rPr>
      </w:pPr>
      <w:r w:rsidRPr="00F10AF6">
        <w:rPr>
          <w:lang w:eastAsia="ru-RU"/>
        </w:rPr>
        <w:t xml:space="preserve">Торговое наименование – </w:t>
      </w:r>
      <w:r w:rsidR="00F10AF6" w:rsidRPr="00F10AF6">
        <w:rPr>
          <w:lang w:eastAsia="ru-RU"/>
        </w:rPr>
        <w:t>ЛЕНВАТИНИБ</w:t>
      </w:r>
    </w:p>
    <w:p w14:paraId="5203BB98" w14:textId="370C0FA5" w:rsidR="00F10AF6" w:rsidRPr="00F10AF6" w:rsidRDefault="00F10AF6" w:rsidP="00F10AF6">
      <w:pPr>
        <w:pStyle w:val="af3"/>
        <w:ind w:left="709"/>
      </w:pPr>
      <w:r w:rsidRPr="00F10AF6">
        <w:t xml:space="preserve">Внутренний код продукта – </w:t>
      </w:r>
      <w:r w:rsidRPr="00F10AF6">
        <w:rPr>
          <w:lang w:eastAsia="ru-RU"/>
        </w:rPr>
        <w:t>DT-LNV</w:t>
      </w:r>
    </w:p>
    <w:p w14:paraId="59B97B81" w14:textId="08CE9D67" w:rsidR="003A39DF" w:rsidRPr="00F10AF6" w:rsidRDefault="00F10AF6" w:rsidP="00F10AF6">
      <w:pPr>
        <w:ind w:left="709"/>
      </w:pPr>
      <w:r w:rsidRPr="00F10AF6">
        <w:t>К</w:t>
      </w:r>
      <w:r w:rsidR="003A39DF" w:rsidRPr="00F10AF6">
        <w:t>од продукта –</w:t>
      </w:r>
      <w:r w:rsidR="00456CD5">
        <w:t xml:space="preserve"> </w:t>
      </w:r>
      <w:r w:rsidR="004053F2" w:rsidRPr="00F10AF6">
        <w:rPr>
          <w:lang w:eastAsia="ru-RU"/>
        </w:rPr>
        <w:t>L01105</w:t>
      </w:r>
      <w:r w:rsidRPr="00F10AF6">
        <w:rPr>
          <w:lang w:eastAsia="ru-RU"/>
        </w:rPr>
        <w:t>.</w:t>
      </w:r>
    </w:p>
    <w:p w14:paraId="6CB1AFD8" w14:textId="77777777" w:rsidR="00295007" w:rsidRPr="005E6358" w:rsidRDefault="00295007" w:rsidP="00295007">
      <w:pPr>
        <w:pStyle w:val="2"/>
        <w:spacing w:line="240" w:lineRule="auto"/>
        <w:rPr>
          <w:color w:val="000000" w:themeColor="text1"/>
          <w:szCs w:val="24"/>
        </w:rPr>
      </w:pPr>
      <w:bookmarkStart w:id="24" w:name="_Toc126059685"/>
      <w:r w:rsidRPr="005E6358">
        <w:rPr>
          <w:color w:val="000000" w:themeColor="text1"/>
          <w:szCs w:val="24"/>
        </w:rPr>
        <w:t>1.4. Активные ингредиенты</w:t>
      </w:r>
      <w:bookmarkEnd w:id="22"/>
      <w:bookmarkEnd w:id="24"/>
    </w:p>
    <w:p w14:paraId="77B3EAA0" w14:textId="4082269F" w:rsidR="00295007" w:rsidRPr="008A360D" w:rsidRDefault="00F10AF6" w:rsidP="00F10AF6">
      <w:pPr>
        <w:pStyle w:val="af3"/>
        <w:ind w:left="709"/>
      </w:pPr>
      <w:r w:rsidRPr="00DE0DBC">
        <w:rPr>
          <w:color w:val="000000" w:themeColor="text1"/>
        </w:rPr>
        <w:t xml:space="preserve">Действующее вещество - </w:t>
      </w:r>
      <w:r w:rsidR="00456CD5">
        <w:t>ленватиниб</w:t>
      </w:r>
      <w:r w:rsidR="00430273" w:rsidRPr="00430273">
        <w:rPr>
          <w:color w:val="000000" w:themeColor="text1"/>
        </w:rPr>
        <w:t>.</w:t>
      </w:r>
    </w:p>
    <w:p w14:paraId="4C3CF163" w14:textId="0D91108F" w:rsidR="00295007" w:rsidRDefault="00295007" w:rsidP="00295007">
      <w:pPr>
        <w:pStyle w:val="2"/>
        <w:spacing w:line="240" w:lineRule="auto"/>
        <w:rPr>
          <w:color w:val="000000" w:themeColor="text1"/>
          <w:szCs w:val="24"/>
        </w:rPr>
      </w:pPr>
      <w:bookmarkStart w:id="25" w:name="_Toc415001070"/>
      <w:bookmarkStart w:id="26" w:name="_Toc126059686"/>
      <w:r w:rsidRPr="005E6358">
        <w:rPr>
          <w:color w:val="000000" w:themeColor="text1"/>
          <w:szCs w:val="24"/>
        </w:rPr>
        <w:t>1.5. Фармакологическая группа</w:t>
      </w:r>
      <w:bookmarkEnd w:id="25"/>
      <w:bookmarkEnd w:id="26"/>
    </w:p>
    <w:p w14:paraId="11350536" w14:textId="7B272617" w:rsidR="00F10AF6" w:rsidRPr="00F10AF6" w:rsidRDefault="001B316B" w:rsidP="001B316B">
      <w:pPr>
        <w:ind w:firstLine="709"/>
      </w:pPr>
      <w:r>
        <w:t>Противоопухолевые препараты. Ингибиторы протеинкиназы. Прочие ингибиторы протеинкиназы.</w:t>
      </w:r>
    </w:p>
    <w:p w14:paraId="49939295" w14:textId="77777777" w:rsidR="00F10AF6" w:rsidRDefault="00295007" w:rsidP="00295007">
      <w:pPr>
        <w:pStyle w:val="2"/>
        <w:spacing w:line="240" w:lineRule="auto"/>
        <w:rPr>
          <w:color w:val="000000" w:themeColor="text1"/>
          <w:szCs w:val="24"/>
        </w:rPr>
      </w:pPr>
      <w:bookmarkStart w:id="27" w:name="_Toc415001071"/>
      <w:bookmarkStart w:id="28" w:name="_Toc126059687"/>
      <w:r w:rsidRPr="005E6358">
        <w:rPr>
          <w:color w:val="000000" w:themeColor="text1"/>
          <w:szCs w:val="24"/>
        </w:rPr>
        <w:t>1.6. Код по АТХ</w:t>
      </w:r>
      <w:bookmarkEnd w:id="27"/>
      <w:bookmarkEnd w:id="28"/>
    </w:p>
    <w:p w14:paraId="3A872AA9" w14:textId="43A5C56C" w:rsidR="00295007" w:rsidRPr="00040004" w:rsidRDefault="00040004" w:rsidP="00F10AF6">
      <w:pPr>
        <w:ind w:left="709"/>
        <w:rPr>
          <w:color w:val="000000" w:themeColor="text1"/>
        </w:rPr>
      </w:pPr>
      <w:r w:rsidRPr="00040004">
        <w:t>L01EX08</w:t>
      </w:r>
    </w:p>
    <w:p w14:paraId="37B5979B" w14:textId="77777777" w:rsidR="00295007" w:rsidRPr="005E6358" w:rsidRDefault="00295007" w:rsidP="00295007">
      <w:pPr>
        <w:pStyle w:val="2"/>
        <w:numPr>
          <w:ilvl w:val="1"/>
          <w:numId w:val="1"/>
        </w:numPr>
        <w:tabs>
          <w:tab w:val="left" w:pos="284"/>
          <w:tab w:val="left" w:pos="426"/>
        </w:tabs>
        <w:spacing w:line="240" w:lineRule="auto"/>
        <w:ind w:left="0" w:firstLine="0"/>
        <w:rPr>
          <w:color w:val="000000" w:themeColor="text1"/>
          <w:szCs w:val="24"/>
        </w:rPr>
      </w:pPr>
      <w:bookmarkStart w:id="29" w:name="_Toc415001072"/>
      <w:bookmarkStart w:id="30" w:name="_Toc126059688"/>
      <w:r w:rsidRPr="005E6358">
        <w:rPr>
          <w:color w:val="000000" w:themeColor="text1"/>
          <w:szCs w:val="24"/>
        </w:rPr>
        <w:t>Обоснование для изучения исследуемого препарата</w:t>
      </w:r>
      <w:bookmarkEnd w:id="29"/>
      <w:bookmarkEnd w:id="30"/>
    </w:p>
    <w:p w14:paraId="4C85EDF3" w14:textId="1723DBF8" w:rsidR="00295007" w:rsidRDefault="00295007" w:rsidP="001B316B">
      <w:pPr>
        <w:pStyle w:val="3"/>
        <w:numPr>
          <w:ilvl w:val="2"/>
          <w:numId w:val="1"/>
        </w:numPr>
        <w:spacing w:after="240"/>
        <w:ind w:left="426" w:hanging="426"/>
        <w:rPr>
          <w:rFonts w:ascii="Times New Roman" w:hAnsi="Times New Roman"/>
          <w:color w:val="000000" w:themeColor="text1"/>
          <w:szCs w:val="24"/>
        </w:rPr>
      </w:pPr>
      <w:bookmarkStart w:id="31" w:name="_Toc126059689"/>
      <w:r w:rsidRPr="005E6358">
        <w:rPr>
          <w:rFonts w:ascii="Times New Roman" w:hAnsi="Times New Roman"/>
          <w:color w:val="000000" w:themeColor="text1"/>
          <w:szCs w:val="24"/>
        </w:rPr>
        <w:t>Общие сведения о заболевании</w:t>
      </w:r>
      <w:bookmarkEnd w:id="31"/>
    </w:p>
    <w:p w14:paraId="0ED9AC44" w14:textId="7C2ED5FB" w:rsidR="00485FC8" w:rsidRDefault="00485FC8" w:rsidP="00B80C34">
      <w:pPr>
        <w:ind w:firstLine="709"/>
      </w:pPr>
      <w:r>
        <w:t xml:space="preserve">В 2020 году </w:t>
      </w:r>
      <w:r w:rsidR="00DA6042">
        <w:t>в</w:t>
      </w:r>
      <w:r>
        <w:t xml:space="preserve">о всем мире </w:t>
      </w:r>
      <w:r w:rsidR="00DA6042">
        <w:t xml:space="preserve">было зарегистрировано </w:t>
      </w:r>
      <w:r>
        <w:t>около 19,3 млн.</w:t>
      </w:r>
      <w:r w:rsidR="00DA6042">
        <w:t xml:space="preserve"> </w:t>
      </w:r>
      <w:r>
        <w:t>новых случаев рака (18,1 млн без учета немеланомного рака кожи) и почти 10,0</w:t>
      </w:r>
      <w:r w:rsidR="00DA6042">
        <w:t xml:space="preserve"> </w:t>
      </w:r>
      <w:r>
        <w:t>миллионов смертей от рака (9,9 миллиона без учета немеланомного рака кожи)</w:t>
      </w:r>
      <w:r w:rsidR="00DA6042">
        <w:t xml:space="preserve">. </w:t>
      </w:r>
      <w:r w:rsidR="003248DC">
        <w:t>О</w:t>
      </w:r>
      <w:r w:rsidR="003248DC" w:rsidRPr="003248DC">
        <w:t xml:space="preserve">жидается, что </w:t>
      </w:r>
      <w:r w:rsidR="00971445">
        <w:t>число зарегистрированных случаев в</w:t>
      </w:r>
      <w:r w:rsidR="00971445" w:rsidRPr="003248DC">
        <w:t xml:space="preserve"> </w:t>
      </w:r>
      <w:r w:rsidR="003248DC" w:rsidRPr="003248DC">
        <w:t xml:space="preserve">2040 году </w:t>
      </w:r>
      <w:r w:rsidR="00971445">
        <w:t>составит</w:t>
      </w:r>
      <w:r w:rsidR="00971445" w:rsidRPr="003248DC">
        <w:t xml:space="preserve"> </w:t>
      </w:r>
      <w:r w:rsidR="003248DC" w:rsidRPr="003248DC">
        <w:t>28,4 миллиона, что на 47% больше, чем в 2020 году</w:t>
      </w:r>
      <w:r w:rsidR="002A0E06">
        <w:t xml:space="preserve"> </w:t>
      </w:r>
      <w:r w:rsidR="002A0E06">
        <w:fldChar w:fldCharType="begin"/>
      </w:r>
      <w:r w:rsidR="002A0E06">
        <w:instrText xml:space="preserve"> ADDIN ZOTERO_ITEM CSL_CITATION {"citationID":"fjfkgPzj","properties":{"formattedCitation":"[2]","plainCitation":"[2]","noteIndex":0},"citationItems":[{"id":2867,"uris":["http://zotero.org/users/5483459/items/WIBKRCR7"],"itemData":{"id":2867,"type":"article-journal","abstract":"This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clinicians","DOI":"10.3322/caac.21660","ISSN":"1542-4863","issue":"3","journalAbbreviation":"CA Cancer J Clin","language":"eng","note":"PMID: 33538338","page":"209-249","source":"PubMed","title":"Global Cancer Statistics 2020: GLOBOCAN Estimates of Incidence and Mortality Worldwide for 36 Cancers in 185 Countries","title-short":"Global Cancer Statistics 2020","volume":"71","author":[{"family":"Sung","given":"Hyuna"},{"family":"Ferlay","given":"Jacques"},{"family":"Siegel","given":"Rebecca L."},{"family":"Laversanne","given":"Mathieu"},{"family":"Soerjomataram","given":"Isabelle"},{"family":"Jemal","given":"Ahmedin"},{"family":"Bray","given":"Freddie"}],"issued":{"date-parts":[["2021",5]]}}}],"schema":"https://github.com/citation-style-language/schema/raw/master/csl-citation.json"} </w:instrText>
      </w:r>
      <w:r w:rsidR="002A0E06">
        <w:fldChar w:fldCharType="separate"/>
      </w:r>
      <w:r w:rsidR="002A0E06" w:rsidRPr="002A0E06">
        <w:t>[2]</w:t>
      </w:r>
      <w:r w:rsidR="002A0E06">
        <w:fldChar w:fldCharType="end"/>
      </w:r>
      <w:r w:rsidR="002A0E06">
        <w:t>.</w:t>
      </w:r>
    </w:p>
    <w:p w14:paraId="68E7417A" w14:textId="0C608E49" w:rsidR="009C6068" w:rsidRDefault="009C6068" w:rsidP="00B80C34">
      <w:pPr>
        <w:ind w:firstLine="709"/>
      </w:pPr>
      <w:r>
        <w:t xml:space="preserve">Показатель распространенности злокачественных новообразований </w:t>
      </w:r>
      <w:r w:rsidR="00971445">
        <w:t>среди</w:t>
      </w:r>
      <w:r>
        <w:t xml:space="preserve"> населения России в 2021 г. составил 2690,5 на 100 тыс. населения, что выше уровня 2011 г. (2029,0) на 32,6%. Рост данного показателя обусловлен как ростом заболеваемости и выявляемости, так и увеличением выживаемости онкологических больных </w:t>
      </w:r>
      <w:r>
        <w:fldChar w:fldCharType="begin"/>
      </w:r>
      <w:r w:rsidR="002A0E06">
        <w:instrText xml:space="preserve"> ADDIN ZOTERO_ITEM CSL_CITATION {"citationID":"mlzsxghu","properties":{"formattedCitation":"[3]","plainCitation":"[3]","noteIndex":0},"citationItems":[{"id":2658,"uris":["http://zotero.org/users/5483459/items/CEATIZIF"],"itemData":{"id":2658,"type":"document","title":"Министерство Здравоохранения Российской Федерации. Российский Центр информационных технологий и эпидемиологических Московский научно-исследовательский онкологический институт имени П.А. Герцена.Состояние онкологической помощи населению России в 2021 году Под редакцией   Каприна А.Д.,  Старинского В.В., Петровой Г.В. 2022."}}],"schema":"https://github.com/citation-style-language/schema/raw/master/csl-citation.json"} </w:instrText>
      </w:r>
      <w:r>
        <w:fldChar w:fldCharType="separate"/>
      </w:r>
      <w:r w:rsidR="002A0E06" w:rsidRPr="002A0E06">
        <w:t>[3]</w:t>
      </w:r>
      <w:r>
        <w:fldChar w:fldCharType="end"/>
      </w:r>
      <w:r>
        <w:t>.</w:t>
      </w:r>
    </w:p>
    <w:p w14:paraId="0DFA95B2" w14:textId="77777777" w:rsidR="002F053D" w:rsidRDefault="002F053D" w:rsidP="001B316B">
      <w:pPr>
        <w:rPr>
          <w:b/>
          <w:bCs/>
        </w:rPr>
      </w:pPr>
    </w:p>
    <w:p w14:paraId="16155431" w14:textId="3658F6A3" w:rsidR="002F135B" w:rsidRPr="002F135B" w:rsidRDefault="002F135B" w:rsidP="001B316B">
      <w:pPr>
        <w:rPr>
          <w:b/>
          <w:bCs/>
        </w:rPr>
      </w:pPr>
      <w:r w:rsidRPr="002F135B">
        <w:rPr>
          <w:b/>
          <w:bCs/>
        </w:rPr>
        <w:t>Гепатоцеллюлярный рак</w:t>
      </w:r>
    </w:p>
    <w:p w14:paraId="6FEE49F7" w14:textId="77777777" w:rsidR="002F053D" w:rsidRDefault="002F053D" w:rsidP="002A0E06">
      <w:pPr>
        <w:ind w:firstLine="851"/>
      </w:pPr>
      <w:bookmarkStart w:id="32" w:name="_Hlk115729647"/>
    </w:p>
    <w:p w14:paraId="6D6720B5" w14:textId="33236534" w:rsidR="003A39DF" w:rsidRDefault="003A39DF" w:rsidP="00B80C34">
      <w:pPr>
        <w:ind w:firstLine="709"/>
      </w:pPr>
      <w:r w:rsidRPr="00837B02">
        <w:t>ГЦР</w:t>
      </w:r>
      <w:bookmarkEnd w:id="32"/>
      <w:r w:rsidR="00792ED1">
        <w:t xml:space="preserve"> </w:t>
      </w:r>
      <w:r w:rsidRPr="00837B02">
        <w:t>— самая частая первичная злокачественная опухоль печени. По данным различных авторов, более 85% опухолевой патологии печени приходится на ГЦР</w:t>
      </w:r>
      <w:r w:rsidR="00232CEB">
        <w:t xml:space="preserve">. </w:t>
      </w:r>
      <w:r w:rsidRPr="00837B02">
        <w:t>ГЦР имеет крайне агрессивное течение, характеризуется</w:t>
      </w:r>
      <w:r w:rsidR="000B6428">
        <w:t xml:space="preserve"> </w:t>
      </w:r>
      <w:r w:rsidRPr="00837B02">
        <w:t xml:space="preserve">неблагоприятным прогнозом. Пятилетняя выживаемость больных с ГЦР по данным различных исследований не </w:t>
      </w:r>
      <w:r w:rsidRPr="00837B02">
        <w:lastRenderedPageBreak/>
        <w:t>превышает 15%</w:t>
      </w:r>
      <w:r w:rsidR="00232CEB">
        <w:t xml:space="preserve"> </w:t>
      </w:r>
      <w:r w:rsidR="00232CEB">
        <w:fldChar w:fldCharType="begin"/>
      </w:r>
      <w:r w:rsidR="002A0E06">
        <w:instrText xml:space="preserve"> ADDIN ZOTERO_ITEM CSL_CITATION {"citationID":"JWEdja5N","properties":{"formattedCitation":"[4]","plainCitation":"[4]","noteIndex":0},"citationItems":[{"id":2655,"uris":["http://zotero.org/users/5483459/items/NWVVUNRY"],"itemData":{"id":2655,"type":"article-journal","title":"Меньшиков К.В., Султанбаев А.В., Мусин Ш.И., Измайлов А.А., Меньшикова И.А., Насретдинов А.Ф., &amp; Шайхутдинов И.Р.ЛЕЧЕНИЕ МЕТАСТАТИЧЕСКОГО ГЕПАТОЦЕЛЛЮЛЯРНОГО РАКА. КЛИНИЧЕСКИЙ СЛУЧАЙ И ОБЗОР ЛИТЕРАТУРЫ. Поволжский онкологический вестник. 2020. 11 (4 (44)), 75-81."}}],"schema":"https://github.com/citation-style-language/schema/raw/master/csl-citation.json"} </w:instrText>
      </w:r>
      <w:r w:rsidR="00232CEB">
        <w:fldChar w:fldCharType="separate"/>
      </w:r>
      <w:r w:rsidR="002A0E06" w:rsidRPr="002A0E06">
        <w:t>[4]</w:t>
      </w:r>
      <w:r w:rsidR="00232CEB">
        <w:fldChar w:fldCharType="end"/>
      </w:r>
      <w:r>
        <w:t>.</w:t>
      </w:r>
      <w:r w:rsidRPr="00837B02">
        <w:t xml:space="preserve"> В Российской Федерации в 20</w:t>
      </w:r>
      <w:r>
        <w:t>21</w:t>
      </w:r>
      <w:r w:rsidRPr="00837B02">
        <w:t xml:space="preserve"> г. </w:t>
      </w:r>
      <w:r>
        <w:t>л</w:t>
      </w:r>
      <w:r w:rsidRPr="00837B02">
        <w:t xml:space="preserve">етальность на первом году с момента установления диагноза ГЦР составила </w:t>
      </w:r>
      <w:r>
        <w:t>61,9</w:t>
      </w:r>
      <w:r w:rsidRPr="00837B02">
        <w:t>%</w:t>
      </w:r>
      <w:r w:rsidR="00232CEB">
        <w:t xml:space="preserve"> </w:t>
      </w:r>
      <w:r w:rsidR="00232CEB">
        <w:fldChar w:fldCharType="begin"/>
      </w:r>
      <w:r w:rsidR="002A0E06">
        <w:instrText xml:space="preserve"> ADDIN ZOTERO_ITEM CSL_CITATION {"citationID":"NB28m905","properties":{"formattedCitation":"[3]","plainCitation":"[3]","noteIndex":0},"citationItems":[{"id":2658,"uris":["http://zotero.org/users/5483459/items/CEATIZIF"],"itemData":{"id":2658,"type":"document","title":"Министерство Здравоохранения Российской Федерации. Российский Центр информационных технологий и эпидемиологических Московский научно-исследовательский онкологический институт имени П.А. Герцена.Состояние онкологической помощи населению России в 2021 году Под редакцией   Каприна А.Д.,  Старинского В.В., Петровой Г.В. 2022."}}],"schema":"https://github.com/citation-style-language/schema/raw/master/csl-citation.json"} </w:instrText>
      </w:r>
      <w:r w:rsidR="00232CEB">
        <w:fldChar w:fldCharType="separate"/>
      </w:r>
      <w:r w:rsidR="002A0E06" w:rsidRPr="002A0E06">
        <w:t>[3]</w:t>
      </w:r>
      <w:r w:rsidR="00232CEB">
        <w:fldChar w:fldCharType="end"/>
      </w:r>
      <w:r w:rsidR="006B0A9F">
        <w:t>.</w:t>
      </w:r>
    </w:p>
    <w:p w14:paraId="2C240A0B" w14:textId="77777777" w:rsidR="002F053D" w:rsidRDefault="002F053D" w:rsidP="001B316B">
      <w:pPr>
        <w:rPr>
          <w:b/>
          <w:bCs/>
        </w:rPr>
      </w:pPr>
    </w:p>
    <w:p w14:paraId="1F88DFE0" w14:textId="5A81443F" w:rsidR="002F135B" w:rsidRPr="002F135B" w:rsidRDefault="002F135B" w:rsidP="001B316B">
      <w:pPr>
        <w:rPr>
          <w:b/>
          <w:bCs/>
        </w:rPr>
      </w:pPr>
      <w:r w:rsidRPr="002F135B">
        <w:rPr>
          <w:b/>
          <w:bCs/>
        </w:rPr>
        <w:t>Рак щитовидной железы</w:t>
      </w:r>
    </w:p>
    <w:p w14:paraId="01B9B9E0" w14:textId="77777777" w:rsidR="00456CD5" w:rsidRDefault="00456CD5" w:rsidP="002A0E06">
      <w:pPr>
        <w:ind w:firstLine="851"/>
      </w:pPr>
    </w:p>
    <w:p w14:paraId="37997B77" w14:textId="140AE9D8" w:rsidR="00C249C9" w:rsidRDefault="005A40D8" w:rsidP="00B80C34">
      <w:pPr>
        <w:ind w:firstLine="709"/>
      </w:pPr>
      <w:r>
        <w:t xml:space="preserve">РЩЖ является самой распространенной онкологической патологией органов эндокринной системы и имеет устойчиво сохраняющуюся тенденцию к росту заболеваемости </w:t>
      </w:r>
      <w:r w:rsidR="00CC149F">
        <w:fldChar w:fldCharType="begin"/>
      </w:r>
      <w:r w:rsidR="002A0E06">
        <w:instrText xml:space="preserve"> ADDIN ZOTERO_ITEM CSL_CITATION {"citationID":"sCEl0ECo","properties":{"formattedCitation":"[5]","plainCitation":"[5]","noteIndex":0},"citationItems":[{"id":2666,"uris":["http://zotero.org/users/5483459/items/FTQ4M8H2"],"itemData":{"id":2666,"type":"article-journal","title":"Бородавина Е.В., Шуринов А.Ю., Крылов В.В., Васильев К.Г. Анализ выживаемости пациентов с прогрессирующим метастатическим дифференцированным раком щитовидной железы. Опухоли головы и шеи. 2022;12(2):63-70. https://doi.org/10.17650/2222-1468-2022-12-2-63-70"}}],"schema":"https://github.com/citation-style-language/schema/raw/master/csl-citation.json"} </w:instrText>
      </w:r>
      <w:r w:rsidR="00CC149F">
        <w:fldChar w:fldCharType="separate"/>
      </w:r>
      <w:r w:rsidR="002A0E06" w:rsidRPr="002A0E06">
        <w:t>[5]</w:t>
      </w:r>
      <w:r w:rsidR="00CC149F">
        <w:fldChar w:fldCharType="end"/>
      </w:r>
      <w:r w:rsidR="00CC149F">
        <w:t xml:space="preserve">. </w:t>
      </w:r>
      <w:r w:rsidR="005A2745">
        <w:t xml:space="preserve">РЩЖ </w:t>
      </w:r>
      <w:r w:rsidR="001320B9">
        <w:t>состав</w:t>
      </w:r>
      <w:r w:rsidR="006D0BF5">
        <w:t>ил</w:t>
      </w:r>
      <w:r w:rsidR="001320B9">
        <w:t xml:space="preserve"> 4,7% среди всех онкологических заболеваний в 2021 году</w:t>
      </w:r>
      <w:r w:rsidR="00A012B8">
        <w:t xml:space="preserve"> </w:t>
      </w:r>
      <w:r w:rsidR="00A012B8">
        <w:fldChar w:fldCharType="begin"/>
      </w:r>
      <w:r w:rsidR="002A0E06">
        <w:instrText xml:space="preserve"> ADDIN ZOTERO_ITEM CSL_CITATION {"citationID":"oBpDWpid","properties":{"formattedCitation":"[3]","plainCitation":"[3]","noteIndex":0},"citationItems":[{"id":2658,"uris":["http://zotero.org/users/5483459/items/CEATIZIF"],"itemData":{"id":2658,"type":"document","title":"Министерство Здравоохранения Российской Федерации. Российский Центр информационных технологий и эпидемиологических Московский научно-исследовательский онкологический институт имени П.А. Герцена.Состояние онкологической помощи населению России в 2021 году Под редакцией   Каприна А.Д.,  Старинского В.В., Петровой Г.В. 2022."}}],"schema":"https://github.com/citation-style-language/schema/raw/master/csl-citation.json"} </w:instrText>
      </w:r>
      <w:r w:rsidR="00A012B8">
        <w:fldChar w:fldCharType="separate"/>
      </w:r>
      <w:r w:rsidR="002A0E06" w:rsidRPr="002A0E06">
        <w:t>[3]</w:t>
      </w:r>
      <w:r w:rsidR="00A012B8">
        <w:fldChar w:fldCharType="end"/>
      </w:r>
      <w:r w:rsidR="00A012B8">
        <w:t>.</w:t>
      </w:r>
    </w:p>
    <w:p w14:paraId="2CB94CE2" w14:textId="49291221" w:rsidR="00C249C9" w:rsidRDefault="005A2745" w:rsidP="00B80C34">
      <w:pPr>
        <w:ind w:firstLine="709"/>
      </w:pPr>
      <w:r>
        <w:t xml:space="preserve">РЩЖ </w:t>
      </w:r>
      <w:r w:rsidR="007D12AC">
        <w:t xml:space="preserve">– злокачественная опухоль, развивающаяся из элементов железистого эпителия щитовидной железы. </w:t>
      </w:r>
      <w:r>
        <w:t>На сегодняшний день выделяют ряд основных факторов развития РЩЖ: мутации генов BRAF, PTEN, APC, DICER1, MNG, NRAS, KRAS, TERT и др., воздействие ионизирующего излучения, наследственные синдромы (Гарднера, Каудена, множественной эндокринной неоплазии 2А и 2B типа)</w:t>
      </w:r>
      <w:r w:rsidR="003B5A6C">
        <w:t xml:space="preserve"> </w:t>
      </w:r>
      <w:r w:rsidR="00687EA5">
        <w:fldChar w:fldCharType="begin"/>
      </w:r>
      <w:r w:rsidR="002A0E06">
        <w:instrText xml:space="preserve"> ADDIN ZOTERO_ITEM CSL_CITATION {"citationID":"LX2DmvNa","properties":{"formattedCitation":"[6]","plainCitation":"[6]","noteIndex":0},"citationItems":[{"id":2722,"uris":["http://zotero.org/users/5483459/items/29NJV27K"],"itemData":{"id":2722,"type":"article-journal","abstract":"Differentiated thyroid carcinoma of follicular cell-derivation is the most common endocrine neoplasm with a rapidly increasing incidence. The majority represent papillary carcinomas; more rarely, they are follicular carcinomas. The vast majority have indolent behavior, however a significant proportion progress to develop lymph node metastases and a smaller proportion disseminate systemically. While common and frequent genetic events have been described to underlie the development of these neoplasms, the factors contributing to differing behaviors among tumors with similar genetic alterations remain unclear. This review focuses on epigenetic mechanisms targeting major signaling pathways that underlie the spectrum of biological behaviors and that may have potential diagnostic, prognostic and therapeutic value.","container-title":"Molecular and Cellular Endocrinology","DOI":"10.1016/j.mce.2017.07.012","ISSN":"1872-8057","journalAbbreviation":"Mol Cell Endocrinol","language":"eng","note":"PMID: 28711609","page":"3-10","source":"PubMed","title":"The epigenetic landscape of differentiated thyroid cancer","volume":"469","author":[{"family":"Asa","given":"Sylvia L."},{"family":"Ezzat","given":"Shereen"}],"issued":{"date-parts":[["2018",7,5]]}}}],"schema":"https://github.com/citation-style-language/schema/raw/master/csl-citation.json"} </w:instrText>
      </w:r>
      <w:r w:rsidR="00687EA5">
        <w:fldChar w:fldCharType="separate"/>
      </w:r>
      <w:r w:rsidR="002A0E06" w:rsidRPr="002A0E06">
        <w:t>[6]</w:t>
      </w:r>
      <w:r w:rsidR="00687EA5">
        <w:fldChar w:fldCharType="end"/>
      </w:r>
      <w:r w:rsidR="00687EA5">
        <w:t>.</w:t>
      </w:r>
    </w:p>
    <w:p w14:paraId="3688C08B" w14:textId="36ACAA36" w:rsidR="00BC5A6C" w:rsidRDefault="008E7DFB" w:rsidP="00B80C34">
      <w:pPr>
        <w:ind w:firstLine="709"/>
      </w:pPr>
      <w:r>
        <w:t xml:space="preserve">Критерии установления </w:t>
      </w:r>
      <w:r w:rsidRPr="007C2710">
        <w:t>диагноза</w:t>
      </w:r>
      <w:r>
        <w:t xml:space="preserve">/состояния: </w:t>
      </w:r>
      <w:r w:rsidRPr="007C2710">
        <w:t>на</w:t>
      </w:r>
      <w:r>
        <w:t xml:space="preserve"> дооперационном этапе – результаты цитологического исследования пунктатов </w:t>
      </w:r>
      <w:r w:rsidR="00526BE3">
        <w:t>щитовидной железы</w:t>
      </w:r>
      <w:r w:rsidR="007C2710">
        <w:t xml:space="preserve"> (</w:t>
      </w:r>
      <w:r w:rsidR="007C2710" w:rsidRPr="007C2710">
        <w:t>ЩЖ</w:t>
      </w:r>
      <w:r w:rsidR="007C2710">
        <w:t>)</w:t>
      </w:r>
      <w:r>
        <w:t>, на послеоперационном этапе – плановое патологоанатомическое исследование операционного материала (при необходимости –</w:t>
      </w:r>
      <w:r w:rsidR="00C63169">
        <w:t xml:space="preserve"> </w:t>
      </w:r>
      <w:r>
        <w:t xml:space="preserve">с иммуногистохимическим типированием) </w:t>
      </w:r>
      <w:r>
        <w:fldChar w:fldCharType="begin"/>
      </w:r>
      <w:r w:rsidR="002A0E06">
        <w:instrText xml:space="preserve"> ADDIN ZOTERO_ITEM CSL_CITATION {"citationID":"BUcxO7UE","properties":{"formattedCitation":"[7\\uc0\\u8211{}9]","plainCitation":"[7–9]","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2022."},"label":"page"},{"id":2716,"uris":["http://zotero.org/users/5483459/items/RKPMQ58D"],"itemData":{"id":2716,"type":"article-journal","abstract":"BACKGROUND: Thyroid nodules are a common clinical problem, and differentiated thyroid cancer is becoming increasingly prevalent. Since the American Thyroid Association's (ATA's) guidelines for the management of these disorders were revised in 2009, significant scientific advances have occurred in the field. The aim of these guidelines is to inform clinicians, patients, researchers, and health policy makers on published evidence relating to the diagnosis and management of thyroid nodules and differentiated thyroid cancer.\nMETHODS: The specific clinical questions addressed in these guidelines were based on prior versions of the guidelines, stakeholder input, and input of task force members. Task force panel members were educated on knowledge synthesis methods, including electronic database searching, review and selection of relevant citations, and critical appraisal of selected studies. Published English language articles on adults were eligible for inclusion. The American College of Physicians Guideline Grading System was used for critical appraisal of evidence and grading strength of recommendations for therapeutic interventions. We developed a similarly formatted system to appraise the quality of such studies and resultant recommendations. The guideline panel had complete editorial independence from the ATA. Competing interests of guideline task force members were regularly updated, managed, and communicated to the ATA and task force members.\nRESULTS: The revised guidelines for the management of thyroid nodules include recommendations regarding initial evaluation, clinical and ultrasound criteria for fine-needle aspiration biopsy, interpretation of fine-needle aspiration biopsy results, use of molecular markers, and management of benign thyroid nodules. Recommendations regarding the initial management of thyroid cancer include those relating to screening for thyroid cancer, staging and risk assessment, surgical management, radioiodine remnant ablation and therapy, and thyrotropin suppression therapy using levothyroxine. Recommendations related to long-term management of differentiated thyroid cancer include those related to surveillance for recurrent disease using imaging and serum thyroglobulin, thyroid hormone therapy, management of recurrent and metastatic disease, consideration for clinical trials and targeted therapy, as well as directions for future research.\nCONCLUSIONS: We have developed evidence-based recommendations to inform clinical decision-making in the management of thyroid nodules and differentiated thyroid cancer. They represent, in our opinion, contemporary optimal care for patients with these disorders.","container-title":"Thyroid: Official Journal of the American Thyroid Association","DOI":"10.1089/thy.2015.0020","ISSN":"1557-9077","issue":"1","journalAbbreviation":"Thyroid","language":"eng","note":"PMID: 26462967\nPMCID: PMC4739132","page":"1-133","source":"PubMed","title":"2015 American Thyroid Association Management Guidelines for Adult Patients with Thyroid Nodules and Differentiated Thyroid Cancer: The American Thyroid Association Guidelines Task Force on Thyroid Nodules and Differentiated Thyroid Cancer","title-short":"2015 American Thyroid Association Management Guidelines for Adult Patients with Thyroid Nodules and Differentiated Thyroid Cancer","volume":"26","author":[{"family":"Haugen","given":"Bryan R."},{"family":"Alexander","given":"Erik K."},{"family":"Bible","given":"Keith C."},{"family":"Doherty","given":"Gerard M."},{"family":"Mandel","given":"Susan J."},{"family":"Nikiforov","given":"Yuri E."},{"family":"Pacini","given":"Furio"},{"family":"Randolph","given":"Gregory W."},{"family":"Sawka","given":"Anna M."},{"family":"Schlumberger","given":"Martin"},{"family":"Schuff","given":"Kathryn G."},{"family":"Sherman","given":"Steven I."},{"family":"Sosa","given":"Julie Ann"},{"family":"Steward","given":"David L."},{"family":"Tuttle","given":"R. Michael"},{"family":"Wartofsky","given":"Leonard"}],"issued":{"date-parts":[["2016",1]]}},"label":"page"},{"id":2719,"uris":["http://zotero.org/users/5483459/items/36TDGZR3"],"itemData":{"id":2719,"type":"article-journal","abstract":"BACKGROUND: Publication of the 2015 American Thyroid Association (ATA) management guidelines for adult patients with thyroid nodules and differentiated thyroid cancer was met with disagreement by the extended nuclear medicine community with regard to some of the recommendations related to the diagnostic and therapeutic use of radioiodine (131I). Because of these concerns, the European Association of Nuclear Medicine and the Society of Nuclear Medicine and Molecular Imaging declined to endorse the ATA guidelines. As a result of these differences in opinion, patients and clinicians risk receiving conflicting advice with regard to several key thyroid cancer management issues.\nSUMMARY: To address some of the differences in opinion and controversies associated with the therapeutic uses of 131I in differentiated thyroid cancer constructively, the ATA, the European Association of Nuclear Medicine, the Society of Nuclear Medicine and Molecular Imaging, and the European Thyroid Association each sent senior leadership and subject-matter experts to a two-day interactive meeting. The goals of this first meeting were to (i) formalize the dialogue and activities between the four societies; (ii) discuss indications for 131I adjuvant treatment; (iii) define the optimal prescribed activity of 131I for adjuvant treatment; and (iv) clarify the definition and classification of 131I-refractory thyroid cancer.\nCONCLUSION: By fostering an open, productive, and evidence-based discussion, the Martinique meeting restored trust, confidence, and a sense of collegiality between individuals and organizations that are committed to optimal thyroid disease management. The result of this first meeting is a set of nine principles (The Martinique Principles) that (i) describe a commitment to proactive, purposeful, and inclusive interdisciplinary cooperation; (ii) define the goals of 131I therapy as remnant ablation, adjuvant treatment, or treatment of known disease; (iii) describe the importance of evaluating postoperative disease status and multiple other factors beyond clinicopathologic staging in 131I therapy decision making; (iv) recognize that the optimal administered activity of 131I adjuvant treatment cannot be definitely determined from the published literature; and (v) acknowledge that current definitions of 131I-refractory disease are suboptimal and do not represent definitive criteria to mandate whether 131I therapy should be recommended.","container-title":"Thyroid: Official Journal of the American Thyroid Association","DOI":"10.1089/thy.2018.0597","ISSN":"1557-9077","issue":"4","journalAbbreviation":"Thyroid","language":"eng","note":"PMID: 30900516","page":"461-470","source":"PubMed","title":"Controversies, Consensus, and Collaboration in the Use of 131I Therapy in Differentiated Thyroid Cancer: A Joint Statement from the American Thyroid Association, the European Association of Nuclear Medicine, the Society of Nuclear Medicine and Molecular Imaging, and the European Thyroid Association","title-short":"Controversies, Consensus, and Collaboration in the Use of 131I Therapy in Differentiated Thyroid Cancer","volume":"29","author":[{"family":"Tuttle","given":"R. Michael"},{"family":"Ahuja","given":"Sukhjeet"},{"family":"Avram","given":"Anca M."},{"family":"Bernet","given":"Victor J."},{"family":"Bourguet","given":"Patrick"},{"family":"Daniels","given":"Gilbert H."},{"family":"Dillehay","given":"Gary"},{"family":"Draganescu","given":"Ciprian"},{"family":"Flux","given":"Glenn"},{"family":"Führer","given":"Dagmar"},{"family":"Giovanella","given":"Luca"},{"family":"Greenspan","given":"Bennett"},{"family":"Luster","given":"Markus"},{"family":"Muylle","given":"Kristoff"},{"family":"Smit","given":"Johannes W. A."},{"family":"Van Nostrand","given":"Douglas"},{"family":"Verburg","given":"Frederik A."},{"family":"Hegedüs","given":"Laszlo"}],"issued":{"date-parts":[["2019",4]]}},"label":"page"}],"schema":"https://github.com/citation-style-language/schema/raw/master/csl-citation.json"} </w:instrText>
      </w:r>
      <w:r>
        <w:fldChar w:fldCharType="separate"/>
      </w:r>
      <w:r w:rsidR="002A0E06" w:rsidRPr="002A0E06">
        <w:t>[7–9]</w:t>
      </w:r>
      <w:r>
        <w:fldChar w:fldCharType="end"/>
      </w:r>
      <w:r>
        <w:t>.</w:t>
      </w:r>
    </w:p>
    <w:p w14:paraId="083EF602" w14:textId="77777777" w:rsidR="002F053D" w:rsidRDefault="002F053D" w:rsidP="001B316B">
      <w:pPr>
        <w:rPr>
          <w:b/>
          <w:bCs/>
        </w:rPr>
      </w:pPr>
    </w:p>
    <w:p w14:paraId="75F12E1E" w14:textId="74982CA4" w:rsidR="002F135B" w:rsidRPr="002F135B" w:rsidRDefault="00423D8F" w:rsidP="001B316B">
      <w:pPr>
        <w:rPr>
          <w:b/>
          <w:bCs/>
        </w:rPr>
      </w:pPr>
      <w:r>
        <w:rPr>
          <w:b/>
          <w:bCs/>
        </w:rPr>
        <w:t>Почечно-клеточный рак</w:t>
      </w:r>
    </w:p>
    <w:p w14:paraId="0E056397" w14:textId="77777777" w:rsidR="002F053D" w:rsidRDefault="002F053D" w:rsidP="002A0E06">
      <w:pPr>
        <w:ind w:firstLine="851"/>
      </w:pPr>
    </w:p>
    <w:p w14:paraId="5C418FCE" w14:textId="5144F9D7" w:rsidR="00C249C9" w:rsidRDefault="00423D8F" w:rsidP="00B80C34">
      <w:pPr>
        <w:ind w:firstLine="709"/>
      </w:pPr>
      <w:r>
        <w:t>Почечно-клеточный рак</w:t>
      </w:r>
      <w:r w:rsidR="002F135B">
        <w:t xml:space="preserve"> (ПКР) – группа злокачественных новообразований почки, развивающихся из эпителия проксимальных канальцев или</w:t>
      </w:r>
      <w:r w:rsidR="00F2316E">
        <w:t xml:space="preserve"> </w:t>
      </w:r>
      <w:r w:rsidR="002F135B">
        <w:t>собирательных трубочек</w:t>
      </w:r>
      <w:r w:rsidR="00F2316E">
        <w:t xml:space="preserve">. </w:t>
      </w:r>
      <w:r w:rsidR="00157340">
        <w:t xml:space="preserve">Рак почки занимает 14-е место по заболеваемости среди злокачественных опухолей. В России в структуре злокачественных новообразований ПКР составляет 4,0% (4,8% в мужской, 3,4% в женской популяции) </w:t>
      </w:r>
      <w:r w:rsidR="00157340">
        <w:fldChar w:fldCharType="begin"/>
      </w:r>
      <w:r w:rsidR="002A0E06">
        <w:instrText xml:space="preserve"> ADDIN ZOTERO_ITEM CSL_CITATION {"citationID":"zDhp7zpY","properties":{"formattedCitation":"[10]","plainCitation":"[10]","noteIndex":0},"citationItems":[{"id":2724,"uris":["http://zotero.org/users/5483459/items/J9A5SFQ3"],"itemData":{"id":2724,"type":"document","title":"Министерство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2021."}}],"schema":"https://github.com/citation-style-language/schema/raw/master/csl-citation.json"} </w:instrText>
      </w:r>
      <w:r w:rsidR="00157340">
        <w:fldChar w:fldCharType="separate"/>
      </w:r>
      <w:r w:rsidR="002A0E06" w:rsidRPr="002A0E06">
        <w:t>[10]</w:t>
      </w:r>
      <w:r w:rsidR="00157340">
        <w:fldChar w:fldCharType="end"/>
      </w:r>
      <w:r w:rsidR="00157340">
        <w:t xml:space="preserve">. В 2021 г. в России </w:t>
      </w:r>
      <w:r w:rsidR="00714606">
        <w:t xml:space="preserve"> среди пациентов с впервые выявленным ПКР летальность составила 14% </w:t>
      </w:r>
      <w:r w:rsidR="00714606">
        <w:fldChar w:fldCharType="begin"/>
      </w:r>
      <w:r w:rsidR="002A0E06">
        <w:instrText xml:space="preserve"> ADDIN ZOTERO_ITEM CSL_CITATION {"citationID":"nTxckMN5","properties":{"formattedCitation":"[3]","plainCitation":"[3]","noteIndex":0},"citationItems":[{"id":2658,"uris":["http://zotero.org/users/5483459/items/CEATIZIF"],"itemData":{"id":2658,"type":"document","title":"Министерство Здравоохранения Российской Федерации. Российский Центр информационных технологий и эпидемиологических Московский научно-исследовательский онкологический институт имени П.А. Герцена.Состояние онкологической помощи населению России в 2021 году Под редакцией   Каприна А.Д.,  Старинского В.В., Петровой Г.В. 2022."}}],"schema":"https://github.com/citation-style-language/schema/raw/master/csl-citation.json"} </w:instrText>
      </w:r>
      <w:r w:rsidR="00714606">
        <w:fldChar w:fldCharType="separate"/>
      </w:r>
      <w:r w:rsidR="002A0E06" w:rsidRPr="002A0E06">
        <w:t>[3]</w:t>
      </w:r>
      <w:r w:rsidR="00714606">
        <w:fldChar w:fldCharType="end"/>
      </w:r>
      <w:r w:rsidR="00714606">
        <w:t>.</w:t>
      </w:r>
      <w:r w:rsidR="00343B9F">
        <w:t xml:space="preserve"> Клиническая картина ПКР складывается из проявлений первичной опухоли, метастазов, а также паранеопластических симптомов. На ранних стадиях рак почки, как правило, не вызывает</w:t>
      </w:r>
      <w:r w:rsidR="008E5DF9">
        <w:t xml:space="preserve"> </w:t>
      </w:r>
      <w:r w:rsidR="00343B9F">
        <w:t>жалоб. По мере роста первичная опухоль становится пальпируемой и может вызывать развитие боли и гематурии (классическая триада симптомов рака почки). Опухолевый венозный тромбоз левой почечной вены способен вызвать развитие варикоцеле слева. Распространение опухоли или наличие массивных метастазов в забрюшинных лимфоузл</w:t>
      </w:r>
      <w:r w:rsidR="003C17C6">
        <w:t>ах</w:t>
      </w:r>
      <w:r w:rsidR="00343B9F">
        <w:t xml:space="preserve"> может быть ассоциировано с появлением отеков нижних конечностей, сети расширенных подкожных вен на передней брюшной стенке. Симптомы метастазов определяются их</w:t>
      </w:r>
      <w:r w:rsidR="00833E79">
        <w:t xml:space="preserve"> </w:t>
      </w:r>
      <w:r w:rsidR="00343B9F">
        <w:t xml:space="preserve">локализацией: поражение легких, плевры, внутригрудных </w:t>
      </w:r>
      <w:r w:rsidR="006F7FE1">
        <w:t>лимфоузлов</w:t>
      </w:r>
      <w:r w:rsidR="00343B9F">
        <w:t xml:space="preserve"> способно привести к развитию</w:t>
      </w:r>
      <w:r w:rsidR="006F7FE1">
        <w:t xml:space="preserve"> </w:t>
      </w:r>
      <w:r w:rsidR="00343B9F">
        <w:t>кашля, кровохарканья, одышки; симптомами метастазов в кости являются боль и</w:t>
      </w:r>
      <w:r w:rsidR="00E87191">
        <w:t xml:space="preserve"> </w:t>
      </w:r>
      <w:r w:rsidR="00343B9F">
        <w:t>патологические переломы; метастазы в печени часто сопровождаются гипертермией; метастазы</w:t>
      </w:r>
      <w:r w:rsidR="00E87191">
        <w:t xml:space="preserve"> </w:t>
      </w:r>
      <w:r w:rsidR="00343B9F">
        <w:t>в головном мозге проявляются общемозговыми и очаговыми неврологическими симптомами</w:t>
      </w:r>
      <w:r w:rsidR="0048013C" w:rsidRPr="0048013C">
        <w:t xml:space="preserve"> </w:t>
      </w:r>
      <w:r w:rsidR="00F0037E">
        <w:fldChar w:fldCharType="begin"/>
      </w:r>
      <w:r w:rsidR="002A0E06">
        <w:instrText xml:space="preserve"> ADDIN ZOTERO_ITEM CSL_CITATION {"citationID":"YSTd2Mpo","properties":{"formattedCitation":"[10,11]","plainCitation":"[10,11]","noteIndex":0},"citationItems":[{"id":2724,"uris":["http://zotero.org/users/5483459/items/J9A5SFQ3"],"itemData":{"id":2724,"type":"document","title":"Министерство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2021."},"label":"page"},{"id":2727,"uris":["http://zotero.org/users/5483459/items/4JP6B2KE"],"itemData":{"id":2727,"type":"article-journal","abstract":"Kidney cancer is the 13th most common malignancy globally, and the incidence is rising. Papillary renal cell carcinoma is the second most common subtype, comprising 10-15% of renal cell carcinomas. Though the histologic features of this subtype were initially described in the 1990's, our understanding of the genetic and molecular characteristics of this disease have rapidly evolved over the past decade. In this review, we summarize the contemporary understanding of the clinical, morphologic, radiographic, and genetic characteristics of papillary renal cell carcinoma, as well as clinical considerations, current options for management, and prognosis.","container-title":"Urologic Oncology","DOI":"10.1016/j.urolonc.2021.04.013","ISSN":"1873-2496","issue":"6","journalAbbreviation":"Urol Oncol","language":"eng","note":"PMID: 34034966","page":"327-337","source":"PubMed","title":"Papillary renal cell carcinoma: Review","title-short":"Papillary renal cell carcinoma","volume":"39","author":[{"family":"Mendhiratta","given":"Neil"},{"family":"Muraki","given":"Peter"},{"family":"Sisk","given":"Anthony E."},{"family":"Shuch","given":"Brian"}],"issued":{"date-parts":[["2021",6]]}},"label":"page"}],"schema":"https://github.com/citation-style-language/schema/raw/master/csl-citation.json"} </w:instrText>
      </w:r>
      <w:r w:rsidR="00F0037E">
        <w:fldChar w:fldCharType="separate"/>
      </w:r>
      <w:r w:rsidR="002A0E06" w:rsidRPr="002A0E06">
        <w:t>[10,11]</w:t>
      </w:r>
      <w:r w:rsidR="00F0037E">
        <w:fldChar w:fldCharType="end"/>
      </w:r>
      <w:r w:rsidR="00343B9F">
        <w:t>.</w:t>
      </w:r>
    </w:p>
    <w:p w14:paraId="0A30B7E2" w14:textId="77777777" w:rsidR="002F053D" w:rsidRDefault="002F053D" w:rsidP="001B316B">
      <w:pPr>
        <w:rPr>
          <w:b/>
        </w:rPr>
      </w:pPr>
    </w:p>
    <w:p w14:paraId="5C28F60B" w14:textId="0B991113" w:rsidR="00764EE2" w:rsidRDefault="00764EE2" w:rsidP="001B316B">
      <w:pPr>
        <w:rPr>
          <w:b/>
        </w:rPr>
      </w:pPr>
      <w:r w:rsidRPr="00764EE2">
        <w:rPr>
          <w:b/>
        </w:rPr>
        <w:t>Рак эндометрия</w:t>
      </w:r>
    </w:p>
    <w:p w14:paraId="47D4334C" w14:textId="77777777" w:rsidR="002F053D" w:rsidRDefault="002F053D" w:rsidP="004749A8">
      <w:pPr>
        <w:pStyle w:val="OT"/>
        <w:spacing w:after="0"/>
        <w:ind w:firstLine="851"/>
        <w:rPr>
          <w:sz w:val="24"/>
          <w:szCs w:val="24"/>
        </w:rPr>
      </w:pPr>
    </w:p>
    <w:p w14:paraId="64CB562E" w14:textId="3374E218" w:rsidR="003C17C6" w:rsidRDefault="00FF780F" w:rsidP="00B80C34">
      <w:pPr>
        <w:pStyle w:val="OT"/>
        <w:spacing w:after="0"/>
        <w:ind w:firstLine="709"/>
        <w:rPr>
          <w:sz w:val="24"/>
          <w:szCs w:val="24"/>
        </w:rPr>
      </w:pPr>
      <w:r w:rsidRPr="003906E8">
        <w:rPr>
          <w:sz w:val="24"/>
          <w:szCs w:val="24"/>
        </w:rPr>
        <w:t>Рак тела матки– злокачественная опухоль, исходящая из слизистой оболочки тела матки (эндометрия).</w:t>
      </w:r>
      <w:r w:rsidR="00EA4B4D" w:rsidRPr="003906E8">
        <w:rPr>
          <w:sz w:val="24"/>
          <w:szCs w:val="24"/>
        </w:rPr>
        <w:t xml:space="preserve"> </w:t>
      </w:r>
      <w:r w:rsidR="00B44502" w:rsidRPr="003906E8">
        <w:rPr>
          <w:sz w:val="24"/>
          <w:szCs w:val="24"/>
        </w:rPr>
        <w:t xml:space="preserve">Ежегодно во всем мире на долю рака эндометрия приходится около 76 000 смертей среди женщин </w:t>
      </w:r>
      <w:r w:rsidR="00B44502" w:rsidRPr="003906E8">
        <w:rPr>
          <w:sz w:val="24"/>
          <w:szCs w:val="24"/>
        </w:rPr>
        <w:fldChar w:fldCharType="begin"/>
      </w:r>
      <w:r w:rsidR="002A0E06" w:rsidRPr="003906E8">
        <w:rPr>
          <w:sz w:val="24"/>
          <w:szCs w:val="24"/>
        </w:rPr>
        <w:instrText xml:space="preserve"> ADDIN ZOTERO_ITEM CSL_CITATION {"citationID":"YvpTT5Xa","properties":{"formattedCitation":"[12]","plainCitation":"[12]","noteIndex":0},"citationItems":[{"id":2742,"uris":["http://zotero.org/users/5483459/items/DBU2IERX"],"itemData":{"id":2742,"type":"article-journal","abstract":"Endometrial cancer accounts for ~76,000 deaths among women each year worldwide. Disease mortality and the increasing number of new diagnoses make endometrial cancer an important consideration in women's health, particularly in industrialized countries, where the incidence of this tumour type is highest. Most endometrial cancers are carcinomas, with the remainder being sarcomas. Endometrial carcinomas can be classified into several histological subtypes, including endometrioid, serous and clear cell carcinomas. Histological subtyping is currently used routinely to guide prognosis and treatment decisions for endometrial cancer patients, while ongoing studies are evaluating the potential clinical utility of molecular subtyping. In this Review, we summarize the overarching molecular features of endometrial cancers and highlight recent studies assessing the potential clinical utility of specific molecular features for early detection, disease risk stratification and directing targeted therapies.","container-title":"Nature Reviews. Cancer","DOI":"10.1038/s41568-019-0177-x","ISSN":"1474-1768","issue":"9","journalAbbreviation":"Nat Rev Cancer","language":"eng","note":"PMID: 31388127\nPMCID: PMC7446243","page":"510-521","source":"PubMed","title":"Clinical actionability of molecular targets in endometrial cancer","volume":"19","author":[{"family":"Urick","given":"Mary Ellen"},{"family":"Bell","given":"Daphne W."}],"issued":{"date-parts":[["2019",9]]}}}],"schema":"https://github.com/citation-style-language/schema/raw/master/csl-citation.json"} </w:instrText>
      </w:r>
      <w:r w:rsidR="00B44502" w:rsidRPr="003906E8">
        <w:rPr>
          <w:sz w:val="24"/>
          <w:szCs w:val="24"/>
        </w:rPr>
        <w:fldChar w:fldCharType="separate"/>
      </w:r>
      <w:r w:rsidR="002A0E06" w:rsidRPr="003906E8">
        <w:rPr>
          <w:sz w:val="24"/>
          <w:szCs w:val="24"/>
        </w:rPr>
        <w:t>[12]</w:t>
      </w:r>
      <w:r w:rsidR="00B44502" w:rsidRPr="003906E8">
        <w:rPr>
          <w:sz w:val="24"/>
          <w:szCs w:val="24"/>
        </w:rPr>
        <w:fldChar w:fldCharType="end"/>
      </w:r>
      <w:r w:rsidR="00B44502" w:rsidRPr="003906E8">
        <w:rPr>
          <w:sz w:val="24"/>
          <w:szCs w:val="24"/>
        </w:rPr>
        <w:t xml:space="preserve">. </w:t>
      </w:r>
      <w:r w:rsidR="003C17C6">
        <w:rPr>
          <w:sz w:val="24"/>
          <w:szCs w:val="24"/>
        </w:rPr>
        <w:t>РЭ о</w:t>
      </w:r>
      <w:r w:rsidR="004D5986" w:rsidRPr="003906E8">
        <w:rPr>
          <w:sz w:val="24"/>
          <w:szCs w:val="24"/>
        </w:rPr>
        <w:t xml:space="preserve">стается наиболее распространенным онкогинекологическим заболеванием в России, для 16% больных, которые изначально имеют отдаленные метастазы, прогноз крайне неблагоприятный, так как эффективность химиотерапии у них невысока. Прогресс в терапии </w:t>
      </w:r>
      <w:r w:rsidR="003C17C6">
        <w:rPr>
          <w:sz w:val="24"/>
          <w:szCs w:val="24"/>
        </w:rPr>
        <w:t>РЭ</w:t>
      </w:r>
      <w:r w:rsidR="004D5986" w:rsidRPr="003906E8">
        <w:rPr>
          <w:sz w:val="24"/>
          <w:szCs w:val="24"/>
        </w:rPr>
        <w:t xml:space="preserve"> отразился в клинических </w:t>
      </w:r>
      <w:r w:rsidR="004D5986" w:rsidRPr="003906E8">
        <w:rPr>
          <w:sz w:val="24"/>
          <w:szCs w:val="24"/>
        </w:rPr>
        <w:lastRenderedPageBreak/>
        <w:t>рекомендациях 2020 г.</w:t>
      </w:r>
      <w:r w:rsidR="00AA65E9" w:rsidRPr="003906E8">
        <w:rPr>
          <w:sz w:val="24"/>
          <w:szCs w:val="24"/>
        </w:rPr>
        <w:t xml:space="preserve"> </w:t>
      </w:r>
      <w:r w:rsidR="004D5986" w:rsidRPr="003906E8">
        <w:rPr>
          <w:sz w:val="24"/>
          <w:szCs w:val="24"/>
        </w:rPr>
        <w:t>и привел к большему учету молекулярных механизмов</w:t>
      </w:r>
      <w:r w:rsidR="00AA65E9" w:rsidRPr="003906E8">
        <w:rPr>
          <w:sz w:val="24"/>
          <w:szCs w:val="24"/>
        </w:rPr>
        <w:t xml:space="preserve"> </w:t>
      </w:r>
      <w:r w:rsidR="004D5986" w:rsidRPr="003906E8">
        <w:rPr>
          <w:sz w:val="24"/>
          <w:szCs w:val="24"/>
        </w:rPr>
        <w:t>опухоли, лучшему пониманию генетических основ ее</w:t>
      </w:r>
      <w:r w:rsidR="00352EBF" w:rsidRPr="003906E8">
        <w:rPr>
          <w:sz w:val="24"/>
          <w:szCs w:val="24"/>
        </w:rPr>
        <w:t xml:space="preserve"> </w:t>
      </w:r>
      <w:r w:rsidR="004D5986" w:rsidRPr="003906E8">
        <w:rPr>
          <w:sz w:val="24"/>
          <w:szCs w:val="24"/>
        </w:rPr>
        <w:t>гетерогенности, более точному описанию групп риска</w:t>
      </w:r>
      <w:r w:rsidR="00AA65E9" w:rsidRPr="003906E8">
        <w:rPr>
          <w:sz w:val="24"/>
          <w:szCs w:val="24"/>
        </w:rPr>
        <w:t xml:space="preserve"> </w:t>
      </w:r>
      <w:r w:rsidR="004D5986" w:rsidRPr="003906E8">
        <w:rPr>
          <w:sz w:val="24"/>
          <w:szCs w:val="24"/>
        </w:rPr>
        <w:t xml:space="preserve">и персонализированному выбору лучевого и лекарственного лечения. </w:t>
      </w:r>
    </w:p>
    <w:p w14:paraId="5A59B583" w14:textId="455F7D98" w:rsidR="00BF0531" w:rsidRPr="00391BFC" w:rsidRDefault="004D5986" w:rsidP="00B80C34">
      <w:pPr>
        <w:pStyle w:val="OT"/>
        <w:spacing w:after="0"/>
        <w:ind w:firstLine="709"/>
        <w:rPr>
          <w:sz w:val="24"/>
          <w:szCs w:val="24"/>
        </w:rPr>
      </w:pPr>
      <w:r w:rsidRPr="003906E8">
        <w:rPr>
          <w:sz w:val="24"/>
          <w:szCs w:val="24"/>
        </w:rPr>
        <w:t>Несмотря на расширенные возможности терапии, 85% пациенток с метастатической</w:t>
      </w:r>
      <w:r w:rsidR="00AA65E9" w:rsidRPr="003906E8">
        <w:rPr>
          <w:sz w:val="24"/>
          <w:szCs w:val="24"/>
        </w:rPr>
        <w:t xml:space="preserve"> </w:t>
      </w:r>
      <w:r w:rsidRPr="003906E8">
        <w:rPr>
          <w:sz w:val="24"/>
          <w:szCs w:val="24"/>
        </w:rPr>
        <w:t>стадией имеют плохой прогноз и высокую смертность,</w:t>
      </w:r>
      <w:r w:rsidR="00AA65E9" w:rsidRPr="003906E8">
        <w:rPr>
          <w:sz w:val="24"/>
          <w:szCs w:val="24"/>
        </w:rPr>
        <w:t xml:space="preserve"> </w:t>
      </w:r>
      <w:r w:rsidRPr="003906E8">
        <w:rPr>
          <w:sz w:val="24"/>
          <w:szCs w:val="24"/>
        </w:rPr>
        <w:t>что отражает диспропорцию между стандартной</w:t>
      </w:r>
      <w:r w:rsidR="00AA65E9" w:rsidRPr="003906E8">
        <w:rPr>
          <w:sz w:val="24"/>
          <w:szCs w:val="24"/>
        </w:rPr>
        <w:t xml:space="preserve"> </w:t>
      </w:r>
      <w:r w:rsidRPr="003906E8">
        <w:rPr>
          <w:sz w:val="24"/>
          <w:szCs w:val="24"/>
        </w:rPr>
        <w:t>химиотерапией и пока ограниченной доступностью</w:t>
      </w:r>
      <w:r w:rsidR="00AA65E9" w:rsidRPr="003906E8">
        <w:rPr>
          <w:sz w:val="24"/>
          <w:szCs w:val="24"/>
        </w:rPr>
        <w:t xml:space="preserve"> </w:t>
      </w:r>
      <w:r w:rsidRPr="003906E8">
        <w:rPr>
          <w:sz w:val="24"/>
          <w:szCs w:val="24"/>
        </w:rPr>
        <w:t>иммунотерапии.</w:t>
      </w:r>
      <w:r w:rsidR="003C17C6">
        <w:rPr>
          <w:sz w:val="24"/>
          <w:szCs w:val="24"/>
        </w:rPr>
        <w:t xml:space="preserve"> </w:t>
      </w:r>
      <w:r w:rsidR="00EA4B4D" w:rsidRPr="003906E8">
        <w:rPr>
          <w:sz w:val="24"/>
          <w:szCs w:val="24"/>
        </w:rPr>
        <w:t xml:space="preserve">У большинства пациенток </w:t>
      </w:r>
      <w:r w:rsidR="003C17C6">
        <w:rPr>
          <w:sz w:val="24"/>
          <w:szCs w:val="24"/>
        </w:rPr>
        <w:t>РЭ</w:t>
      </w:r>
      <w:r w:rsidR="00EA4B4D" w:rsidRPr="003906E8">
        <w:rPr>
          <w:sz w:val="24"/>
          <w:szCs w:val="24"/>
        </w:rPr>
        <w:t xml:space="preserve"> носит спорадический характер. Примерно в 5% случаев </w:t>
      </w:r>
      <w:r w:rsidR="003C17C6">
        <w:rPr>
          <w:sz w:val="24"/>
          <w:szCs w:val="24"/>
        </w:rPr>
        <w:t>РЭ</w:t>
      </w:r>
      <w:r w:rsidR="00EA4B4D" w:rsidRPr="003906E8">
        <w:rPr>
          <w:sz w:val="24"/>
          <w:szCs w:val="24"/>
        </w:rPr>
        <w:t xml:space="preserve"> ассоциирован с наследственными синдромами, в частности с синдромом Линча. В качестве факторов риска данной патологии рассматриваются гиперэстрогения, ранние менархе, отсутствие родов в анамнезе, поздняя менопауза, возраст старше 55 лет, применение тамоксифена</w:t>
      </w:r>
      <w:r w:rsidR="00B44502" w:rsidRPr="003906E8">
        <w:rPr>
          <w:sz w:val="24"/>
          <w:szCs w:val="24"/>
        </w:rPr>
        <w:t xml:space="preserve"> </w:t>
      </w:r>
      <w:r w:rsidR="00B44502" w:rsidRPr="003906E8">
        <w:rPr>
          <w:sz w:val="24"/>
          <w:szCs w:val="24"/>
        </w:rPr>
        <w:fldChar w:fldCharType="begin"/>
      </w:r>
      <w:r w:rsidR="002A0E06" w:rsidRPr="003906E8">
        <w:rPr>
          <w:sz w:val="24"/>
          <w:szCs w:val="24"/>
        </w:rPr>
        <w:instrText xml:space="preserve"> ADDIN ZOTERO_ITEM CSL_CITATION {"citationID":"Igs0fTRn","properties":{"formattedCitation":"[13\\uc0\\u8211{}15]","plainCitation":"[13–15]","noteIndex":0},"citationItems":[{"id":2737,"uris":["http://zotero.org/users/5483459/items/TXT9J7TK"],"itemData":{"id":2737,"type":"document","title":"Министерство здравоохранения Российской Федерации. Клинические рекомендации.Рак тела матки и саркомы матки у взрослых. 2021."},"label":"page"},{"id":2740,"uris":["http://zotero.org/users/5483459/items/CQSNEPSC"],"itemData":{"id":2740,"type":"article-journal","title":"Кедрова А.Г., Красильников С.Э., Беришвили A.И., &amp; Звездкина Е.А. КЛИНИЧЕСКИЙ ОПЫТ РАСШИРЕНИЯ ВОЗМОЖНОСТЕЙ ТЕРАПИИ БОЛЬНЫХ РАКОМ ТЕЛА МАТКИ ПРИ ПРОГРЕССИРОВАНИИ. Опухоли женской репродуктивной системы, 2022. 18 (1), 103-110."},"label":"page"},{"id":2741,"uris":["http://zotero.org/users/5483459/items/RW5BZGRA"],"itemData":{"id":2741,"type":"document","title":"Румянцев А.А. ЛЕНВАТИНИБ И ПЕМБРОЛИЗУМАБ В ЛЕЧЕНИИ МЕТАСТАТИЧЕСКОГО РАКА ЭНДОМЕТРИЯ: ОБЗОР ЛИТЕРАТУРЫ И КЛИНИЧЕСКИЙ СЛУЧАЙ. Медицинский совет, 2021. (20), 124-128."},"label":"page"}],"schema":"https://github.com/citation-style-language/schema/raw/master/csl-citation.json"} </w:instrText>
      </w:r>
      <w:r w:rsidR="00B44502" w:rsidRPr="003906E8">
        <w:rPr>
          <w:sz w:val="24"/>
          <w:szCs w:val="24"/>
        </w:rPr>
        <w:fldChar w:fldCharType="separate"/>
      </w:r>
      <w:r w:rsidR="002A0E06" w:rsidRPr="003906E8">
        <w:rPr>
          <w:sz w:val="24"/>
          <w:szCs w:val="24"/>
        </w:rPr>
        <w:t>[13–15]</w:t>
      </w:r>
      <w:r w:rsidR="00B44502" w:rsidRPr="003906E8">
        <w:rPr>
          <w:sz w:val="24"/>
          <w:szCs w:val="24"/>
        </w:rPr>
        <w:fldChar w:fldCharType="end"/>
      </w:r>
      <w:r w:rsidR="00B44502" w:rsidRPr="003906E8">
        <w:rPr>
          <w:sz w:val="24"/>
          <w:szCs w:val="24"/>
        </w:rPr>
        <w:t>.</w:t>
      </w:r>
      <w:r w:rsidR="00391BFC">
        <w:rPr>
          <w:sz w:val="24"/>
          <w:szCs w:val="24"/>
        </w:rPr>
        <w:t xml:space="preserve"> </w:t>
      </w:r>
      <w:r w:rsidR="00EA4B4D" w:rsidRPr="00391BFC">
        <w:rPr>
          <w:sz w:val="24"/>
          <w:szCs w:val="24"/>
        </w:rPr>
        <w:t xml:space="preserve">Выделяют 2 патогенетических типа </w:t>
      </w:r>
      <w:r w:rsidR="00391BFC" w:rsidRPr="00391BFC">
        <w:rPr>
          <w:sz w:val="24"/>
          <w:szCs w:val="24"/>
        </w:rPr>
        <w:t>РЭ</w:t>
      </w:r>
      <w:r w:rsidR="004749A8" w:rsidRPr="00391BFC">
        <w:rPr>
          <w:sz w:val="24"/>
          <w:szCs w:val="24"/>
        </w:rPr>
        <w:t>:</w:t>
      </w:r>
      <w:r w:rsidR="00EA4B4D" w:rsidRPr="00391BFC">
        <w:rPr>
          <w:sz w:val="24"/>
          <w:szCs w:val="24"/>
        </w:rPr>
        <w:t xml:space="preserve"> </w:t>
      </w:r>
    </w:p>
    <w:p w14:paraId="20A354B7" w14:textId="5EA2E0F1" w:rsidR="00BF0531" w:rsidRPr="00B44502" w:rsidRDefault="00EA4B4D" w:rsidP="00B80C34">
      <w:pPr>
        <w:ind w:firstLine="709"/>
      </w:pPr>
      <w:r w:rsidRPr="00B44502">
        <w:t xml:space="preserve">I тип (более частый). Опухоль развивается в более молодом возрасте, в отличие от пациенток со II патогенетическим вариантом, на фоне длительной гиперэстрогении и гиперплазии эндометрия. У пациенток с </w:t>
      </w:r>
      <w:r w:rsidR="00391BFC">
        <w:t>РЭ</w:t>
      </w:r>
      <w:r w:rsidRPr="00B44502">
        <w:t xml:space="preserve"> I патогенетического типа часто наблюдаются ожирение, сахарный диабет и гипертоническая болезнь, возможны эстрогенсекретирующие опухоли яичников или синдром склерокистозных яичников. Опухоли I патогенетического варианта, как правило, высокодифференцированные, имеют более благоприятный прогноз. </w:t>
      </w:r>
    </w:p>
    <w:p w14:paraId="7D7FD01E" w14:textId="7B61FFA4" w:rsidR="00FF780F" w:rsidRPr="00BF0531" w:rsidRDefault="00EA4B4D" w:rsidP="00B80C34">
      <w:pPr>
        <w:ind w:firstLine="709"/>
      </w:pPr>
      <w:r w:rsidRPr="00B44502">
        <w:t>II тип. Опухоли эндометрия обычно низкодифференцированные, имеют менее благоприятный</w:t>
      </w:r>
      <w:r w:rsidRPr="00BF0531">
        <w:t xml:space="preserve"> прогноз. Опухоли II патогенетического типа возникают в более старшем возрасте, в отсутствие гиперэстрогении, на фоне атрофии эндометрия. Примерно у 80% пациенток с </w:t>
      </w:r>
      <w:r w:rsidR="00391BFC">
        <w:t>РЭ</w:t>
      </w:r>
      <w:r w:rsidRPr="00BF0531">
        <w:t xml:space="preserve"> диагностируют эндометриальную аденокарциному</w:t>
      </w:r>
      <w:r w:rsidR="00BF0531">
        <w:t xml:space="preserve"> </w:t>
      </w:r>
      <w:r w:rsidR="00BF0531">
        <w:fldChar w:fldCharType="begin"/>
      </w:r>
      <w:r w:rsidR="002A0E06">
        <w:instrText xml:space="preserve"> ADDIN ZOTERO_ITEM CSL_CITATION {"citationID":"hkKDuAlJ","properties":{"formattedCitation":"[13,16]","plainCitation":"[13,16]","noteIndex":0},"citationItems":[{"id":2738,"uris":["http://zotero.org/users/5483459/items/GAN85N3R"],"itemData":{"id":2738,"type":"article-journal","abstract":"Endometrial cancer is the most common gynaecological cancer in high income countries and its incidence is rising globally. Although an ageing population and fewer benign hysterectomies have contributed to this trend, the growing prevalence of obesity is the major underlying cause. Obesity poses challenges for diagnosis and treatment and more research is needed to offer primary prevention to high-risk women and to optimise endometrial cancer survivorship. Early presentation with postmenopausal bleeding ensures most endometrial cancers are cured by hysterectomy but those with advanced disease have a poor prognosis. Minimally invasive surgical staging and sentinel-lymph-node biopsy provides a low morbidity alternative to historical surgical management without compromising oncological outcomes. Adjuvant radiotherapy reduces loco-regional recurrence in intermediate-risk and high-risk cases. Advances in our understanding of the molecular biology of endometrial cancer have paved the way for targeted chemotherapeutic strategies, and clinical trials will establish their benefit in adjuvant, advanced, and recurrent disease settings in the coming years.","container-title":"Lancet (London, England)","DOI":"10.1016/S0140-6736(22)00323-3","ISSN":"1474-547X","issue":"10333","journalAbbreviation":"Lancet","language":"eng","note":"PMID: 35397864","page":"1412-1428","source":"PubMed","title":"Endometrial cancer","volume":"399","author":[{"family":"Crosbie","given":"Emma J."},{"family":"Kitson","given":"Sarah J."},{"family":"McAlpine","given":"Jessica N."},{"family":"Mukhopadhyay","given":"Asima"},{"family":"Powell","given":"Melanie E."},{"family":"Singh","given":"Naveena"}],"issued":{"date-parts":[["2022",4,9]]}},"label":"page"},{"id":2737,"uris":["http://zotero.org/users/5483459/items/TXT9J7TK"],"itemData":{"id":2737,"type":"document","title":"Министерство здравоохранения Российской Федерации. Клинические рекомендации.Рак тела матки и саркомы матки у взрослых. 2021."},"label":"page"}],"schema":"https://github.com/citation-style-language/schema/raw/master/csl-citation.json"} </w:instrText>
      </w:r>
      <w:r w:rsidR="00BF0531">
        <w:fldChar w:fldCharType="separate"/>
      </w:r>
      <w:r w:rsidR="002A0E06" w:rsidRPr="002A0E06">
        <w:t>[13,16]</w:t>
      </w:r>
      <w:r w:rsidR="00BF0531">
        <w:fldChar w:fldCharType="end"/>
      </w:r>
      <w:r w:rsidR="00447328">
        <w:t>.</w:t>
      </w:r>
    </w:p>
    <w:p w14:paraId="6A1A538F" w14:textId="43D39555" w:rsidR="00295007" w:rsidRPr="006A2AD7" w:rsidRDefault="00295007" w:rsidP="00B44502">
      <w:pPr>
        <w:pStyle w:val="111"/>
      </w:pPr>
      <w:bookmarkStart w:id="33" w:name="_Toc395011863"/>
      <w:bookmarkStart w:id="34" w:name="_Toc126059690"/>
      <w:r w:rsidRPr="006A2AD7">
        <w:t>1.7.2. Существующие варианты терапии</w:t>
      </w:r>
      <w:bookmarkStart w:id="35" w:name="_Hlk521882537"/>
      <w:bookmarkEnd w:id="33"/>
      <w:bookmarkEnd w:id="34"/>
    </w:p>
    <w:p w14:paraId="3AA5EF48" w14:textId="4986B2A1" w:rsidR="001D4C32" w:rsidRPr="001D4C32" w:rsidRDefault="00BC5A6C" w:rsidP="001D4C32">
      <w:pPr>
        <w:rPr>
          <w:b/>
          <w:bCs/>
        </w:rPr>
      </w:pPr>
      <w:r w:rsidRPr="00BC5A6C">
        <w:rPr>
          <w:b/>
          <w:bCs/>
        </w:rPr>
        <w:t xml:space="preserve">Лечение </w:t>
      </w:r>
      <w:r>
        <w:rPr>
          <w:b/>
          <w:bCs/>
        </w:rPr>
        <w:t>г</w:t>
      </w:r>
      <w:r w:rsidR="001D4C32" w:rsidRPr="001D4C32">
        <w:rPr>
          <w:b/>
          <w:bCs/>
        </w:rPr>
        <w:t>епатоцеллюлярн</w:t>
      </w:r>
      <w:r>
        <w:rPr>
          <w:b/>
          <w:bCs/>
        </w:rPr>
        <w:t>ого</w:t>
      </w:r>
      <w:r w:rsidR="001D4C32" w:rsidRPr="001D4C32">
        <w:rPr>
          <w:b/>
          <w:bCs/>
        </w:rPr>
        <w:t xml:space="preserve"> рак</w:t>
      </w:r>
      <w:r>
        <w:rPr>
          <w:b/>
          <w:bCs/>
        </w:rPr>
        <w:t>а</w:t>
      </w:r>
    </w:p>
    <w:p w14:paraId="52A40C57" w14:textId="77777777" w:rsidR="002F053D" w:rsidRDefault="002F053D" w:rsidP="002A0E06">
      <w:pPr>
        <w:ind w:firstLine="851"/>
      </w:pPr>
    </w:p>
    <w:p w14:paraId="500D9CDC" w14:textId="5C12A72B" w:rsidR="00422B34" w:rsidRDefault="001D4C32" w:rsidP="00B80C34">
      <w:pPr>
        <w:ind w:firstLine="709"/>
      </w:pPr>
      <w:r>
        <w:t>Р</w:t>
      </w:r>
      <w:r w:rsidR="007A1737">
        <w:t xml:space="preserve">адикальное лечение раннего локализованного </w:t>
      </w:r>
      <w:bookmarkStart w:id="36" w:name="_Hlk118131763"/>
      <w:r w:rsidR="007A1737">
        <w:t>ГЦР</w:t>
      </w:r>
      <w:bookmarkEnd w:id="36"/>
      <w:r w:rsidR="007A1737">
        <w:t xml:space="preserve"> включает резекцию печени,</w:t>
      </w:r>
      <w:r>
        <w:t xml:space="preserve"> </w:t>
      </w:r>
      <w:r w:rsidR="007A1737">
        <w:t>ортотопическую трансплантацию печени и применение местно-деструктивных аблативных</w:t>
      </w:r>
      <w:r w:rsidR="00D343C9">
        <w:t xml:space="preserve"> </w:t>
      </w:r>
      <w:r w:rsidR="007A1737">
        <w:t>методов (радиочастотн</w:t>
      </w:r>
      <w:r w:rsidR="00D343C9">
        <w:t xml:space="preserve">ая и </w:t>
      </w:r>
      <w:r w:rsidR="007A1737">
        <w:t>микроволнов</w:t>
      </w:r>
      <w:r w:rsidR="00D343C9">
        <w:t>ая</w:t>
      </w:r>
      <w:r w:rsidR="007A1737">
        <w:t xml:space="preserve"> аблаци</w:t>
      </w:r>
      <w:r w:rsidR="00D343C9">
        <w:t>я</w:t>
      </w:r>
      <w:r w:rsidR="00472158">
        <w:t xml:space="preserve">). </w:t>
      </w:r>
      <w:r w:rsidR="007A1737">
        <w:t>Паллиативное лечение ГЦР направлено на достижение контроля над проявлениями болезни,</w:t>
      </w:r>
      <w:r w:rsidR="00472158">
        <w:t xml:space="preserve"> </w:t>
      </w:r>
      <w:r w:rsidR="007A1737">
        <w:t>призвано увеличивать продолжительность и улучшать качество жизни пациентов</w:t>
      </w:r>
      <w:r w:rsidR="00852CC8">
        <w:t xml:space="preserve"> и </w:t>
      </w:r>
      <w:r w:rsidR="007A1737">
        <w:t>включает интервенционно-радиологическое лечение</w:t>
      </w:r>
      <w:r w:rsidR="00852CC8">
        <w:t xml:space="preserve"> </w:t>
      </w:r>
      <w:r w:rsidR="007A1737">
        <w:t>(различные виды эмболизации) и системную химиотерапию</w:t>
      </w:r>
      <w:r w:rsidR="00472158">
        <w:t xml:space="preserve">. </w:t>
      </w:r>
      <w:r w:rsidR="00422B34">
        <w:t>Системная терапия рекомендуется врачом-онкологом пациентам с ГЦР для улучшения</w:t>
      </w:r>
      <w:r w:rsidR="00C93525">
        <w:t xml:space="preserve"> </w:t>
      </w:r>
      <w:r w:rsidR="00422B34">
        <w:t>выживаемости и контроля роста опухоли при</w:t>
      </w:r>
      <w:r w:rsidR="007331F3">
        <w:t>:</w:t>
      </w:r>
    </w:p>
    <w:p w14:paraId="120F7AC2" w14:textId="740859D4" w:rsidR="00422B34" w:rsidRDefault="00422B34" w:rsidP="00B80C34">
      <w:pPr>
        <w:ind w:firstLine="709"/>
      </w:pPr>
      <w:r>
        <w:t>– наличии объективных признаков опухолевого процесса и удовлетворительном общем</w:t>
      </w:r>
      <w:r w:rsidR="00073106">
        <w:t xml:space="preserve"> </w:t>
      </w:r>
      <w:r>
        <w:t>состоянии (0–1 балл по шкале</w:t>
      </w:r>
      <w:r w:rsidR="004F568D" w:rsidRPr="004F568D">
        <w:t>, которая используется для оценки общего состояния онкологического больного</w:t>
      </w:r>
      <w:r>
        <w:t xml:space="preserve"> ECOG</w:t>
      </w:r>
      <w:r w:rsidR="00DB3800">
        <w:rPr>
          <w:rStyle w:val="af"/>
        </w:rPr>
        <w:footnoteReference w:id="1"/>
      </w:r>
      <w:r w:rsidR="00472158">
        <w:t>)</w:t>
      </w:r>
      <w:r w:rsidR="007331F3">
        <w:t>;</w:t>
      </w:r>
    </w:p>
    <w:p w14:paraId="76E51819" w14:textId="55A55287" w:rsidR="00422B34" w:rsidRDefault="00422B34" w:rsidP="00B80C34">
      <w:pPr>
        <w:ind w:firstLine="709"/>
      </w:pPr>
      <w:r>
        <w:t>– сохранной функции печени (класс А</w:t>
      </w:r>
      <w:r w:rsidR="003B5A6C">
        <w:t xml:space="preserve"> </w:t>
      </w:r>
      <w:r>
        <w:t xml:space="preserve"> или  В по </w:t>
      </w:r>
      <w:r w:rsidR="00C93525">
        <w:t>классификации</w:t>
      </w:r>
      <w:r w:rsidR="009309A7">
        <w:t xml:space="preserve"> </w:t>
      </w:r>
      <w:r w:rsidR="0035512E" w:rsidRPr="0035512E">
        <w:t>для определения тяжести циррозов печени и выживаемости пациента</w:t>
      </w:r>
      <w:r w:rsidR="0035512E">
        <w:t xml:space="preserve"> </w:t>
      </w:r>
      <w:r w:rsidR="00800532" w:rsidRPr="0078396C">
        <w:t>Чайлда</w:t>
      </w:r>
      <w:r w:rsidR="00540E42" w:rsidRPr="00540E42">
        <w:t>‒</w:t>
      </w:r>
      <w:r w:rsidR="00800532" w:rsidRPr="0078396C">
        <w:t>Пью</w:t>
      </w:r>
      <w:r w:rsidR="00800532">
        <w:t xml:space="preserve"> (</w:t>
      </w:r>
      <w:r>
        <w:t>Child–Pugh</w:t>
      </w:r>
      <w:r w:rsidR="00800532">
        <w:t>)</w:t>
      </w:r>
      <w:r>
        <w:t xml:space="preserve"> 5–7 баллов);</w:t>
      </w:r>
    </w:p>
    <w:p w14:paraId="51FC533C" w14:textId="2FDBB548" w:rsidR="00422B34" w:rsidRDefault="00422B34" w:rsidP="00B80C34">
      <w:pPr>
        <w:ind w:firstLine="709"/>
      </w:pPr>
      <w:r>
        <w:t>– невозможности применения локальных методов лечения (резекции, трансплантации печени,</w:t>
      </w:r>
      <w:r w:rsidR="003B5A6C">
        <w:t xml:space="preserve"> </w:t>
      </w:r>
      <w:r>
        <w:t>(химио-) эмболизации опухолевых узлов);</w:t>
      </w:r>
    </w:p>
    <w:p w14:paraId="5811F3C5" w14:textId="77777777" w:rsidR="00422B34" w:rsidRDefault="00422B34" w:rsidP="00B80C34">
      <w:pPr>
        <w:ind w:firstLine="709"/>
      </w:pPr>
      <w:r>
        <w:t>– внутрипеченочном локализованном ГЦР (как терапия ожидания трансплантации);</w:t>
      </w:r>
    </w:p>
    <w:p w14:paraId="6826B03D" w14:textId="7494372A" w:rsidR="00BC5A6C" w:rsidRDefault="00422B34" w:rsidP="00B80C34">
      <w:pPr>
        <w:ind w:firstLine="709"/>
      </w:pPr>
      <w:r>
        <w:t>– внепеченочном метастазировании и/или прогрессировании процесса в печени после</w:t>
      </w:r>
      <w:r w:rsidR="007331F3">
        <w:t xml:space="preserve"> </w:t>
      </w:r>
      <w:r>
        <w:t>применения локальных методов лечения</w:t>
      </w:r>
      <w:r w:rsidR="005E5E10">
        <w:t xml:space="preserve"> </w:t>
      </w:r>
      <w:r w:rsidR="005E5E10">
        <w:fldChar w:fldCharType="begin"/>
      </w:r>
      <w:r w:rsidR="002A0E06">
        <w:instrText xml:space="preserve"> ADDIN ZOTERO_ITEM CSL_CITATION {"citationID":"PaFRo8RC","properties":{"formattedCitation":"[7\\uc0\\u8211{}9]","plainCitation":"[7–9]","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2022."},"label":"page"},{"id":2716,"uris":["http://zotero.org/users/5483459/items/RKPMQ58D"],"itemData":{"id":2716,"type":"article-journal","abstract":"BACKGROUND: Thyroid nodules are a common clinical problem, and differentiated thyroid cancer is becoming increasingly prevalent. Since the American Thyroid Association's (ATA's) guidelines for the management of these disorders were revised in 2009, significant scientific advances have occurred in the field. The aim of these guidelines is to inform clinicians, patients, researchers, and health policy makers on published evidence relating to the diagnosis and management of thyroid nodules and differentiated thyroid cancer.\nMETHODS: The specific clinical questions addressed in these guidelines were based on prior versions of the guidelines, stakeholder input, and input of task force members. Task force panel members were educated on knowledge synthesis methods, including electronic database searching, review and selection of relevant citations, and critical appraisal of selected studies. Published English language articles on adults were eligible for inclusion. The American College of Physicians Guideline Grading System was used for critical appraisal of evidence and grading strength of recommendations for therapeutic interventions. We developed a similarly formatted system to appraise the quality of such studies and resultant recommendations. The guideline panel had complete editorial independence from the ATA. Competing interests of guideline task force members were regularly updated, managed, and communicated to the ATA and task force members.\nRESULTS: The revised guidelines for the management of thyroid nodules include recommendations regarding initial evaluation, clinical and ultrasound criteria for fine-needle aspiration biopsy, interpretation of fine-needle aspiration biopsy results, use of molecular markers, and management of benign thyroid nodules. Recommendations regarding the initial management of thyroid cancer include those relating to screening for thyroid cancer, staging and risk assessment, surgical management, radioiodine remnant ablation and therapy, and thyrotropin suppression therapy using levothyroxine. Recommendations related to long-term management of differentiated thyroid cancer include those related to surveillance for recurrent disease using imaging and serum thyroglobulin, thyroid hormone therapy, management of recurrent and metastatic disease, consideration for clinical trials and targeted therapy, as well as directions for future research.\nCONCLUSIONS: We have developed evidence-based recommendations to inform clinical decision-making in the management of thyroid nodules and differentiated thyroid cancer. They represent, in our opinion, contemporary optimal care for patients with these disorders.","container-title":"Thyroid: Official Journal of the American Thyroid Association","DOI":"10.1089/thy.2015.0020","ISSN":"1557-9077","issue":"1","journalAbbreviation":"Thyroid","language":"eng","note":"PMID: 26462967\nPMCID: PMC4739132","page":"1-133","source":"PubMed","title":"2015 American Thyroid Association Management Guidelines for Adult Patients with Thyroid Nodules and Differentiated Thyroid Cancer: The American Thyroid Association Guidelines Task Force on Thyroid Nodules and Differentiated Thyroid Cancer","title-short":"2015 American Thyroid Association Management Guidelines for Adult Patients with Thyroid Nodules and Differentiated Thyroid Cancer","volume":"26","author":[{"family":"Haugen","given":"Bryan R."},{"family":"Alexander","given":"Erik K."},{"family":"Bible","given":"Keith C."},{"family":"Doherty","given":"Gerard M."},{"family":"Mandel","given":"Susan J."},{"family":"Nikiforov","given":"Yuri E."},{"family":"Pacini","given":"Furio"},{"family":"Randolph","given":"Gregory W."},{"family":"Sawka","given":"Anna M."},{"family":"Schlumberger","given":"Martin"},{"family":"Schuff","given":"Kathryn G."},{"family":"Sherman","given":"Steven I."},{"family":"Sosa","given":"Julie Ann"},{"family":"Steward","given":"David L."},{"family":"Tuttle","given":"R. Michael"},{"family":"Wartofsky","given":"Leonard"}],"issued":{"date-parts":[["2016",1]]}},"label":"page"},{"id":2719,"uris":["http://zotero.org/users/5483459/items/36TDGZR3"],"itemData":{"id":2719,"type":"article-journal","abstract":"BACKGROUND: Publication of the 2015 American Thyroid Association (ATA) management guidelines for adult patients with thyroid nodules and differentiated thyroid cancer was met with disagreement by the extended nuclear medicine community with regard to some of the recommendations related to the diagnostic and therapeutic use of radioiodine (131I). Because of these concerns, the European Association of Nuclear Medicine and the Society of Nuclear Medicine and Molecular Imaging declined to endorse the ATA guidelines. As a result of these differences in opinion, patients and clinicians risk receiving conflicting advice with regard to several key thyroid cancer management issues.\nSUMMARY: To address some of the differences in opinion and controversies associated with the therapeutic uses of 131I in differentiated thyroid cancer constructively, the ATA, the European Association of Nuclear Medicine, the Society of Nuclear Medicine and Molecular Imaging, and the European Thyroid Association each sent senior leadership and subject-matter experts to a two-day interactive meeting. The goals of this first meeting were to (i) formalize the dialogue and activities between the four societies; (ii) discuss indications for 131I adjuvant treatment; (iii) define the optimal prescribed activity of 131I for adjuvant treatment; and (iv) clarify the definition and classification of 131I-refractory thyroid cancer.\nCONCLUSION: By fostering an open, productive, and evidence-based discussion, the Martinique meeting restored trust, confidence, and a sense of collegiality between individuals and organizations that are committed to optimal thyroid disease management. The result of this first meeting is a set of nine principles (The Martinique Principles) that (i) describe a commitment to proactive, purposeful, and inclusive interdisciplinary cooperation; (ii) define the goals of 131I therapy as remnant ablation, adjuvant treatment, or treatment of known disease; (iii) describe the importance of evaluating postoperative disease status and multiple other factors beyond clinicopathologic staging in 131I therapy decision making; (iv) recognize that the optimal administered activity of 131I adjuvant treatment cannot be definitely determined from the published literature; and (v) acknowledge that current definitions of 131I-refractory disease are suboptimal and do not represent definitive criteria to mandate whether 131I therapy should be recommended.","container-title":"Thyroid: Official Journal of the American Thyroid Association","DOI":"10.1089/thy.2018.0597","ISSN":"1557-9077","issue":"4","journalAbbreviation":"Thyroid","language":"eng","note":"PMID: 30900516","page":"461-470","source":"PubMed","title":"Controversies, Consensus, and Collaboration in the Use of 131I Therapy in Differentiated Thyroid Cancer: A Joint Statement from the American Thyroid Association, the European Association of Nuclear Medicine, the Society of Nuclear Medicine and Molecular Imaging, and the European Thyroid Association","title-short":"Controversies, Consensus, and Collaboration in the Use of 131I Therapy in Differentiated Thyroid Cancer","volume":"29","author":[{"family":"Tuttle","given":"R. Michael"},{"family":"Ahuja","given":"Sukhjeet"},{"family":"Avram","given":"Anca M."},{"family":"Bernet","given":"Victor J."},{"family":"Bourguet","given":"Patrick"},{"family":"Daniels","given":"Gilbert H."},{"family":"Dillehay","given":"Gary"},{"family":"Draganescu","given":"Ciprian"},{"family":"Flux","given":"Glenn"},{"family":"Führer","given":"Dagmar"},{"family":"Giovanella","given":"Luca"},{"family":"Greenspan","given":"Bennett"},{"family":"Luster","given":"Markus"},{"family":"Muylle","given":"Kristoff"},{"family":"Smit","given":"Johannes W. A."},{"family":"Van Nostrand","given":"Douglas"},{"family":"Verburg","given":"Frederik A."},{"family":"Hegedüs","given":"Laszlo"}],"issued":{"date-parts":[["2019",4]]}},"label":"page"}],"schema":"https://github.com/citation-style-language/schema/raw/master/csl-citation.json"} </w:instrText>
      </w:r>
      <w:r w:rsidR="005E5E10">
        <w:fldChar w:fldCharType="separate"/>
      </w:r>
      <w:r w:rsidR="002A0E06" w:rsidRPr="002A0E06">
        <w:t>[7–9]</w:t>
      </w:r>
      <w:r w:rsidR="005E5E10">
        <w:fldChar w:fldCharType="end"/>
      </w:r>
      <w:r w:rsidR="005E5E10">
        <w:t>.</w:t>
      </w:r>
    </w:p>
    <w:p w14:paraId="3214B29C" w14:textId="28311A1F" w:rsidR="004749A8" w:rsidRDefault="00BC5A6C" w:rsidP="00B80C34">
      <w:pPr>
        <w:ind w:firstLine="709"/>
      </w:pPr>
      <w:r>
        <w:lastRenderedPageBreak/>
        <w:t xml:space="preserve">План лечения ГЦР </w:t>
      </w:r>
      <w:r w:rsidR="00B80C34">
        <w:t>раз</w:t>
      </w:r>
      <w:r>
        <w:t xml:space="preserve">рабатывается на основании результатов объективного обследования мультидисциплинарной командой специалистов (включающей врача-радиолога, врача-хирурга (гепатолога), врача по рентгеноэндоваскулярным диагностике и лечению, врача-онколога, врача-гастроэнтеролога, имеющих опыт работы с пациентами с ГЦР на базе специализированных центров </w:t>
      </w:r>
      <w:r>
        <w:fldChar w:fldCharType="begin"/>
      </w:r>
      <w:r w:rsidR="002A0E06">
        <w:instrText xml:space="preserve"> ADDIN ZOTERO_ITEM CSL_CITATION {"citationID":"bMTI15J0","properties":{"formattedCitation":"[17]","plainCitation":"[17]","noteIndex":0},"citationItems":[{"id":2715,"uris":["http://zotero.org/users/5483459/items/PLE7CJ27"],"itemData":{"id":2715,"type":"document","title":"Министерство здравоохранения Российской Федерации. Клинические рекомендации Рак печени (гепатоцеллюлярный). 2022."}}],"schema":"https://github.com/citation-style-language/schema/raw/master/csl-citation.json"} </w:instrText>
      </w:r>
      <w:r>
        <w:fldChar w:fldCharType="separate"/>
      </w:r>
      <w:r w:rsidR="002A0E06" w:rsidRPr="002A0E06">
        <w:t>[17]</w:t>
      </w:r>
      <w:r>
        <w:fldChar w:fldCharType="end"/>
      </w:r>
      <w:r>
        <w:t>.</w:t>
      </w:r>
    </w:p>
    <w:p w14:paraId="612D4638" w14:textId="77777777" w:rsidR="002F053D" w:rsidRDefault="002F053D" w:rsidP="00422B34">
      <w:pPr>
        <w:rPr>
          <w:b/>
          <w:bCs/>
        </w:rPr>
      </w:pPr>
    </w:p>
    <w:p w14:paraId="5B435545" w14:textId="1D4E555B" w:rsidR="00625866" w:rsidRPr="00BC5A6C" w:rsidRDefault="00BC5A6C" w:rsidP="00422B34">
      <w:pPr>
        <w:rPr>
          <w:b/>
          <w:bCs/>
        </w:rPr>
      </w:pPr>
      <w:r w:rsidRPr="00BC5A6C">
        <w:rPr>
          <w:b/>
          <w:bCs/>
        </w:rPr>
        <w:t>Лечение рака щитовидной железы</w:t>
      </w:r>
    </w:p>
    <w:p w14:paraId="773050D2" w14:textId="77777777" w:rsidR="002F053D" w:rsidRDefault="002F053D" w:rsidP="002A0E06">
      <w:pPr>
        <w:ind w:firstLine="851"/>
      </w:pPr>
    </w:p>
    <w:p w14:paraId="04272EDB" w14:textId="02259777" w:rsidR="001840CE" w:rsidRPr="001840CE" w:rsidRDefault="001840CE" w:rsidP="00B80C34">
      <w:pPr>
        <w:ind w:firstLine="709"/>
      </w:pPr>
      <w:r w:rsidRPr="001840CE">
        <w:t xml:space="preserve">Подавляющее большинство случаев дифференцированного РЩЖ выявляют при обследовании пациентов по поводу узлового зоба. Меньшая часть случаев диагностируется в связи с отягощенным личным или семейным анамнезом, изменением голоса, обнаружением увеличенных шейных лимфатических узлов или отдаленных метастазов </w:t>
      </w:r>
      <w:r>
        <w:fldChar w:fldCharType="begin"/>
      </w:r>
      <w:r w:rsidR="002A0E06">
        <w:instrText xml:space="preserve"> ADDIN ZOTERO_ITEM CSL_CITATION {"citationID":"Uk5h8qFB","properties":{"formattedCitation":"[7]","plainCitation":"[7]","noteIndex":0},"citationItems":[{"id":2656,"uris":["http://zotero.org/users/5483459/items/2FHBSACU"],"itemData":{"id":2656,"type":"document","title":"Министерство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2022."}}],"schema":"https://github.com/citation-style-language/schema/raw/master/csl-citation.json"} </w:instrText>
      </w:r>
      <w:r>
        <w:fldChar w:fldCharType="separate"/>
      </w:r>
      <w:r w:rsidR="002A0E06" w:rsidRPr="002A0E06">
        <w:t>[7]</w:t>
      </w:r>
      <w:r>
        <w:fldChar w:fldCharType="end"/>
      </w:r>
      <w:r>
        <w:t>.</w:t>
      </w:r>
    </w:p>
    <w:p w14:paraId="1B992FA5" w14:textId="31F112E9" w:rsidR="005E5E10" w:rsidRDefault="004B32BF" w:rsidP="00B80C34">
      <w:pPr>
        <w:ind w:firstLine="709"/>
      </w:pPr>
      <w:r>
        <w:t>При лечении дифференциро</w:t>
      </w:r>
      <w:r w:rsidR="000B25D6">
        <w:t>в</w:t>
      </w:r>
      <w:r>
        <w:t>анного РЩЖ</w:t>
      </w:r>
      <w:r w:rsidR="005E5E10">
        <w:t xml:space="preserve"> </w:t>
      </w:r>
      <w:r w:rsidR="00C06DD3">
        <w:t>при IV, V и VI категории цитологического заключения по современной международной цитологической классификации</w:t>
      </w:r>
      <w:r w:rsidR="00425D27">
        <w:t xml:space="preserve"> </w:t>
      </w:r>
      <w:r w:rsidR="00425D27" w:rsidRPr="00425D27">
        <w:t>описания протокола цитологического исследования пунктатов щитовидной железы</w:t>
      </w:r>
      <w:r w:rsidR="00C06DD3">
        <w:t xml:space="preserve"> (Bethesda Thyroid Classification, 2009)</w:t>
      </w:r>
      <w:r w:rsidR="00800532">
        <w:t xml:space="preserve"> </w:t>
      </w:r>
      <w:r w:rsidR="00C06DD3">
        <w:t>рекомендовано хирургическое лечение с целью повышения выживаемости пациентов.</w:t>
      </w:r>
      <w:r w:rsidR="000B25D6">
        <w:t xml:space="preserve"> При опухоли размером &gt;4 см или при опухоли с выраженной экстратиреоидной инвазией (клинически T4), клинически выраженными метастазами (сN1) или отдаленными метастазами (M1) в качестве первичного лечения рекомендуется тиреоидэктомия с максимальной хирургической аблацией опухолевой ткани в пределах возможных противопоказаний с целью повышения выживаемости пациентов </w:t>
      </w:r>
      <w:r w:rsidR="00EC56D5">
        <w:fldChar w:fldCharType="begin"/>
      </w:r>
      <w:r w:rsidR="002A0E06">
        <w:instrText xml:space="preserve"> ADDIN ZOTERO_ITEM CSL_CITATION {"citationID":"CRN4aF72","properties":{"formattedCitation":"[7]","plainCitation":"[7]","noteIndex":0},"citationItems":[{"id":2656,"uris":["http://zotero.org/users/5483459/items/2FHBSACU"],"itemData":{"id":2656,"type":"document","title":"Министерство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2022."}}],"schema":"https://github.com/citation-style-language/schema/raw/master/csl-citation.json"} </w:instrText>
      </w:r>
      <w:r w:rsidR="00EC56D5">
        <w:fldChar w:fldCharType="separate"/>
      </w:r>
      <w:r w:rsidR="002A0E06" w:rsidRPr="002A0E06">
        <w:t>[7]</w:t>
      </w:r>
      <w:r w:rsidR="00EC56D5">
        <w:fldChar w:fldCharType="end"/>
      </w:r>
      <w:r w:rsidR="00EC56D5">
        <w:t>.</w:t>
      </w:r>
    </w:p>
    <w:p w14:paraId="18D9DE25" w14:textId="3BF8BD65" w:rsidR="00EC56D5" w:rsidRDefault="004B1812" w:rsidP="00B80C34">
      <w:pPr>
        <w:ind w:firstLine="709"/>
      </w:pPr>
      <w:bookmarkStart w:id="39" w:name="_Hlk118311504"/>
      <w:r>
        <w:t>Радиойодтерапия (РЙТ)</w:t>
      </w:r>
      <w:bookmarkEnd w:id="39"/>
      <w:r>
        <w:t xml:space="preserve"> рекомендована больным группы промежуточного и высокого риска, поскольку достоверно уменьшает вероятность прогрессирования заболевания и увеличивает выживаемость. В связи с отсутствием влияния на показатели смертности РЙТ в группе пациентов низкого риска не рекомендуется </w:t>
      </w:r>
      <w:r>
        <w:fldChar w:fldCharType="begin"/>
      </w:r>
      <w:r w:rsidR="002A0E06">
        <w:instrText xml:space="preserve"> ADDIN ZOTERO_ITEM CSL_CITATION {"citationID":"ZsYvAaoq","properties":{"formattedCitation":"[7\\uc0\\u8211{}9]","plainCitation":"[7–9]","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2022."},"label":"page"},{"id":2716,"uris":["http://zotero.org/users/5483459/items/RKPMQ58D"],"itemData":{"id":2716,"type":"article-journal","abstract":"BACKGROUND: Thyroid nodules are a common clinical problem, and differentiated thyroid cancer is becoming increasingly prevalent. Since the American Thyroid Association's (ATA's) guidelines for the management of these disorders were revised in 2009, significant scientific advances have occurred in the field. The aim of these guidelines is to inform clinicians, patients, researchers, and health policy makers on published evidence relating to the diagnosis and management of thyroid nodules and differentiated thyroid cancer.\nMETHODS: The specific clinical questions addressed in these guidelines were based on prior versions of the guidelines, stakeholder input, and input of task force members. Task force panel members were educated on knowledge synthesis methods, including electronic database searching, review and selection of relevant citations, and critical appraisal of selected studies. Published English language articles on adults were eligible for inclusion. The American College of Physicians Guideline Grading System was used for critical appraisal of evidence and grading strength of recommendations for therapeutic interventions. We developed a similarly formatted system to appraise the quality of such studies and resultant recommendations. The guideline panel had complete editorial independence from the ATA. Competing interests of guideline task force members were regularly updated, managed, and communicated to the ATA and task force members.\nRESULTS: The revised guidelines for the management of thyroid nodules include recommendations regarding initial evaluation, clinical and ultrasound criteria for fine-needle aspiration biopsy, interpretation of fine-needle aspiration biopsy results, use of molecular markers, and management of benign thyroid nodules. Recommendations regarding the initial management of thyroid cancer include those relating to screening for thyroid cancer, staging and risk assessment, surgical management, radioiodine remnant ablation and therapy, and thyrotropin suppression therapy using levothyroxine. Recommendations related to long-term management of differentiated thyroid cancer include those related to surveillance for recurrent disease using imaging and serum thyroglobulin, thyroid hormone therapy, management of recurrent and metastatic disease, consideration for clinical trials and targeted therapy, as well as directions for future research.\nCONCLUSIONS: We have developed evidence-based recommendations to inform clinical decision-making in the management of thyroid nodules and differentiated thyroid cancer. They represent, in our opinion, contemporary optimal care for patients with these disorders.","container-title":"Thyroid: Official Journal of the American Thyroid Association","DOI":"10.1089/thy.2015.0020","ISSN":"1557-9077","issue":"1","journalAbbreviation":"Thyroid","language":"eng","note":"PMID: 26462967\nPMCID: PMC4739132","page":"1-133","source":"PubMed","title":"2015 American Thyroid Association Management Guidelines for Adult Patients with Thyroid Nodules and Differentiated Thyroid Cancer: The American Thyroid Association Guidelines Task Force on Thyroid Nodules and Differentiated Thyroid Cancer","title-short":"2015 American Thyroid Association Management Guidelines for Adult Patients with Thyroid Nodules and Differentiated Thyroid Cancer","volume":"26","author":[{"family":"Haugen","given":"Bryan R."},{"family":"Alexander","given":"Erik K."},{"family":"Bible","given":"Keith C."},{"family":"Doherty","given":"Gerard M."},{"family":"Mandel","given":"Susan J."},{"family":"Nikiforov","given":"Yuri E."},{"family":"Pacini","given":"Furio"},{"family":"Randolph","given":"Gregory W."},{"family":"Sawka","given":"Anna M."},{"family":"Schlumberger","given":"Martin"},{"family":"Schuff","given":"Kathryn G."},{"family":"Sherman","given":"Steven I."},{"family":"Sosa","given":"Julie Ann"},{"family":"Steward","given":"David L."},{"family":"Tuttle","given":"R. Michael"},{"family":"Wartofsky","given":"Leonard"}],"issued":{"date-parts":[["2016",1]]}},"label":"page"},{"id":2719,"uris":["http://zotero.org/users/5483459/items/36TDGZR3"],"itemData":{"id":2719,"type":"article-journal","abstract":"BACKGROUND: Publication of the 2015 American Thyroid Association (ATA) management guidelines for adult patients with thyroid nodules and differentiated thyroid cancer was met with disagreement by the extended nuclear medicine community with regard to some of the recommendations related to the diagnostic and therapeutic use of radioiodine (131I). Because of these concerns, the European Association of Nuclear Medicine and the Society of Nuclear Medicine and Molecular Imaging declined to endorse the ATA guidelines. As a result of these differences in opinion, patients and clinicians risk receiving conflicting advice with regard to several key thyroid cancer management issues.\nSUMMARY: To address some of the differences in opinion and controversies associated with the therapeutic uses of 131I in differentiated thyroid cancer constructively, the ATA, the European Association of Nuclear Medicine, the Society of Nuclear Medicine and Molecular Imaging, and the European Thyroid Association each sent senior leadership and subject-matter experts to a two-day interactive meeting. The goals of this first meeting were to (i) formalize the dialogue and activities between the four societies; (ii) discuss indications for 131I adjuvant treatment; (iii) define the optimal prescribed activity of 131I for adjuvant treatment; and (iv) clarify the definition and classification of 131I-refractory thyroid cancer.\nCONCLUSION: By fostering an open, productive, and evidence-based discussion, the Martinique meeting restored trust, confidence, and a sense of collegiality between individuals and organizations that are committed to optimal thyroid disease management. The result of this first meeting is a set of nine principles (The Martinique Principles) that (i) describe a commitment to proactive, purposeful, and inclusive interdisciplinary cooperation; (ii) define the goals of 131I therapy as remnant ablation, adjuvant treatment, or treatment of known disease; (iii) describe the importance of evaluating postoperative disease status and multiple other factors beyond clinicopathologic staging in 131I therapy decision making; (iv) recognize that the optimal administered activity of 131I adjuvant treatment cannot be definitely determined from the published literature; and (v) acknowledge that current definitions of 131I-refractory disease are suboptimal and do not represent definitive criteria to mandate whether 131I therapy should be recommended.","container-title":"Thyroid: Official Journal of the American Thyroid Association","DOI":"10.1089/thy.2018.0597","ISSN":"1557-9077","issue":"4","journalAbbreviation":"Thyroid","language":"eng","note":"PMID: 30900516","page":"461-470","source":"PubMed","title":"Controversies, Consensus, and Collaboration in the Use of 131I Therapy in Differentiated Thyroid Cancer: A Joint Statement from the American Thyroid Association, the European Association of Nuclear Medicine, the Society of Nuclear Medicine and Molecular Imaging, and the European Thyroid Association","title-short":"Controversies, Consensus, and Collaboration in the Use of 131I Therapy in Differentiated Thyroid Cancer","volume":"29","author":[{"family":"Tuttle","given":"R. Michael"},{"family":"Ahuja","given":"Sukhjeet"},{"family":"Avram","given":"Anca M."},{"family":"Bernet","given":"Victor J."},{"family":"Bourguet","given":"Patrick"},{"family":"Daniels","given":"Gilbert H."},{"family":"Dillehay","given":"Gary"},{"family":"Draganescu","given":"Ciprian"},{"family":"Flux","given":"Glenn"},{"family":"Führer","given":"Dagmar"},{"family":"Giovanella","given":"Luca"},{"family":"Greenspan","given":"Bennett"},{"family":"Luster","given":"Markus"},{"family":"Muylle","given":"Kristoff"},{"family":"Smit","given":"Johannes W. A."},{"family":"Van Nostrand","given":"Douglas"},{"family":"Verburg","given":"Frederik A."},{"family":"Hegedüs","given":"Laszlo"}],"issued":{"date-parts":[["2019",4]]}},"label":"page"}],"schema":"https://github.com/citation-style-language/schema/raw/master/csl-citation.json"} </w:instrText>
      </w:r>
      <w:r>
        <w:fldChar w:fldCharType="separate"/>
      </w:r>
      <w:r w:rsidR="002A0E06" w:rsidRPr="002A0E06">
        <w:t>[7–9]</w:t>
      </w:r>
      <w:r>
        <w:fldChar w:fldCharType="end"/>
      </w:r>
      <w:r>
        <w:t>.</w:t>
      </w:r>
    </w:p>
    <w:p w14:paraId="2FF57971" w14:textId="1B368238" w:rsidR="00625866" w:rsidRDefault="00EC56D5" w:rsidP="00B80C34">
      <w:pPr>
        <w:ind w:firstLine="709"/>
      </w:pPr>
      <w:r>
        <w:t>Системная таргетная терапия препаратами, зарегистрированными в Р</w:t>
      </w:r>
      <w:r w:rsidR="00800532">
        <w:t xml:space="preserve">оссийской </w:t>
      </w:r>
      <w:r>
        <w:t>Ф</w:t>
      </w:r>
      <w:r w:rsidR="00800532">
        <w:t>едерации</w:t>
      </w:r>
      <w:r>
        <w:t xml:space="preserve"> по данным</w:t>
      </w:r>
      <w:r w:rsidR="0005465B">
        <w:t xml:space="preserve"> </w:t>
      </w:r>
      <w:r>
        <w:t xml:space="preserve">медицинским показаниям (сорафениб и ленватиниб), рекомендуется при неэффективности РЙТ и доказанном прогрессировании опухоли в течение 3–12 мес согласно критериям </w:t>
      </w:r>
      <w:r w:rsidR="009C1720" w:rsidRPr="009C1720">
        <w:t xml:space="preserve">ответа солидных опухолей на терапию </w:t>
      </w:r>
      <w:r>
        <w:t>RECIST 1.1 с целью увеличения выживаемости пациентов</w:t>
      </w:r>
      <w:r w:rsidR="008E5DF9">
        <w:t xml:space="preserve"> </w:t>
      </w:r>
      <w:r w:rsidR="00576F62">
        <w:fldChar w:fldCharType="begin"/>
      </w:r>
      <w:r w:rsidR="002A0E06">
        <w:instrText xml:space="preserve"> ADDIN ZOTERO_ITEM CSL_CITATION {"citationID":"WFSoNZ7l","properties":{"formattedCitation":"[18]","plainCitation":"[18]","noteIndex":0},"citationItems":[{"id":2730,"uris":["http://zotero.org/users/5483459/items/MJ6IU8MI"],"itemData":{"id":2730,"type":"article-journal","title":"Романов И.С., Мудунов А.М., Исаев П.А., Бычков Ю.М., Долгушин М.Б., Оджарова А.А., &amp; Романова Л.Ф.  Ленватиниб в лечении радиойодрефрактерного высокодифференцированного рака щитовидной железы. Опухоли головы и шеи, 2017. (2), 45-52."}}],"schema":"https://github.com/citation-style-language/schema/raw/master/csl-citation.json"} </w:instrText>
      </w:r>
      <w:r w:rsidR="00576F62">
        <w:fldChar w:fldCharType="separate"/>
      </w:r>
      <w:r w:rsidR="002A0E06" w:rsidRPr="002A0E06">
        <w:t>[18]</w:t>
      </w:r>
      <w:r w:rsidR="00576F62">
        <w:fldChar w:fldCharType="end"/>
      </w:r>
      <w:r>
        <w:t>. Рекомендуется индивидуальный подбор препарата для системной таргетной терапии на основе прогноза эффективности и безопасности для каждого конкретного пациента с целью улучшения выживаемости пациентов и переносимости лечения</w:t>
      </w:r>
      <w:r w:rsidR="004B1812">
        <w:t xml:space="preserve"> </w:t>
      </w:r>
      <w:r w:rsidR="004B1812">
        <w:fldChar w:fldCharType="begin"/>
      </w:r>
      <w:r w:rsidR="002A0E06">
        <w:instrText xml:space="preserve"> ADDIN ZOTERO_ITEM CSL_CITATION {"citationID":"ULSsBD5E","properties":{"formattedCitation":"[7]","plainCitation":"[7]","noteIndex":0},"citationItems":[{"id":2656,"uris":["http://zotero.org/users/5483459/items/2FHBSACU"],"itemData":{"id":2656,"type":"document","title":"Министерство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2022."}}],"schema":"https://github.com/citation-style-language/schema/raw/master/csl-citation.json"} </w:instrText>
      </w:r>
      <w:r w:rsidR="004B1812">
        <w:fldChar w:fldCharType="separate"/>
      </w:r>
      <w:r w:rsidR="002A0E06" w:rsidRPr="002A0E06">
        <w:t>[7]</w:t>
      </w:r>
      <w:r w:rsidR="004B1812">
        <w:fldChar w:fldCharType="end"/>
      </w:r>
      <w:r w:rsidR="007352B4">
        <w:t xml:space="preserve">. </w:t>
      </w:r>
    </w:p>
    <w:p w14:paraId="0FFF3535" w14:textId="77777777" w:rsidR="002F053D" w:rsidRDefault="002F053D" w:rsidP="002F053D">
      <w:pPr>
        <w:rPr>
          <w:b/>
          <w:bCs/>
        </w:rPr>
      </w:pPr>
    </w:p>
    <w:p w14:paraId="13A56BBC" w14:textId="588CFDFE" w:rsidR="00596F92" w:rsidRPr="00722722" w:rsidRDefault="00764EE2" w:rsidP="002F053D">
      <w:pPr>
        <w:rPr>
          <w:b/>
          <w:bCs/>
        </w:rPr>
      </w:pPr>
      <w:r w:rsidRPr="00BC5A6C">
        <w:rPr>
          <w:b/>
          <w:bCs/>
        </w:rPr>
        <w:t xml:space="preserve">Лечение </w:t>
      </w:r>
      <w:r w:rsidR="00722722" w:rsidRPr="00722722">
        <w:rPr>
          <w:b/>
          <w:bCs/>
        </w:rPr>
        <w:t>почечно-</w:t>
      </w:r>
      <w:r w:rsidR="00423D8F" w:rsidRPr="00722722">
        <w:rPr>
          <w:b/>
          <w:bCs/>
        </w:rPr>
        <w:t>клеточн</w:t>
      </w:r>
      <w:r w:rsidR="00423D8F">
        <w:rPr>
          <w:b/>
          <w:bCs/>
        </w:rPr>
        <w:t>ого</w:t>
      </w:r>
      <w:r w:rsidR="00423D8F" w:rsidRPr="00722722">
        <w:rPr>
          <w:b/>
          <w:bCs/>
        </w:rPr>
        <w:t xml:space="preserve"> </w:t>
      </w:r>
      <w:r w:rsidR="00722722" w:rsidRPr="00722722">
        <w:rPr>
          <w:b/>
          <w:bCs/>
        </w:rPr>
        <w:t>рак</w:t>
      </w:r>
      <w:r w:rsidR="00423D8F">
        <w:rPr>
          <w:b/>
          <w:bCs/>
        </w:rPr>
        <w:t>а</w:t>
      </w:r>
    </w:p>
    <w:p w14:paraId="732857F6" w14:textId="77777777" w:rsidR="002F053D" w:rsidRDefault="002F053D" w:rsidP="002A0E06">
      <w:pPr>
        <w:ind w:firstLine="851"/>
      </w:pPr>
    </w:p>
    <w:p w14:paraId="1ECFA4F8" w14:textId="452663CD" w:rsidR="00EC56D5" w:rsidRDefault="0010272B" w:rsidP="00B80C34">
      <w:pPr>
        <w:ind w:firstLine="709"/>
      </w:pPr>
      <w:r>
        <w:t xml:space="preserve">Наиболее эффективным методом лечения ПКР остается хирургический. Клинически локализованные формы ПКР (стадии сТ1-T2N0M0) являются показанием к </w:t>
      </w:r>
      <w:r w:rsidR="00DA08AF">
        <w:t>резекции почки или</w:t>
      </w:r>
      <w:r>
        <w:t xml:space="preserve"> </w:t>
      </w:r>
      <w:r w:rsidR="00DA08AF">
        <w:t>к</w:t>
      </w:r>
      <w:r>
        <w:t xml:space="preserve"> радикальной нефрэктомии</w:t>
      </w:r>
      <w:r w:rsidR="00DA08AF">
        <w:t xml:space="preserve">. </w:t>
      </w:r>
      <w:r>
        <w:t xml:space="preserve">Новообразования, размер и локализация которых позволяют выполнить органосохраняющие операции, рассматриваются как показания к </w:t>
      </w:r>
      <w:r w:rsidR="00DA08AF">
        <w:t>резекции почки</w:t>
      </w:r>
      <w:r>
        <w:t xml:space="preserve">. Для остальных случаев </w:t>
      </w:r>
      <w:r w:rsidR="00B80C34">
        <w:t>преимущественным методом</w:t>
      </w:r>
      <w:r>
        <w:t xml:space="preserve"> лечения клинически локализованного </w:t>
      </w:r>
      <w:bookmarkStart w:id="40" w:name="_Hlk118311578"/>
      <w:r>
        <w:t xml:space="preserve">ПКР </w:t>
      </w:r>
      <w:bookmarkEnd w:id="40"/>
      <w:r>
        <w:t xml:space="preserve">является </w:t>
      </w:r>
      <w:r w:rsidR="00DA08AF">
        <w:t>радикальная нефрэктомия</w:t>
      </w:r>
      <w:r>
        <w:t>. Радикальная нефрэктомия – основной подход к лечению операбельных местно</w:t>
      </w:r>
      <w:r w:rsidR="00DA08AF">
        <w:t>-</w:t>
      </w:r>
      <w:r>
        <w:t xml:space="preserve">распространенных форм заболевания (стадии cT3-T4N0-1M0). При распространении опухоли по просвету почечной вены и </w:t>
      </w:r>
      <w:r w:rsidR="00BC6DE9">
        <w:t>нижней полой вены (</w:t>
      </w:r>
      <w:r>
        <w:t>НПВ</w:t>
      </w:r>
      <w:r w:rsidR="00BC6DE9">
        <w:t>)</w:t>
      </w:r>
      <w:r>
        <w:t xml:space="preserve"> (категории сТ3а-Т4) объем операции расширяется до </w:t>
      </w:r>
      <w:r w:rsidR="005E3D4F">
        <w:t xml:space="preserve">радикальной нефрэктомии </w:t>
      </w:r>
      <w:r>
        <w:t>с тромбэктомией. Опухолевая инвазия соседних структур и органов (категория cT4) является показанием для их резекции</w:t>
      </w:r>
      <w:r w:rsidR="005E3D4F">
        <w:t xml:space="preserve"> </w:t>
      </w:r>
      <w:r w:rsidR="005E3D4F">
        <w:fldChar w:fldCharType="begin"/>
      </w:r>
      <w:r w:rsidR="002A0E06">
        <w:instrText xml:space="preserve"> ADDIN ZOTERO_ITEM CSL_CITATION {"citationID":"mNnG5WDM","properties":{"formattedCitation":"[10,11]","plainCitation":"[10,11]","noteIndex":0},"citationItems":[{"id":2724,"uris":["http://zotero.org/users/5483459/items/J9A5SFQ3"],"itemData":{"id":2724,"type":"document","title":"Министерство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2021."},"label":"page"},{"id":2727,"uris":["http://zotero.org/users/5483459/items/4JP6B2KE"],"itemData":{"id":2727,"type":"article-journal","abstract":"Kidney cancer is the 13th most common malignancy globally, and the incidence is rising. Papillary renal cell carcinoma is the second most common subtype, comprising 10-15% of renal cell carcinomas. Though the histologic features of this subtype were initially described in the 1990's, our understanding of the genetic and molecular characteristics of this disease have rapidly evolved over the past decade. In this review, we summarize the contemporary understanding of the clinical, morphologic, radiographic, and genetic characteristics of papillary renal cell carcinoma, as well as clinical considerations, current options for management, and prognosis.","container-title":"Urologic Oncology","DOI":"10.1016/j.urolonc.2021.04.013","ISSN":"1873-2496","issue":"6","journalAbbreviation":"Urol Oncol","language":"eng","note":"PMID: 34034966","page":"327-337","source":"PubMed","title":"Papillary renal cell carcinoma: Review","title-short":"Papillary renal cell carcinoma","volume":"39","author":[{"family":"Mendhiratta","given":"Neil"},{"family":"Muraki","given":"Peter"},{"family":"Sisk","given":"Anthony E."},{"family":"Shuch","given":"Brian"}],"issued":{"date-parts":[["2021",6]]}},"label":"page"}],"schema":"https://github.com/citation-style-language/schema/raw/master/csl-citation.json"} </w:instrText>
      </w:r>
      <w:r w:rsidR="005E3D4F">
        <w:fldChar w:fldCharType="separate"/>
      </w:r>
      <w:r w:rsidR="002A0E06" w:rsidRPr="002A0E06">
        <w:t>[10,11]</w:t>
      </w:r>
      <w:r w:rsidR="005E3D4F">
        <w:fldChar w:fldCharType="end"/>
      </w:r>
      <w:r w:rsidR="005E3D4F">
        <w:t>.</w:t>
      </w:r>
    </w:p>
    <w:p w14:paraId="744C2EA7" w14:textId="06EA6639" w:rsidR="00833E79" w:rsidRDefault="001558B0" w:rsidP="00B80C34">
      <w:pPr>
        <w:ind w:firstLine="709"/>
      </w:pPr>
      <w:r>
        <w:lastRenderedPageBreak/>
        <w:t>Рекомендуется выжидательная тактика при операбельном клинически локализованном или</w:t>
      </w:r>
      <w:r w:rsidR="00625866">
        <w:t xml:space="preserve"> </w:t>
      </w:r>
      <w:r>
        <w:t>местно-распространенном ПКР стадии сТ1-Т4N0-1M0 у пациентов, имеющих тяжелые</w:t>
      </w:r>
      <w:r w:rsidR="00331B90">
        <w:t xml:space="preserve"> </w:t>
      </w:r>
      <w:r>
        <w:t>сопутствующие или конкурирующие заболевания, ассоциированные с крайне высоким</w:t>
      </w:r>
      <w:r w:rsidR="00331B90">
        <w:t xml:space="preserve"> </w:t>
      </w:r>
      <w:r>
        <w:t>операционным риском</w:t>
      </w:r>
      <w:r w:rsidR="00331B90">
        <w:t xml:space="preserve"> </w:t>
      </w:r>
      <w:r w:rsidR="00782B36">
        <w:fldChar w:fldCharType="begin"/>
      </w:r>
      <w:r w:rsidR="002A0E06">
        <w:instrText xml:space="preserve"> ADDIN ZOTERO_ITEM CSL_CITATION {"citationID":"c41ZWHO4","properties":{"formattedCitation":"[10,19]","plainCitation":"[10,19]","noteIndex":0},"citationItems":[{"id":2724,"uris":["http://zotero.org/users/5483459/items/J9A5SFQ3"],"itemData":{"id":2724,"type":"document","title":"Министерство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2021."},"label":"page"},{"id":2734,"uris":["http://zotero.org/users/5483459/items/BPY8AMXI"],"itemData":{"id":2734,"type":"article-journal","title":"Алексеев Б. Я., Алясова А. В., Волкова Мария И., Гуторов С. Л., Матвеев В.Б., Попов А. М., Русаков И. Г., .Харкевич Г. Ю. Современные возможности лечения распространенного почечно-клеточного рака: резолюция по итогам Совета экспертов. Злокачественные опухоли, 2017. 7 (3), 89-93."},"label":"page"}],"schema":"https://github.com/citation-style-language/schema/raw/master/csl-citation.json"} </w:instrText>
      </w:r>
      <w:r w:rsidR="00782B36">
        <w:fldChar w:fldCharType="separate"/>
      </w:r>
      <w:r w:rsidR="002A0E06" w:rsidRPr="002A0E06">
        <w:t>[10,19]</w:t>
      </w:r>
      <w:r w:rsidR="00782B36">
        <w:fldChar w:fldCharType="end"/>
      </w:r>
      <w:r w:rsidR="00782B36">
        <w:t>.</w:t>
      </w:r>
    </w:p>
    <w:p w14:paraId="12ED21C5" w14:textId="04F06A92" w:rsidR="00833E79" w:rsidRDefault="001558B0" w:rsidP="00B80C34">
      <w:pPr>
        <w:ind w:firstLine="709"/>
      </w:pPr>
      <w:r>
        <w:t>Рекомендуется проведение минимально-инвазивных методов лечения (радиочастотной</w:t>
      </w:r>
      <w:r w:rsidR="00331B90">
        <w:t xml:space="preserve"> </w:t>
      </w:r>
      <w:r w:rsidR="00625866">
        <w:t>абляции</w:t>
      </w:r>
      <w:r>
        <w:t xml:space="preserve"> или крио</w:t>
      </w:r>
      <w:r w:rsidR="001A3F14" w:rsidRPr="001A3F14">
        <w:t xml:space="preserve"> абляции</w:t>
      </w:r>
      <w:r>
        <w:t>) опухоли почек у отдельных пациентов с ПКР стадии</w:t>
      </w:r>
      <w:r w:rsidR="00625866">
        <w:t xml:space="preserve"> </w:t>
      </w:r>
      <w:r>
        <w:t>cТ1aN0M0 в возрасте старше 75 лет и/или имеющих тяжелые сопутствующие или</w:t>
      </w:r>
      <w:r w:rsidR="00331B90">
        <w:t xml:space="preserve"> </w:t>
      </w:r>
      <w:r>
        <w:t>конкурирующие заболевания, обусловливающие ожидаемую продолжительность жизни &lt;5</w:t>
      </w:r>
      <w:r w:rsidR="001A3F14">
        <w:t xml:space="preserve"> </w:t>
      </w:r>
      <w:r>
        <w:t>лет и/или ассоциированные с высоким операционным риском</w:t>
      </w:r>
      <w:r w:rsidR="00782B36">
        <w:t xml:space="preserve"> </w:t>
      </w:r>
      <w:r w:rsidR="00782B36">
        <w:fldChar w:fldCharType="begin"/>
      </w:r>
      <w:r w:rsidR="002A0E06">
        <w:instrText xml:space="preserve"> ADDIN ZOTERO_ITEM CSL_CITATION {"citationID":"oq3RP29p","properties":{"formattedCitation":"[10,19]","plainCitation":"[10,19]","noteIndex":0},"citationItems":[{"id":2724,"uris":["http://zotero.org/users/5483459/items/J9A5SFQ3"],"itemData":{"id":2724,"type":"document","title":"Министерство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2021."},"label":"page"},{"id":2734,"uris":["http://zotero.org/users/5483459/items/BPY8AMXI"],"itemData":{"id":2734,"type":"article-journal","title":"Алексеев Б. Я., Алясова А. В., Волкова Мария И., Гуторов С. Л., Матвеев В.Б., Попов А. М., Русаков И. Г., .Харкевич Г. Ю. Современные возможности лечения распространенного почечно-клеточного рака: резолюция по итогам Совета экспертов. Злокачественные опухоли, 2017. 7 (3), 89-93."},"label":"page"}],"schema":"https://github.com/citation-style-language/schema/raw/master/csl-citation.json"} </w:instrText>
      </w:r>
      <w:r w:rsidR="00782B36">
        <w:fldChar w:fldCharType="separate"/>
      </w:r>
      <w:r w:rsidR="002A0E06" w:rsidRPr="002A0E06">
        <w:t>[10,19]</w:t>
      </w:r>
      <w:r w:rsidR="00782B36">
        <w:fldChar w:fldCharType="end"/>
      </w:r>
      <w:r w:rsidR="00782B36">
        <w:t>.</w:t>
      </w:r>
    </w:p>
    <w:p w14:paraId="48B3A963" w14:textId="3C0353CB" w:rsidR="00833E79" w:rsidRDefault="00194A6A" w:rsidP="00B80C34">
      <w:pPr>
        <w:ind w:firstLine="709"/>
      </w:pPr>
      <w:r>
        <w:t xml:space="preserve">Рекомендуется лучевая терапия у пациентов с генерализованным ПКР с интенсивным болевым синдромом, обусловленным костными метастазами, с целью снижения интенсивности боли и улучшения качества жизни </w:t>
      </w:r>
      <w:r>
        <w:fldChar w:fldCharType="begin"/>
      </w:r>
      <w:r w:rsidR="002A0E06">
        <w:instrText xml:space="preserve"> ADDIN ZOTERO_ITEM CSL_CITATION {"citationID":"ZwTKxvsQ","properties":{"formattedCitation":"[10]","plainCitation":"[10]","noteIndex":0},"citationItems":[{"id":2724,"uris":["http://zotero.org/users/5483459/items/J9A5SFQ3"],"itemData":{"id":2724,"type":"document","title":"Министерство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2021."}}],"schema":"https://github.com/citation-style-language/schema/raw/master/csl-citation.json"} </w:instrText>
      </w:r>
      <w:r>
        <w:fldChar w:fldCharType="separate"/>
      </w:r>
      <w:r w:rsidR="002A0E06" w:rsidRPr="002A0E06">
        <w:t>[10]</w:t>
      </w:r>
      <w:r>
        <w:fldChar w:fldCharType="end"/>
      </w:r>
      <w:r>
        <w:t>.</w:t>
      </w:r>
    </w:p>
    <w:p w14:paraId="2BD132F0" w14:textId="4B4D53FE" w:rsidR="00833E79" w:rsidRDefault="00AF019B" w:rsidP="00B80C34">
      <w:pPr>
        <w:ind w:firstLine="709"/>
      </w:pPr>
      <w:r>
        <w:t xml:space="preserve">Рак почки – иммуногенная опухоль, и до 2005 г. стандартным подходом к лечению неоперабельных местно-распространенных и диссеминированных форм заболевания являлась цитокиновая иммунотерапия (интерферон альфа-2α, интерлейкин-2), ассоциированная с низкой </w:t>
      </w:r>
      <w:r w:rsidR="00596F92">
        <w:t>частотой общего ответа</w:t>
      </w:r>
      <w:r>
        <w:t xml:space="preserve"> и короткой </w:t>
      </w:r>
      <w:r w:rsidR="00B10A70">
        <w:t>ВБП</w:t>
      </w:r>
      <w:r>
        <w:t xml:space="preserve">. Популяция пациентов с ПКР прогностически разнородна. По данным </w:t>
      </w:r>
      <w:r w:rsidR="00727EF5" w:rsidRPr="00727EF5">
        <w:t>Мемориальн</w:t>
      </w:r>
      <w:r w:rsidR="00727EF5">
        <w:t>ого</w:t>
      </w:r>
      <w:r w:rsidR="00727EF5" w:rsidRPr="00727EF5">
        <w:t xml:space="preserve"> онкологическ</w:t>
      </w:r>
      <w:r w:rsidR="00727EF5">
        <w:t>ого</w:t>
      </w:r>
      <w:r w:rsidR="00727EF5" w:rsidRPr="00727EF5">
        <w:t xml:space="preserve"> центр</w:t>
      </w:r>
      <w:r w:rsidR="00727EF5">
        <w:t>а</w:t>
      </w:r>
      <w:r w:rsidR="00727EF5" w:rsidRPr="00727EF5">
        <w:t xml:space="preserve"> им. Слоуна‒Кеттеринга</w:t>
      </w:r>
      <w:r w:rsidR="00727EF5">
        <w:t xml:space="preserve"> (</w:t>
      </w:r>
      <w:r>
        <w:t>MSKCC</w:t>
      </w:r>
      <w:r w:rsidR="00727EF5">
        <w:t>)</w:t>
      </w:r>
      <w:r>
        <w:t xml:space="preserve"> прогноз пациентов, получающих цитокиновую терапию, определяется количеством независимых факторов риска </w:t>
      </w:r>
      <w:r w:rsidR="00596F92">
        <w:t>ОВ</w:t>
      </w:r>
      <w:r>
        <w:t xml:space="preserve"> (соматический статус, время от диагноза до лечения, уровни гемоглобина, лактатдегидрогеназы и скорректированного по альбумину кальция), и все пациенты могут быть разделены на группы хорошего (0 факторов), промежуточного (1−2 фактора) и плохого (&gt;2) прогноза </w:t>
      </w:r>
      <w:r>
        <w:fldChar w:fldCharType="begin"/>
      </w:r>
      <w:r w:rsidR="002A0E06">
        <w:instrText xml:space="preserve"> ADDIN ZOTERO_ITEM CSL_CITATION {"citationID":"1KTFDdt8","properties":{"formattedCitation":"[10]","plainCitation":"[10]","noteIndex":0},"citationItems":[{"id":2724,"uris":["http://zotero.org/users/5483459/items/J9A5SFQ3"],"itemData":{"id":2724,"type":"document","title":"Министерство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2021."}}],"schema":"https://github.com/citation-style-language/schema/raw/master/csl-citation.json"} </w:instrText>
      </w:r>
      <w:r>
        <w:fldChar w:fldCharType="separate"/>
      </w:r>
      <w:r w:rsidR="002A0E06" w:rsidRPr="002A0E06">
        <w:t>[10]</w:t>
      </w:r>
      <w:r>
        <w:fldChar w:fldCharType="end"/>
      </w:r>
      <w:r>
        <w:t>.</w:t>
      </w:r>
    </w:p>
    <w:p w14:paraId="00065E32" w14:textId="6DBE1335" w:rsidR="002B06BB" w:rsidRDefault="002B06BB" w:rsidP="00B80C34">
      <w:pPr>
        <w:ind w:firstLine="709"/>
      </w:pPr>
      <w:r>
        <w:t>Изучение специфики путей внутриклеточной передачи сигнала при ПКР позволило разработать антитела к</w:t>
      </w:r>
      <w:r w:rsidR="00CC22F0" w:rsidRPr="00CC22F0">
        <w:t xml:space="preserve"> </w:t>
      </w:r>
      <w:r>
        <w:t xml:space="preserve">VEGF (бевацизумаб) и тирозинкиназным доменам рецепторов VEGF и </w:t>
      </w:r>
      <w:r w:rsidR="00B80C34">
        <w:t xml:space="preserve">другие ингибитры </w:t>
      </w:r>
      <w:r>
        <w:t xml:space="preserve">ростовых факторов </w:t>
      </w:r>
      <w:r w:rsidR="00235584">
        <w:t>тирозинкиназ (</w:t>
      </w:r>
      <w:r w:rsidR="00B61CE8" w:rsidRPr="00981B3F">
        <w:rPr>
          <w:color w:val="000000" w:themeColor="text1"/>
          <w:lang w:val="en-US" w:eastAsia="en-US"/>
        </w:rPr>
        <w:t>tyrosine</w:t>
      </w:r>
      <w:r w:rsidR="00B61CE8" w:rsidRPr="00D050C7">
        <w:rPr>
          <w:color w:val="000000" w:themeColor="text1"/>
          <w:lang w:eastAsia="en-US"/>
        </w:rPr>
        <w:t xml:space="preserve"> </w:t>
      </w:r>
      <w:r w:rsidR="00B61CE8" w:rsidRPr="00981B3F">
        <w:rPr>
          <w:color w:val="000000" w:themeColor="text1"/>
          <w:lang w:val="en-US" w:eastAsia="en-US"/>
        </w:rPr>
        <w:t>kinase</w:t>
      </w:r>
      <w:r w:rsidR="00B61CE8" w:rsidRPr="00D050C7">
        <w:rPr>
          <w:color w:val="000000" w:themeColor="text1"/>
          <w:lang w:eastAsia="en-US"/>
        </w:rPr>
        <w:t xml:space="preserve"> </w:t>
      </w:r>
      <w:r w:rsidR="00B61CE8" w:rsidRPr="00981B3F">
        <w:rPr>
          <w:color w:val="000000" w:themeColor="text1"/>
          <w:lang w:val="en-US" w:eastAsia="en-US"/>
        </w:rPr>
        <w:t>inhibitors</w:t>
      </w:r>
      <w:r w:rsidR="00B61CE8">
        <w:t xml:space="preserve">, </w:t>
      </w:r>
      <w:r>
        <w:t>TKI</w:t>
      </w:r>
      <w:r w:rsidR="00197BDF">
        <w:t>)</w:t>
      </w:r>
      <w:r w:rsidR="00197BDF" w:rsidDel="00197BDF">
        <w:rPr>
          <w:rStyle w:val="af"/>
        </w:rPr>
        <w:t xml:space="preserve"> </w:t>
      </w:r>
      <w:r>
        <w:t xml:space="preserve"> (сунитиниб, пазопаниб, сорафениб</w:t>
      </w:r>
      <w:r w:rsidR="00A40926">
        <w:t xml:space="preserve">, </w:t>
      </w:r>
      <w:r>
        <w:t>акситиниб,</w:t>
      </w:r>
      <w:r w:rsidR="00A40926">
        <w:t xml:space="preserve"> </w:t>
      </w:r>
      <w:r>
        <w:t xml:space="preserve">ленватиниб, кабозантиниб), а также препараты, ингибирующие </w:t>
      </w:r>
      <w:r w:rsidR="004A1AED" w:rsidRPr="004A1AED">
        <w:t xml:space="preserve">мишень рапамицина у млекопитающих </w:t>
      </w:r>
      <w:r w:rsidR="00DB5A5D">
        <w:t>(</w:t>
      </w:r>
      <w:r w:rsidR="00A54126" w:rsidRPr="00C22830">
        <w:rPr>
          <w:rFonts w:eastAsiaTheme="minorEastAsia"/>
          <w:color w:val="000000" w:themeColor="text1"/>
          <w:lang w:val="en-US"/>
        </w:rPr>
        <w:t>mammalian</w:t>
      </w:r>
      <w:r w:rsidR="00A54126" w:rsidRPr="00D050C7">
        <w:rPr>
          <w:rFonts w:eastAsiaTheme="minorEastAsia"/>
          <w:color w:val="000000" w:themeColor="text1"/>
        </w:rPr>
        <w:t xml:space="preserve"> </w:t>
      </w:r>
      <w:r w:rsidR="00A54126" w:rsidRPr="00C22830">
        <w:rPr>
          <w:rFonts w:eastAsiaTheme="minorEastAsia"/>
          <w:color w:val="000000" w:themeColor="text1"/>
          <w:lang w:val="en-US"/>
        </w:rPr>
        <w:t>target</w:t>
      </w:r>
      <w:r w:rsidR="00A54126" w:rsidRPr="00D050C7">
        <w:rPr>
          <w:rFonts w:eastAsiaTheme="minorEastAsia"/>
          <w:color w:val="000000" w:themeColor="text1"/>
        </w:rPr>
        <w:t xml:space="preserve"> </w:t>
      </w:r>
      <w:r w:rsidR="00A54126" w:rsidRPr="00C22830">
        <w:rPr>
          <w:rFonts w:eastAsiaTheme="minorEastAsia"/>
          <w:color w:val="000000" w:themeColor="text1"/>
          <w:lang w:val="en-US"/>
        </w:rPr>
        <w:t>of</w:t>
      </w:r>
      <w:r w:rsidR="00A54126" w:rsidRPr="00D050C7">
        <w:rPr>
          <w:rFonts w:eastAsiaTheme="minorEastAsia"/>
          <w:color w:val="000000" w:themeColor="text1"/>
        </w:rPr>
        <w:t xml:space="preserve"> </w:t>
      </w:r>
      <w:r w:rsidR="00A54126" w:rsidRPr="00C22830">
        <w:rPr>
          <w:rFonts w:eastAsiaTheme="minorEastAsia"/>
          <w:color w:val="000000" w:themeColor="text1"/>
          <w:lang w:val="en-US"/>
        </w:rPr>
        <w:t>rapamycin</w:t>
      </w:r>
      <w:r w:rsidR="00A54126">
        <w:t xml:space="preserve">, </w:t>
      </w:r>
      <w:r>
        <w:t>mTOR</w:t>
      </w:r>
      <w:r w:rsidR="00DB5A5D">
        <w:t>)</w:t>
      </w:r>
      <w:r>
        <w:t xml:space="preserve"> (темсиролимус,</w:t>
      </w:r>
      <w:r w:rsidR="00A40926">
        <w:t xml:space="preserve"> </w:t>
      </w:r>
      <w:r>
        <w:t>эверолимус), которые начали входить в стандарты лечения распространенного ПКР с 2005</w:t>
      </w:r>
      <w:r w:rsidR="00764EE2">
        <w:t xml:space="preserve"> года.</w:t>
      </w:r>
      <w:r>
        <w:t xml:space="preserve"> </w:t>
      </w:r>
      <w:r w:rsidR="0045219F">
        <w:t>Рекомендуется проводить оценку эффективности проводимой лекарственной терапии ПКР каждые 2−3 мес от начала лечения. Пациентам с измеряемыми опухолевыми очагами, получающим антиангиогенную терапию, оценка эффекта производится по критериям RECIST; пациентам, получающим ингибиторы</w:t>
      </w:r>
      <w:r w:rsidR="002675F2">
        <w:t xml:space="preserve"> </w:t>
      </w:r>
      <w:r w:rsidR="002675F2" w:rsidRPr="002675F2">
        <w:t>лиганд</w:t>
      </w:r>
      <w:r w:rsidR="002675F2">
        <w:t>ов</w:t>
      </w:r>
      <w:r w:rsidR="002675F2" w:rsidRPr="002675F2">
        <w:t xml:space="preserve"> запрограммированной смерти</w:t>
      </w:r>
      <w:r w:rsidR="0045219F">
        <w:t xml:space="preserve"> PD-1/PD-L1 − по критериям iRECIST. В случае появления клинических признаков прогрессирования заболевания возможно назначение контрольного обследования раньше намеченного срока </w:t>
      </w:r>
      <w:r w:rsidR="0045219F">
        <w:fldChar w:fldCharType="begin"/>
      </w:r>
      <w:r w:rsidR="002A0E06">
        <w:instrText xml:space="preserve"> ADDIN ZOTERO_ITEM CSL_CITATION {"citationID":"i1w77Xz2","properties":{"formattedCitation":"[10,11,20]","plainCitation":"[10,11,20]","noteIndex":0},"citationItems":[{"id":2724,"uris":["http://zotero.org/users/5483459/items/J9A5SFQ3"],"itemData":{"id":2724,"type":"document","title":"Министерство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2021."},"label":"page"},{"id":2727,"uris":["http://zotero.org/users/5483459/items/4JP6B2KE"],"itemData":{"id":2727,"type":"article-journal","abstract":"Kidney cancer is the 13th most common malignancy globally, and the incidence is rising. Papillary renal cell carcinoma is the second most common subtype, comprising 10-15% of renal cell carcinomas. Though the histologic features of this subtype were initially described in the 1990's, our understanding of the genetic and molecular characteristics of this disease have rapidly evolved over the past decade. In this review, we summarize the contemporary understanding of the clinical, morphologic, radiographic, and genetic characteristics of papillary renal cell carcinoma, as well as clinical considerations, current options for management, and prognosis.","container-title":"Urologic Oncology","DOI":"10.1016/j.urolonc.2021.04.013","ISSN":"1873-2496","issue":"6","journalAbbreviation":"Urol Oncol","language":"eng","note":"PMID: 34034966","page":"327-337","source":"PubMed","title":"Papillary renal cell carcinoma: Review","title-short":"Papillary renal cell carcinoma","volume":"39","author":[{"family":"Mendhiratta","given":"Neil"},{"family":"Muraki","given":"Peter"},{"family":"Sisk","given":"Anthony E."},{"family":"Shuch","given":"Brian"}],"issued":{"date-parts":[["2021",6]]}},"label":"page"},{"id":2725,"uris":["http://zotero.org/users/5483459/items/BFDPUQY8"],"itemData":{"id":2725,"type":"article-journal","abstract":"Kidney cancer is one of the 10 most common cancers in the United States with 90% being attributed to renal cell carcinoma. Men, especially black men, are more likely to be affected than women. Renal masses, either cystic or solid, are best detected with contrast-enhanced, triple-phase computed tomography. Renal tumors are often detected incidentally during a computed tomography scan of the abdomen or chest that was ordered for unrelated symptoms. Hematuria serves as a warning sign that necessitates further evaluation and imaging leading to a diagnosis and treatment plan. Treatment options include active surveillance, ablation, nephron-sparing tumor excision, nephrectomy, and systemic treatment. Predictors of a poor prognosis include poor functional status and metastasis. In recent years new therapies have improved the prognosis for patients with metastatic disease. The family physician should be aware of risk factors (e.g., hypertension, tobacco use, exposure to trichloroethylene, familial syndromes) and lifestyle and dietary modifications that may reduce risk.","container-title":"American Family Physician","ISSN":"1532-0650","issue":"3","journalAbbreviation":"Am Fam Physician","language":"eng","note":"PMID: 30702258","page":"179-184","source":"PubMed","title":"Renal Cell Carcinoma: Diagnosis and Management","title-short":"Renal Cell Carcinoma","volume":"99","author":[{"family":"Gray","given":"Richard E."},{"family":"Harris","given":"Gabriel T."}],"issued":{"date-parts":[["2019",2,1]]}},"label":"page"}],"schema":"https://github.com/citation-style-language/schema/raw/master/csl-citation.json"} </w:instrText>
      </w:r>
      <w:r w:rsidR="0045219F">
        <w:fldChar w:fldCharType="separate"/>
      </w:r>
      <w:r w:rsidR="002A0E06" w:rsidRPr="002A0E06">
        <w:t>[10,</w:t>
      </w:r>
      <w:r w:rsidR="00B80C34">
        <w:t xml:space="preserve"> </w:t>
      </w:r>
      <w:r w:rsidR="002A0E06" w:rsidRPr="002A0E06">
        <w:t>11,</w:t>
      </w:r>
      <w:r w:rsidR="00B80C34">
        <w:t xml:space="preserve"> </w:t>
      </w:r>
      <w:r w:rsidR="002A0E06" w:rsidRPr="002A0E06">
        <w:t>20]</w:t>
      </w:r>
      <w:r w:rsidR="0045219F">
        <w:fldChar w:fldCharType="end"/>
      </w:r>
      <w:r w:rsidR="0045219F">
        <w:t>.</w:t>
      </w:r>
    </w:p>
    <w:p w14:paraId="512075F3" w14:textId="77777777" w:rsidR="002F053D" w:rsidRDefault="002F053D" w:rsidP="002F053D">
      <w:pPr>
        <w:rPr>
          <w:b/>
          <w:bCs/>
        </w:rPr>
      </w:pPr>
    </w:p>
    <w:p w14:paraId="052BE0BB" w14:textId="770D37BE" w:rsidR="00833E79" w:rsidRPr="00764EE2" w:rsidRDefault="00764EE2" w:rsidP="002F053D">
      <w:pPr>
        <w:rPr>
          <w:b/>
          <w:bCs/>
        </w:rPr>
      </w:pPr>
      <w:r w:rsidRPr="00764EE2">
        <w:rPr>
          <w:b/>
          <w:bCs/>
        </w:rPr>
        <w:t>Лечение рака эндометрия</w:t>
      </w:r>
    </w:p>
    <w:p w14:paraId="4D0A95FF" w14:textId="77777777" w:rsidR="002F053D" w:rsidRDefault="002F053D" w:rsidP="002A0E06">
      <w:pPr>
        <w:ind w:firstLine="851"/>
      </w:pPr>
    </w:p>
    <w:p w14:paraId="46586C49" w14:textId="02331710" w:rsidR="00247791" w:rsidRPr="00764EE2" w:rsidRDefault="00247791" w:rsidP="00521DF0">
      <w:pPr>
        <w:ind w:firstLine="709"/>
      </w:pPr>
      <w:r w:rsidRPr="00247791">
        <w:t>Хирургическое вмешательство рекомендуется как наиболее эффективный метод лечения</w:t>
      </w:r>
      <w:r>
        <w:t xml:space="preserve"> </w:t>
      </w:r>
      <w:r w:rsidRPr="00247791">
        <w:t>пациенток с Р</w:t>
      </w:r>
      <w:r w:rsidR="00E47891">
        <w:t>Э</w:t>
      </w:r>
      <w:r w:rsidRPr="00247791">
        <w:t xml:space="preserve"> независимо от стадии</w:t>
      </w:r>
      <w:r w:rsidR="00521DF0">
        <w:t>,</w:t>
      </w:r>
      <w:r w:rsidRPr="00247791">
        <w:t xml:space="preserve"> как самостоятельно, так и в комбинации с другими</w:t>
      </w:r>
      <w:r>
        <w:t xml:space="preserve"> </w:t>
      </w:r>
      <w:r w:rsidRPr="00247791">
        <w:t>методами</w:t>
      </w:r>
      <w:r w:rsidR="00AA65E9">
        <w:t>. При Р</w:t>
      </w:r>
      <w:r w:rsidR="00E47891">
        <w:t>Э</w:t>
      </w:r>
      <w:r w:rsidR="00AA65E9">
        <w:t xml:space="preserve"> возможны лапароскопические, лапаротомные, лапароскопически-ассистированные влагалищные, робот-ассистированные вмешательства при условии того, что доступ обеспечивает решение задач, стоящих перед хирургическим этапом лечения, в том числе выполнение тазовой и поясничной лимфодиссекции, если она показана</w:t>
      </w:r>
      <w:r>
        <w:t xml:space="preserve"> </w:t>
      </w:r>
      <w:r>
        <w:fldChar w:fldCharType="begin"/>
      </w:r>
      <w:r w:rsidR="002A0E06">
        <w:instrText xml:space="preserve"> ADDIN ZOTERO_ITEM CSL_CITATION {"citationID":"geqQnBk9","properties":{"formattedCitation":"[13]","plainCitation":"[13]","noteIndex":0},"citationItems":[{"id":2737,"uris":["http://zotero.org/users/5483459/items/TXT9J7TK"],"itemData":{"id":2737,"type":"document","title":"Министерство здравоохранения Российской Федерации. Клинические рекомендации.Рак тела матки и саркомы матки у взрослых. 2021."}}],"schema":"https://github.com/citation-style-language/schema/raw/master/csl-citation.json"} </w:instrText>
      </w:r>
      <w:r>
        <w:fldChar w:fldCharType="separate"/>
      </w:r>
      <w:r w:rsidR="002A0E06" w:rsidRPr="002A0E06">
        <w:t>[13]</w:t>
      </w:r>
      <w:r>
        <w:fldChar w:fldCharType="end"/>
      </w:r>
      <w:r>
        <w:t>.</w:t>
      </w:r>
      <w:r w:rsidR="009C3F49">
        <w:t xml:space="preserve"> Тактику адъювантной терапии у пациенток с </w:t>
      </w:r>
      <w:r w:rsidR="00E47891">
        <w:t>РЭ</w:t>
      </w:r>
      <w:r w:rsidR="009C3F49">
        <w:t xml:space="preserve"> I стадии рекомендуется определять в зависимости от объема выполненного хирургического вмешательства</w:t>
      </w:r>
      <w:r w:rsidR="00256E8D">
        <w:t>.</w:t>
      </w:r>
    </w:p>
    <w:p w14:paraId="30CFDAEF" w14:textId="68DAC6BB" w:rsidR="00247791" w:rsidRDefault="00C526C4" w:rsidP="00521DF0">
      <w:pPr>
        <w:ind w:firstLine="709"/>
      </w:pPr>
      <w:r>
        <w:t xml:space="preserve">Пациенткам с </w:t>
      </w:r>
      <w:r w:rsidR="00940BA2" w:rsidRPr="001E2EDA">
        <w:t>раком эндометрия</w:t>
      </w:r>
      <w:r w:rsidR="00940BA2">
        <w:t xml:space="preserve"> </w:t>
      </w:r>
      <w:r>
        <w:t>групп промежуточно-высокого и высокого с учетом стадии, гистологического типа опухоли и объема выполненного хирургического</w:t>
      </w:r>
      <w:r w:rsidR="00256E8D">
        <w:t xml:space="preserve"> </w:t>
      </w:r>
      <w:r>
        <w:t xml:space="preserve">лечения </w:t>
      </w:r>
      <w:r>
        <w:lastRenderedPageBreak/>
        <w:t xml:space="preserve">рекомендуется проведение </w:t>
      </w:r>
      <w:r w:rsidR="00256E8D">
        <w:t>лучевой терапии</w:t>
      </w:r>
      <w:r>
        <w:t xml:space="preserve">: </w:t>
      </w:r>
      <w:r w:rsidR="00256E8D" w:rsidRPr="00256E8D">
        <w:t>дистанционная лучевая терапия</w:t>
      </w:r>
      <w:r>
        <w:t xml:space="preserve"> и/или брахитерапии в сочетании с </w:t>
      </w:r>
      <w:r w:rsidR="00256E8D">
        <w:t xml:space="preserve">химиотерапией </w:t>
      </w:r>
      <w:r>
        <w:t>в</w:t>
      </w:r>
      <w:r w:rsidR="00256E8D">
        <w:t xml:space="preserve"> </w:t>
      </w:r>
      <w:r>
        <w:t xml:space="preserve">адъювантном режиме или без нее </w:t>
      </w:r>
      <w:r w:rsidR="00940BA2">
        <w:fldChar w:fldCharType="begin"/>
      </w:r>
      <w:r w:rsidR="002A0E06">
        <w:instrText xml:space="preserve"> ADDIN ZOTERO_ITEM CSL_CITATION {"citationID":"anqGCbVm","properties":{"formattedCitation":"[13]","plainCitation":"[13]","noteIndex":0},"citationItems":[{"id":2737,"uris":["http://zotero.org/users/5483459/items/TXT9J7TK"],"itemData":{"id":2737,"type":"document","title":"Министерство здравоохранения Российской Федерации. Клинические рекомендации.Рак тела матки и саркомы матки у взрослых. 2021."}}],"schema":"https://github.com/citation-style-language/schema/raw/master/csl-citation.json"} </w:instrText>
      </w:r>
      <w:r w:rsidR="00940BA2">
        <w:fldChar w:fldCharType="separate"/>
      </w:r>
      <w:r w:rsidR="002A0E06" w:rsidRPr="002A0E06">
        <w:t>[13]</w:t>
      </w:r>
      <w:r w:rsidR="00940BA2">
        <w:fldChar w:fldCharType="end"/>
      </w:r>
      <w:r w:rsidR="00AA65E9">
        <w:t>.</w:t>
      </w:r>
    </w:p>
    <w:p w14:paraId="69AE146B" w14:textId="1B1F3132" w:rsidR="00247791" w:rsidRDefault="00953F9A" w:rsidP="00521DF0">
      <w:pPr>
        <w:ind w:firstLine="709"/>
      </w:pPr>
      <w:r>
        <w:t>Химиотерапи</w:t>
      </w:r>
      <w:r w:rsidR="00C91310">
        <w:t>ю</w:t>
      </w:r>
      <w:r w:rsidR="001E2EDA">
        <w:t xml:space="preserve"> при наличии показаний после хирургического вмешательства или при выявлении клинических симптомов прогрессирования </w:t>
      </w:r>
      <w:r>
        <w:t>злокачественного новообразования</w:t>
      </w:r>
      <w:r w:rsidR="001E2EDA">
        <w:t xml:space="preserve"> тела матки начинают не позднее чем через 60 дней. У молодых пациенток с начальным (неинвазивным) высокодифференцированным </w:t>
      </w:r>
      <w:r w:rsidR="00E47891">
        <w:t>РЭ</w:t>
      </w:r>
      <w:r w:rsidR="001E2EDA">
        <w:t xml:space="preserve"> рекомендуется гормональное лечение с сохранением фертильности</w:t>
      </w:r>
      <w:r w:rsidR="00EC094D">
        <w:t xml:space="preserve">. </w:t>
      </w:r>
      <w:r>
        <w:t>Химиотерапия</w:t>
      </w:r>
      <w:r w:rsidR="00EC094D">
        <w:t xml:space="preserve"> рекомендована в 1-й линии лечения прогрессирования </w:t>
      </w:r>
      <w:r>
        <w:t>РЭ</w:t>
      </w:r>
      <w:r w:rsidR="00EC094D">
        <w:t xml:space="preserve"> (6 курсов либо до прогрессирования или возникновения непереносимой токсичности</w:t>
      </w:r>
      <w:r w:rsidR="00281CC9">
        <w:t>)</w:t>
      </w:r>
      <w:r w:rsidR="00EC094D">
        <w:t>. Схемами выбора</w:t>
      </w:r>
      <w:r w:rsidR="00E47891">
        <w:t xml:space="preserve"> </w:t>
      </w:r>
      <w:r w:rsidR="00EC094D">
        <w:t xml:space="preserve">являются комбинации на основе соединений платины и таксанов </w:t>
      </w:r>
      <w:r w:rsidR="00EC094D">
        <w:fldChar w:fldCharType="begin"/>
      </w:r>
      <w:r w:rsidR="002A0E06">
        <w:instrText xml:space="preserve"> ADDIN ZOTERO_ITEM CSL_CITATION {"citationID":"zXYBwxh8","properties":{"formattedCitation":"[13]","plainCitation":"[13]","noteIndex":0},"citationItems":[{"id":2737,"uris":["http://zotero.org/users/5483459/items/TXT9J7TK"],"itemData":{"id":2737,"type":"document","title":"Министерство здравоохранения Российской Федерации. Клинические рекомендации.Рак тела матки и саркомы матки у взрослых. 2021."}}],"schema":"https://github.com/citation-style-language/schema/raw/master/csl-citation.json"} </w:instrText>
      </w:r>
      <w:r w:rsidR="00EC094D">
        <w:fldChar w:fldCharType="separate"/>
      </w:r>
      <w:r w:rsidR="002A0E06" w:rsidRPr="002A0E06">
        <w:t>[13]</w:t>
      </w:r>
      <w:r w:rsidR="00EC094D">
        <w:fldChar w:fldCharType="end"/>
      </w:r>
      <w:r w:rsidR="00EC094D">
        <w:t>.</w:t>
      </w:r>
      <w:r w:rsidR="004640DD">
        <w:t xml:space="preserve"> </w:t>
      </w:r>
    </w:p>
    <w:p w14:paraId="6E050364" w14:textId="534FAE7E" w:rsidR="00247791" w:rsidRPr="006C20D3" w:rsidRDefault="00B44502" w:rsidP="00762053">
      <w:pPr>
        <w:pStyle w:val="3"/>
        <w:spacing w:after="240"/>
        <w:rPr>
          <w:rFonts w:ascii="Times New Roman" w:hAnsi="Times New Roman"/>
          <w:color w:val="000000" w:themeColor="text1"/>
          <w:szCs w:val="24"/>
        </w:rPr>
      </w:pPr>
      <w:bookmarkStart w:id="41" w:name="_Toc126059691"/>
      <w:r>
        <w:rPr>
          <w:rFonts w:ascii="Times New Roman" w:hAnsi="Times New Roman"/>
          <w:color w:val="000000" w:themeColor="text1"/>
          <w:szCs w:val="24"/>
        </w:rPr>
        <w:t xml:space="preserve">1.7.3. </w:t>
      </w:r>
      <w:r w:rsidR="00247791" w:rsidRPr="006C20D3">
        <w:rPr>
          <w:rFonts w:ascii="Times New Roman" w:hAnsi="Times New Roman"/>
          <w:color w:val="000000" w:themeColor="text1"/>
          <w:szCs w:val="24"/>
        </w:rPr>
        <w:t>Вводная информация по исследуемой терапии</w:t>
      </w:r>
      <w:bookmarkEnd w:id="41"/>
    </w:p>
    <w:p w14:paraId="58A90805" w14:textId="3EFE30AD" w:rsidR="00896CC2" w:rsidRDefault="00896CC2" w:rsidP="00BC5186">
      <w:pPr>
        <w:ind w:firstLine="709"/>
      </w:pPr>
      <w:bookmarkStart w:id="42" w:name="_Hlk521882563"/>
      <w:bookmarkEnd w:id="35"/>
      <w:r w:rsidRPr="00506F4C">
        <w:t xml:space="preserve">Ленватиниб является ингибитором тирозинкиназы I типа, проявляющим </w:t>
      </w:r>
      <w:r w:rsidR="00506F4C" w:rsidRPr="00506F4C">
        <w:t xml:space="preserve">выраженную </w:t>
      </w:r>
      <w:r w:rsidRPr="00506F4C">
        <w:t xml:space="preserve">антиангиогенную активность при лечении рака. Проявляя активность при множественных солидных опухолях, </w:t>
      </w:r>
      <w:r w:rsidR="000B6428">
        <w:t xml:space="preserve">препарат </w:t>
      </w:r>
      <w:r w:rsidRPr="00506F4C">
        <w:t xml:space="preserve">был одобрен при дифференцированном </w:t>
      </w:r>
      <w:r w:rsidR="00152298">
        <w:t>РЩЖ</w:t>
      </w:r>
      <w:r w:rsidRPr="00506F4C">
        <w:t xml:space="preserve">, </w:t>
      </w:r>
      <w:r w:rsidR="00152298">
        <w:t>ГЦК</w:t>
      </w:r>
      <w:r w:rsidR="000B6428">
        <w:t>,</w:t>
      </w:r>
      <w:r w:rsidRPr="00506F4C">
        <w:t xml:space="preserve"> почечно-клеточной карциноме </w:t>
      </w:r>
      <w:r w:rsidR="000B6428">
        <w:t xml:space="preserve">и при лечении </w:t>
      </w:r>
      <w:r w:rsidR="00152298">
        <w:t>РЭ</w:t>
      </w:r>
      <w:r w:rsidR="000B6428">
        <w:t xml:space="preserve"> как </w:t>
      </w:r>
      <w:r w:rsidRPr="00506F4C">
        <w:t>в качестве монотерапии или в комбин</w:t>
      </w:r>
      <w:r w:rsidR="000B6428">
        <w:t xml:space="preserve">ированной химиотерапии </w:t>
      </w:r>
      <w:r w:rsidR="000B6428">
        <w:fldChar w:fldCharType="begin"/>
      </w:r>
      <w:r w:rsidR="002A0E06">
        <w:instrText xml:space="preserve"> ADDIN ZOTERO_ITEM CSL_CITATION {"citationID":"NQ2DIxmy","properties":{"formattedCitation":"[21]","plainCitation":"[21]","noteIndex":0},"citationItems":[{"id":2660,"uris":["http://zotero.org/users/5483459/items/43FJ36FN"],"itemData":{"id":2660,"type":"article-journal","abstract":"This article reviews the discovery, development, clinical testing, and regulatory approval of the tyrosine kinase inhibitor lenvatinib (E7080) and highlights future potential in the management of solid tumors.","container-title":"The Oncologist","DOI":"10.1634/theoncologist.2019-0407","ISSN":"1083-7159","issue":"2","journalAbbreviation":"Oncologist","note":"PMID: 32043789\nPMCID: PMC7011622","page":"e302-e310","source":"PubMed Central","title":"Lenvatinib in Management of Solid Tumors","volume":"25","author":[{"family":"Hao","given":"Zhonglin"},{"family":"Wang","given":"Peng"}],"issued":{"date-parts":[["2020",2]]}}}],"schema":"https://github.com/citation-style-language/schema/raw/master/csl-citation.json"} </w:instrText>
      </w:r>
      <w:r w:rsidR="000B6428">
        <w:fldChar w:fldCharType="separate"/>
      </w:r>
      <w:r w:rsidR="002A0E06" w:rsidRPr="002A0E06">
        <w:t>[21]</w:t>
      </w:r>
      <w:r w:rsidR="000B6428">
        <w:fldChar w:fldCharType="end"/>
      </w:r>
      <w:r w:rsidRPr="00506F4C">
        <w:t xml:space="preserve">. Кроме того, ленватиниб продемонстрировал многообещающие результаты при некоторых других типах опухолей, включая медуллярный рак, анапластический </w:t>
      </w:r>
      <w:r w:rsidR="00265070">
        <w:t>РЩЖ</w:t>
      </w:r>
      <w:r w:rsidRPr="00506F4C">
        <w:t xml:space="preserve">, </w:t>
      </w:r>
      <w:r w:rsidRPr="006E4432">
        <w:t xml:space="preserve">аденоидно-кистозный рак </w:t>
      </w:r>
      <w:r w:rsidR="00453EBC" w:rsidRPr="006E4432">
        <w:fldChar w:fldCharType="begin"/>
      </w:r>
      <w:r w:rsidR="002A0E06">
        <w:instrText xml:space="preserve"> ADDIN ZOTERO_ITEM CSL_CITATION {"citationID":"vaqUuIge","properties":{"formattedCitation":"[22]","plainCitation":"[22]","noteIndex":0},"citationItems":[{"id":2663,"uris":["http://zotero.org/users/5483459/items/E3IXKLBX"],"itemData":{"id":2663,"type":"article-journal","abstract":"Lenvatinib is a small-molecule tyrosine kinase inhibitor that inhibits vascular\nendothelial growth factor receptor (VEGFR1-3), fibroblast growth factor receptor\n(FGFR1-4), platelet-derived growth factor receptor α (PDGFRα), stem cell factor\nreceptor (KIT), and rearranged during transfection (RET). These receptors are\nimportant for tumor angiogenesis, and lenvatinib inhibits tumor angiogenesis by\ninhibiting function of these receptors. Phase I trials of lenvatinib were\nconducted at the same time in Japan, Europe, and the United States, and tumor\nshrinkage effects were observed in thyroid cancer, endometrial cancer, melanoma,\nrenal cell carcinoma, sarcoma, and colon cancer. Lenvatinib is a promising drug\nthat has shown therapeutic effects against various solid tumors. Adverse events,\nsuch as hypertension, proteinuria, diarrhea, and delayed wound healing, can\noccur with lenvatinib treatment. Managing these adverse events is also important\nfor the use of lenvatinib. In this mini-review article, we outline the current\nstate, toxicity, and future prospects of lenvatinib toward thyroid cancer,\nhepatocellular carcinoma, renal cell carcinoma, and lung cancer.","container-title":"Cancer Control : Journal of the Moffitt Cancer Center","DOI":"10.1177/1073274818789361","ISSN":"1073-2748","issue":"1","journalAbbreviation":"Cancer Control","note":"PMID: 30032643\nPMCID: PMC6056795","page":"1073274818789361","source":"PubMed Central","title":"Lenvatinib","volume":"25","author":[{"family":"Suyama","given":"Koichi"},{"family":"Iwase","given":"Hirotaka"}],"issued":{"date-parts":[["2018",7,23]]}}}],"schema":"https://github.com/citation-style-language/schema/raw/master/csl-citation.json"} </w:instrText>
      </w:r>
      <w:r w:rsidR="00453EBC" w:rsidRPr="006E4432">
        <w:fldChar w:fldCharType="separate"/>
      </w:r>
      <w:r w:rsidR="002A0E06" w:rsidRPr="002A0E06">
        <w:t>[22]</w:t>
      </w:r>
      <w:r w:rsidR="00453EBC" w:rsidRPr="006E4432">
        <w:fldChar w:fldCharType="end"/>
      </w:r>
      <w:r w:rsidR="00453EBC" w:rsidRPr="006E4432">
        <w:t>.</w:t>
      </w:r>
      <w:r w:rsidR="00D04010" w:rsidRPr="006E4432">
        <w:t xml:space="preserve"> Ленватиниб – пероральный мультикиназный ингибитор, действующий на рецепторы 1–VEGF, рецепторы</w:t>
      </w:r>
      <w:r w:rsidR="00EB6F0F">
        <w:t xml:space="preserve"> </w:t>
      </w:r>
      <w:r w:rsidR="00D04010" w:rsidRPr="006E4432">
        <w:t>FGFR, рецепторы к PDGFR</w:t>
      </w:r>
      <w:r w:rsidR="000825B2">
        <w:t xml:space="preserve"> </w:t>
      </w:r>
      <w:r w:rsidR="00D04010" w:rsidRPr="006E4432">
        <w:t>а также протоонкогены RET и KIT</w:t>
      </w:r>
      <w:r w:rsidR="0079523B">
        <w:t xml:space="preserve"> </w:t>
      </w:r>
      <w:r w:rsidR="00B37707">
        <w:fldChar w:fldCharType="begin"/>
      </w:r>
      <w:r w:rsidR="00B37707">
        <w:instrText xml:space="preserve"> ADDIN ZOTERO_ITEM CSL_CITATION {"citationID":"Ib3CjvgJ","properties":{"formattedCitation":"[23]","plainCitation":"[23]","noteIndex":0},"citationItems":[{"id":2864,"uris":["http://zotero.org/users/5483459/items/ZKETR6BA"],"itemData":{"id":2864,"type":"article-journal","abstract":"INTRODUCTION: Lenvatinib is an oral multitargeted tyrosine kinase inhibitor that has shown efficacy and manageable safety across multiple cancer types. The recommended starting doses for lenvatinib differ across cancer types and indications based on whether it is used as monotherapy or as combination therapy.\nAREAS COVERED: This review covers clinical trials that established the dosing paradigm and efficacy of lenvatinib and defined its adverse-event profile as a monotherapy; or in combination with the mTOR inhibitor, everolimus; or the anti-PD-1 antibody, pembrolizumab; and/or chemotherapy.\nEXPERT OPINION: Lenvatinib has been established as standard-of-care either as a monotherapy or in combination with other anticancer agents for the treatment of radioiodine-refractory differentiated thyroid carcinoma, hepatocellular carcinoma, renal cell carcinoma, and endometrial carcinoma, and is being investigated further across several other tumor types. The dosing and adverse-event management strategies for lenvatinib have been developed through extensive clinical trial experience. Collectively, the data provide the rationale to start lenvatinib at the recommended doses and then interrupt or dose reduce as necessary to achieve required dose intensity for maximized patient benefit. The adverse-event profile of lenvatinib is consistent with that of other tyrosine kinase inhibitors, and clinicians are encouraged to review and adopt relevant symptom-management strategies.","container-title":"Expert Review of Anticancer Therapy","DOI":"10.1080/14737140.2022.2039123","ISSN":"1744-8328","issue":"4","journalAbbreviation":"Expert Rev Anticancer Ther","language":"eng","note":"PMID: 35260027\nPMCID: PMC9484451","page":"383-400","source":"PubMed","title":"Lenvatinib dose, efficacy, and safety in the treatment of multiple malignancies","volume":"22","author":[{"family":"Motzer","given":"Robert J."},{"family":"Taylor","given":"Matthew H."},{"family":"Evans","given":"Thomas R. Jeffry"},{"family":"Okusaka","given":"Takuji"},{"family":"Glen","given":"Hilary"},{"family":"Lubiniecki","given":"Gregory M."},{"family":"Dutcus","given":"Corina"},{"family":"Smith","given":"Alan D."},{"family":"Okpara","given":"Chinyere E."},{"family":"Hussein","given":"Ziad"},{"family":"Hayato","given":"Seiichi"},{"family":"Tamai","given":"Toshiyuki"},{"family":"Makker","given":"Vicky"}],"issued":{"date-parts":[["2022",4]]}}}],"schema":"https://github.com/citation-style-language/schema/raw/master/csl-citation.json"} </w:instrText>
      </w:r>
      <w:r w:rsidR="00B37707">
        <w:fldChar w:fldCharType="separate"/>
      </w:r>
      <w:r w:rsidR="00B37707" w:rsidRPr="00B37707">
        <w:t>[23]</w:t>
      </w:r>
      <w:r w:rsidR="00B37707">
        <w:fldChar w:fldCharType="end"/>
      </w:r>
      <w:r w:rsidR="00B37707">
        <w:t>.</w:t>
      </w:r>
    </w:p>
    <w:p w14:paraId="03EC5952" w14:textId="7EA9F6A9" w:rsidR="00937569" w:rsidRDefault="009818DF" w:rsidP="00BC5186">
      <w:pPr>
        <w:ind w:firstLine="709"/>
      </w:pPr>
      <w:r w:rsidRPr="009818DF">
        <w:t>В феврале 2015 года FDA</w:t>
      </w:r>
      <w:r w:rsidR="00265070">
        <w:t xml:space="preserve"> </w:t>
      </w:r>
      <w:r w:rsidRPr="009818DF">
        <w:t>одобрило ленватиниб для лечения пациентов с местно-</w:t>
      </w:r>
      <w:r w:rsidR="00BC5186">
        <w:t>распространенным</w:t>
      </w:r>
      <w:r w:rsidR="00BC5186" w:rsidRPr="009818DF">
        <w:t xml:space="preserve"> </w:t>
      </w:r>
      <w:r w:rsidRPr="009818DF">
        <w:t>или метастатическим, прогрессирующим, резистентным к лечению  радиоактивным йодом дифференцированн</w:t>
      </w:r>
      <w:r w:rsidR="00C91310">
        <w:t>ым</w:t>
      </w:r>
      <w:r w:rsidRPr="009818DF">
        <w:t xml:space="preserve"> рак</w:t>
      </w:r>
      <w:r w:rsidR="00C91310">
        <w:t>ом</w:t>
      </w:r>
      <w:r w:rsidRPr="009818DF">
        <w:t xml:space="preserve"> щитовидной железы. В мае 2015 года ЕМА также одобрил</w:t>
      </w:r>
      <w:r w:rsidR="00BC5186">
        <w:t>о</w:t>
      </w:r>
      <w:r w:rsidRPr="009818DF">
        <w:t xml:space="preserve"> ленватиниб для лечения прогрессирующего, местно-распространенного или метастатического дифференцированного рака щитовидной железы у взрослых, у которых заболевание прогрессировало, несмотря на стандартное лечение радиоактивным йодом. В последующие годы, после проведения клинических исследований, ленватиниб был зарегистрирован по показаниям </w:t>
      </w:r>
      <w:r w:rsidR="00543694">
        <w:t>ГЦК</w:t>
      </w:r>
      <w:r w:rsidRPr="009818DF">
        <w:t xml:space="preserve">, почечно-клеточная карцинома и </w:t>
      </w:r>
      <w:r w:rsidR="00543694">
        <w:t>РЭ</w:t>
      </w:r>
      <w:r w:rsidRPr="009818DF">
        <w:t>. В Российской Федерации</w:t>
      </w:r>
      <w:r w:rsidR="00800532">
        <w:t xml:space="preserve"> </w:t>
      </w:r>
      <w:r w:rsidRPr="009818DF">
        <w:t>ленватиниб был зарегистрирован 29.12.2015</w:t>
      </w:r>
      <w:r w:rsidR="00A568D1">
        <w:t xml:space="preserve"> </w:t>
      </w:r>
      <w:r w:rsidR="00937569">
        <w:fldChar w:fldCharType="begin"/>
      </w:r>
      <w:r w:rsidR="00937569">
        <w:instrText xml:space="preserve"> ADDIN ZOTERO_ITEM CSL_CITATION {"citationID":"PSFOhlWv","properties":{"formattedCitation":"[24]","plainCitation":"[24]","noteIndex":0},"citationItems":[{"id":2756,"uris":["http://zotero.org/users/5483459/items/IDAW3Y5T"],"itemData":{"id":2756,"type":"article-journal","abstract":"Lenvatinib is an oral, multiple receptor tyrosine kinase inhibitor. Preclinical drug metabolism studies showed unique metabolic pathways for lenvatinib in monkeys and rats. A human mass balance study demonstrated that lenvatinib related material is mainly excreted via feces with a small fraction as unchanged parent drug, but little is reported about its metabolic fate. The objective of the current study was to further elucidate the metabolic pathways of lenvatinib in humans and to compare these results to the metabolism in rats and monkeys. To this end, we used plasma, urine and feces collected in a human mass balance study after a single 24 mg (100 μCi) oral dose of (14)C-lenvatinib. Metabolites of (14)C-lenvatinib were identified using liquid chromatography (high resolution) mass spectrometry with off-line radioactivity detection. Close to 50 lenvatinib-related compounds were detected. In humans, unchanged lenvatinib accounted for 97 % of the radioactivity in plasma, and comprised 0.38 and 2.5 % of the administered dose excreted in urine and feces, respectively. The primary biotransformation pathways of lenvatinib were hydrolysis, oxidation and hydroxylation, N-oxidation, dealkylation and glucuronidation. Various combinations of these conversions with modifications, including hydrolysis, gluthathione/cysteine conjugation, intramolecular rearrangement and dimerization, were observed. Some metabolites seem to be unique to the investigated species (human, rat, monkey). Because all lenvatinib metabolites in human plasma were at very low levels compared to lenvatinib, only lenvatinib is expected to contribute to the pharmacological effects in humans.","container-title":"Investigational New Drugs","DOI":"10.1007/s10637-016-0342-y","ISSN":"1573-0646","issue":"3","journalAbbreviation":"Invest New Drugs","language":"eng","note":"PMID: 27018262","page":"300-318","source":"PubMed","title":"Metabolite profiling of the multiple tyrosine kinase inhibitor lenvatinib: a cross-species comparison","title-short":"Metabolite profiling of the multiple tyrosine kinase inhibitor lenvatinib","volume":"34","author":[{"family":"Dubbelman","given":"Anne-Charlotte"},{"family":"Nijenhuis","given":"Cynthia M."},{"family":"Jansen","given":"Robert S."},{"family":"Rosing","given":"Hilde"},{"family":"Mizuo","given":"Hitoshi"},{"family":"Kawaguchi","given":"Shinki"},{"family":"Critchley","given":"David"},{"family":"Shumaker","given":"Robert"},{"family":"Schellens","given":"Jan H. M."},{"family":"Beijnen","given":"Jos H."}],"issued":{"date-parts":[["2016",6]]}}}],"schema":"https://github.com/citation-style-language/schema/raw/master/csl-citation.json"} </w:instrText>
      </w:r>
      <w:r w:rsidR="00937569">
        <w:fldChar w:fldCharType="separate"/>
      </w:r>
      <w:r w:rsidR="00937569" w:rsidRPr="00B37707">
        <w:t>[24]</w:t>
      </w:r>
      <w:r w:rsidR="00937569">
        <w:fldChar w:fldCharType="end"/>
      </w:r>
      <w:r w:rsidR="00937569">
        <w:t xml:space="preserve">. </w:t>
      </w:r>
    </w:p>
    <w:p w14:paraId="35C898CA" w14:textId="1DFF7ED4" w:rsidR="00937569" w:rsidRPr="002F053D" w:rsidRDefault="0049429B" w:rsidP="00BC5186">
      <w:pPr>
        <w:ind w:firstLine="709"/>
        <w:rPr>
          <w:noProof/>
        </w:rPr>
      </w:pPr>
      <w:r>
        <w:rPr>
          <w:noProof/>
        </w:rPr>
        <w:t>По данным действующих клинических рекомендаций Министерства здравоохранения Российской</w:t>
      </w:r>
      <w:r w:rsidR="00543694">
        <w:rPr>
          <w:noProof/>
        </w:rPr>
        <w:t xml:space="preserve"> </w:t>
      </w:r>
      <w:r>
        <w:rPr>
          <w:noProof/>
        </w:rPr>
        <w:t xml:space="preserve">Федерации для лечения </w:t>
      </w:r>
      <w:r w:rsidR="00543694">
        <w:rPr>
          <w:noProof/>
        </w:rPr>
        <w:t>ГЦР</w:t>
      </w:r>
      <w:r>
        <w:rPr>
          <w:noProof/>
        </w:rPr>
        <w:t xml:space="preserve"> </w:t>
      </w:r>
      <w:r w:rsidR="00C630FC">
        <w:rPr>
          <w:noProof/>
        </w:rPr>
        <w:t xml:space="preserve">у </w:t>
      </w:r>
      <w:r w:rsidR="00C630FC" w:rsidRPr="008D49BB">
        <w:rPr>
          <w:noProof/>
        </w:rPr>
        <w:t xml:space="preserve">взрослых </w:t>
      </w:r>
      <w:r>
        <w:rPr>
          <w:noProof/>
        </w:rPr>
        <w:t>(202</w:t>
      </w:r>
      <w:r w:rsidR="00BB68B3">
        <w:rPr>
          <w:noProof/>
        </w:rPr>
        <w:t>2</w:t>
      </w:r>
      <w:r>
        <w:rPr>
          <w:noProof/>
        </w:rPr>
        <w:t xml:space="preserve"> год), </w:t>
      </w:r>
      <w:r w:rsidR="00BB68B3">
        <w:rPr>
          <w:noProof/>
        </w:rPr>
        <w:t>ле</w:t>
      </w:r>
      <w:r w:rsidR="001D138E">
        <w:rPr>
          <w:noProof/>
        </w:rPr>
        <w:t>н</w:t>
      </w:r>
      <w:r w:rsidR="00BB68B3">
        <w:rPr>
          <w:noProof/>
        </w:rPr>
        <w:t xml:space="preserve">ватиниб </w:t>
      </w:r>
      <w:r>
        <w:rPr>
          <w:noProof/>
        </w:rPr>
        <w:t>применяется в терапии первого ряда в составе альтернативной схемы</w:t>
      </w:r>
      <w:r w:rsidR="00737CC9">
        <w:rPr>
          <w:noProof/>
        </w:rPr>
        <w:t xml:space="preserve">, а также рекомендован </w:t>
      </w:r>
      <w:r>
        <w:rPr>
          <w:noProof/>
        </w:rPr>
        <w:t xml:space="preserve"> </w:t>
      </w:r>
      <w:r w:rsidR="00737CC9">
        <w:rPr>
          <w:noProof/>
        </w:rPr>
        <w:t>для использования в терапии 2 и 3 ряд</w:t>
      </w:r>
      <w:r w:rsidR="00C630FC">
        <w:rPr>
          <w:noProof/>
        </w:rPr>
        <w:t>а</w:t>
      </w:r>
      <w:r w:rsidR="00737CC9">
        <w:rPr>
          <w:noProof/>
        </w:rPr>
        <w:t xml:space="preserve"> </w:t>
      </w:r>
      <w:r w:rsidR="008D49BB">
        <w:rPr>
          <w:noProof/>
        </w:rPr>
        <w:fldChar w:fldCharType="begin"/>
      </w:r>
      <w:r w:rsidR="002A0E06">
        <w:rPr>
          <w:noProof/>
        </w:rPr>
        <w:instrText xml:space="preserve"> ADDIN ZOTERO_ITEM CSL_CITATION {"citationID":"rD5s2aJj","properties":{"formattedCitation":"[17]","plainCitation":"[17]","noteIndex":0},"citationItems":[{"id":2715,"uris":["http://zotero.org/users/5483459/items/PLE7CJ27"],"itemData":{"id":2715,"type":"document","title":"Министерство здравоохранения Российской Федерации. Клинические рекомендации Рак печени (гепатоцеллюлярный). 2022."}}],"schema":"https://github.com/citation-style-language/schema/raw/master/csl-citation.json"} </w:instrText>
      </w:r>
      <w:r w:rsidR="008D49BB">
        <w:rPr>
          <w:noProof/>
        </w:rPr>
        <w:fldChar w:fldCharType="separate"/>
      </w:r>
      <w:r w:rsidR="002A0E06" w:rsidRPr="002A0E06">
        <w:t>[17]</w:t>
      </w:r>
      <w:r w:rsidR="008D49BB">
        <w:rPr>
          <w:noProof/>
        </w:rPr>
        <w:fldChar w:fldCharType="end"/>
      </w:r>
      <w:r w:rsidR="008D49BB">
        <w:rPr>
          <w:noProof/>
        </w:rPr>
        <w:t>.</w:t>
      </w:r>
    </w:p>
    <w:p w14:paraId="36B593EB" w14:textId="51FFCAF2" w:rsidR="00453EBC" w:rsidRDefault="008D49BB" w:rsidP="00BC5186">
      <w:pPr>
        <w:ind w:firstLine="709"/>
        <w:rPr>
          <w:noProof/>
        </w:rPr>
      </w:pPr>
      <w:r w:rsidRPr="008D49BB">
        <w:rPr>
          <w:noProof/>
        </w:rPr>
        <w:t xml:space="preserve">По данным действующих клинических рекомендаций Министерства здравоохранения Российской Федерации для лечения </w:t>
      </w:r>
      <w:r>
        <w:rPr>
          <w:noProof/>
        </w:rPr>
        <w:t>д</w:t>
      </w:r>
      <w:r w:rsidRPr="008D49BB">
        <w:rPr>
          <w:noProof/>
        </w:rPr>
        <w:t>ифференцированн</w:t>
      </w:r>
      <w:r>
        <w:rPr>
          <w:noProof/>
        </w:rPr>
        <w:t>ого</w:t>
      </w:r>
      <w:r w:rsidRPr="008D49BB">
        <w:rPr>
          <w:noProof/>
        </w:rPr>
        <w:t xml:space="preserve"> </w:t>
      </w:r>
      <w:r w:rsidR="00543694">
        <w:rPr>
          <w:noProof/>
        </w:rPr>
        <w:t>РЩЖ</w:t>
      </w:r>
      <w:r w:rsidRPr="008D49BB">
        <w:rPr>
          <w:noProof/>
        </w:rPr>
        <w:t xml:space="preserve"> </w:t>
      </w:r>
      <w:r w:rsidR="00C630FC">
        <w:rPr>
          <w:noProof/>
        </w:rPr>
        <w:t xml:space="preserve">у </w:t>
      </w:r>
      <w:r w:rsidR="00C630FC" w:rsidRPr="008D49BB">
        <w:rPr>
          <w:noProof/>
        </w:rPr>
        <w:t xml:space="preserve">взрослых </w:t>
      </w:r>
      <w:r w:rsidRPr="008D49BB">
        <w:rPr>
          <w:noProof/>
        </w:rPr>
        <w:t xml:space="preserve">(2022 год), ленватиниб применяется </w:t>
      </w:r>
      <w:r w:rsidR="007C443E">
        <w:rPr>
          <w:noProof/>
        </w:rPr>
        <w:t xml:space="preserve">при неэффективности РЙТ и доказанном прогрессировании опухоли в течение 3–12 мес согласно критериям RECIST 1.1 с целью увеличения выживаемости пациентов </w:t>
      </w:r>
      <w:r>
        <w:rPr>
          <w:noProof/>
        </w:rPr>
        <w:fldChar w:fldCharType="begin"/>
      </w:r>
      <w:r w:rsidR="002A0E06">
        <w:rPr>
          <w:noProof/>
        </w:rPr>
        <w:instrText xml:space="preserve"> ADDIN ZOTERO_ITEM CSL_CITATION {"citationID":"tStwSg9Q","properties":{"formattedCitation":"[7]","plainCitation":"[7]","noteIndex":0},"citationItems":[{"id":2656,"uris":["http://zotero.org/users/5483459/items/2FHBSACU"],"itemData":{"id":2656,"type":"document","title":"Министерство здравоохранения Российской Федерации. Клинические рекомендации. Дифференцированный рак щитовидной железы. 2022."}}],"schema":"https://github.com/citation-style-language/schema/raw/master/csl-citation.json"} </w:instrText>
      </w:r>
      <w:r>
        <w:rPr>
          <w:noProof/>
        </w:rPr>
        <w:fldChar w:fldCharType="separate"/>
      </w:r>
      <w:r w:rsidR="002A0E06" w:rsidRPr="002A0E06">
        <w:t>[7]</w:t>
      </w:r>
      <w:r>
        <w:rPr>
          <w:noProof/>
        </w:rPr>
        <w:fldChar w:fldCharType="end"/>
      </w:r>
      <w:r>
        <w:rPr>
          <w:noProof/>
        </w:rPr>
        <w:t>.</w:t>
      </w:r>
    </w:p>
    <w:p w14:paraId="718872D5" w14:textId="63A660B2" w:rsidR="00453EBC" w:rsidRDefault="00C630FC" w:rsidP="00BC5186">
      <w:pPr>
        <w:ind w:firstLine="709"/>
        <w:rPr>
          <w:noProof/>
        </w:rPr>
      </w:pPr>
      <w:r>
        <w:rPr>
          <w:noProof/>
        </w:rPr>
        <w:t xml:space="preserve">По данным действующих клинических рекомендаций Министерства здравоохранения Российской Федерации для лечения </w:t>
      </w:r>
      <w:r w:rsidR="00423D8F">
        <w:t>почечно-клеточного рака</w:t>
      </w:r>
      <w:r w:rsidRPr="00722722">
        <w:rPr>
          <w:b/>
          <w:bCs/>
        </w:rPr>
        <w:t xml:space="preserve"> </w:t>
      </w:r>
      <w:r>
        <w:rPr>
          <w:noProof/>
        </w:rPr>
        <w:t xml:space="preserve">у </w:t>
      </w:r>
      <w:r w:rsidRPr="008D49BB">
        <w:rPr>
          <w:noProof/>
        </w:rPr>
        <w:t xml:space="preserve">взрослых </w:t>
      </w:r>
      <w:r>
        <w:rPr>
          <w:noProof/>
        </w:rPr>
        <w:t>(2022 год), в</w:t>
      </w:r>
      <w:r w:rsidR="00481919">
        <w:rPr>
          <w:noProof/>
        </w:rPr>
        <w:t xml:space="preserve"> 1-й линии терапии в качестве альтернативы в терапии пациентов с ПКР всех групп прогноза</w:t>
      </w:r>
      <w:r w:rsidR="00AA0C41">
        <w:rPr>
          <w:noProof/>
        </w:rPr>
        <w:t xml:space="preserve"> (</w:t>
      </w:r>
      <w:r w:rsidR="00AA0C41" w:rsidRPr="00AF6049">
        <w:rPr>
          <w:lang w:val="en-US"/>
        </w:rPr>
        <w:t>International</w:t>
      </w:r>
      <w:r w:rsidR="00AA0C41" w:rsidRPr="00D050C7">
        <w:t xml:space="preserve"> </w:t>
      </w:r>
      <w:r w:rsidR="00AA0C41" w:rsidRPr="00AF6049">
        <w:rPr>
          <w:lang w:val="en-US"/>
        </w:rPr>
        <w:t>Metastatic</w:t>
      </w:r>
      <w:r w:rsidR="00AA0C41" w:rsidRPr="00D050C7">
        <w:t xml:space="preserve"> </w:t>
      </w:r>
      <w:r w:rsidR="00AA0C41" w:rsidRPr="00AF6049">
        <w:rPr>
          <w:lang w:val="en-US"/>
        </w:rPr>
        <w:t>Renal</w:t>
      </w:r>
      <w:r w:rsidR="00AA0C41" w:rsidRPr="00D050C7">
        <w:t xml:space="preserve"> </w:t>
      </w:r>
      <w:r w:rsidR="00AA0C41" w:rsidRPr="00AF6049">
        <w:rPr>
          <w:lang w:val="en-US"/>
        </w:rPr>
        <w:t>Cancer</w:t>
      </w:r>
      <w:r w:rsidR="00AA0C41" w:rsidRPr="00D050C7">
        <w:t xml:space="preserve"> </w:t>
      </w:r>
      <w:r w:rsidR="00AA0C41" w:rsidRPr="00AF6049">
        <w:rPr>
          <w:lang w:val="en-US"/>
        </w:rPr>
        <w:t>Database</w:t>
      </w:r>
      <w:r w:rsidR="00AA0C41" w:rsidRPr="00D050C7">
        <w:t xml:space="preserve"> </w:t>
      </w:r>
      <w:r w:rsidR="00AA0C41" w:rsidRPr="00AF6049">
        <w:rPr>
          <w:lang w:val="en-US"/>
        </w:rPr>
        <w:t>Consortium</w:t>
      </w:r>
      <w:r w:rsidR="00AA0C41" w:rsidRPr="00D050C7">
        <w:t xml:space="preserve">, </w:t>
      </w:r>
      <w:r w:rsidR="00481919">
        <w:rPr>
          <w:noProof/>
        </w:rPr>
        <w:t>IMDC</w:t>
      </w:r>
      <w:r w:rsidR="00AA0C41">
        <w:rPr>
          <w:noProof/>
        </w:rPr>
        <w:t>)</w:t>
      </w:r>
      <w:r w:rsidR="00481919">
        <w:rPr>
          <w:noProof/>
        </w:rPr>
        <w:t>, имеющих резистентность к антиангиогенной терапии TKI или антителами к VEGF, рекомендуется назначение комбинации ленватиниба с эверолимусом или монотерапии с акситинибом.</w:t>
      </w:r>
    </w:p>
    <w:p w14:paraId="0E497546" w14:textId="392F5F4A" w:rsidR="00453EBC" w:rsidRDefault="00764EE2" w:rsidP="00BC5186">
      <w:pPr>
        <w:ind w:firstLine="709"/>
        <w:rPr>
          <w:noProof/>
        </w:rPr>
      </w:pPr>
      <w:r>
        <w:rPr>
          <w:noProof/>
        </w:rPr>
        <w:t xml:space="preserve">При ПКР суточная доза ленватиниба составляет 18 мг (1 капсула 10 мг и 2 капсулы 4 мг) 1 раз в сутки в комбинации с 5 мг эверолимуса 1 раз в сутки. При необходимости </w:t>
      </w:r>
      <w:r>
        <w:rPr>
          <w:noProof/>
        </w:rPr>
        <w:lastRenderedPageBreak/>
        <w:t>суточная доза препарата может быть уменьшена или увеличена с шагом 4 мг, при этом максимальная суточная доза не должна превышать 18 мг, а минимальная суточная доза не должна быть ниже 10 мг</w:t>
      </w:r>
      <w:r w:rsidR="00481919">
        <w:rPr>
          <w:noProof/>
        </w:rPr>
        <w:t xml:space="preserve"> </w:t>
      </w:r>
      <w:r w:rsidR="00481919">
        <w:rPr>
          <w:noProof/>
        </w:rPr>
        <w:fldChar w:fldCharType="begin"/>
      </w:r>
      <w:r w:rsidR="002A0E06">
        <w:rPr>
          <w:noProof/>
        </w:rPr>
        <w:instrText xml:space="preserve"> ADDIN ZOTERO_ITEM CSL_CITATION {"citationID":"vd3crJAT","properties":{"formattedCitation":"[10]","plainCitation":"[10]","noteIndex":0},"citationItems":[{"id":2724,"uris":["http://zotero.org/users/5483459/items/J9A5SFQ3"],"itemData":{"id":2724,"type":"document","title":"Министерство здравоохранения Российской Федерации. Клинические рекомендации.Рак паренхимы почки у взрослых. 2021."}}],"schema":"https://github.com/citation-style-language/schema/raw/master/csl-citation.json"} </w:instrText>
      </w:r>
      <w:r w:rsidR="00481919">
        <w:rPr>
          <w:noProof/>
        </w:rPr>
        <w:fldChar w:fldCharType="separate"/>
      </w:r>
      <w:r w:rsidR="002A0E06" w:rsidRPr="002A0E06">
        <w:t>[10]</w:t>
      </w:r>
      <w:r w:rsidR="00481919">
        <w:rPr>
          <w:noProof/>
        </w:rPr>
        <w:fldChar w:fldCharType="end"/>
      </w:r>
      <w:r w:rsidR="00481919">
        <w:rPr>
          <w:noProof/>
        </w:rPr>
        <w:t>.</w:t>
      </w:r>
    </w:p>
    <w:p w14:paraId="3A4353FA" w14:textId="5AD99635" w:rsidR="00453EBC" w:rsidRPr="006E4432" w:rsidRDefault="00741483" w:rsidP="00087A74">
      <w:pPr>
        <w:ind w:firstLine="709"/>
        <w:rPr>
          <w:noProof/>
        </w:rPr>
      </w:pPr>
      <w:r w:rsidRPr="00741483">
        <w:t xml:space="preserve">Рекомендованная суточная доза ленватиниба составляет 20 мг (две капсулы 10 мг) один раз в сутки в комбинации с 200 мг пембролизумаба в виде внутривенной инфузии в течение 30 минут каждые 3 недели до неприемлемой токсичности или прогрессирования заболевания. Суточная доза ленватиниба может быть пересмотрена в соответствии с </w:t>
      </w:r>
      <w:r w:rsidR="00BC5186">
        <w:t>соотношением</w:t>
      </w:r>
      <w:r w:rsidRPr="00741483">
        <w:t xml:space="preserve"> доза/токсичность </w:t>
      </w:r>
      <w:r w:rsidR="007A61E3">
        <w:rPr>
          <w:noProof/>
        </w:rPr>
        <w:fldChar w:fldCharType="begin"/>
      </w:r>
      <w:r w:rsidR="00FB4D85">
        <w:rPr>
          <w:noProof/>
        </w:rPr>
        <w:instrText xml:space="preserve"> ADDIN ZOTERO_ITEM CSL_CITATION {"citationID":"XNoiOFoC","properties":{"formattedCitation":"[1]","plainCitation":"[1]","noteIndex":0},"citationItems":[{"id":2657,"uris":["http://zotero.org/users/5483459/items/FNN248PV"],"itemData":{"id":2657,"type":"document","title":"Министерство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Королевство."}}],"schema":"https://github.com/citation-style-language/schema/raw/master/csl-citation.json"} </w:instrText>
      </w:r>
      <w:r w:rsidR="007A61E3">
        <w:rPr>
          <w:noProof/>
        </w:rPr>
        <w:fldChar w:fldCharType="separate"/>
      </w:r>
      <w:r w:rsidR="00FB4D85" w:rsidRPr="00FB4D85">
        <w:t>[1]</w:t>
      </w:r>
      <w:r w:rsidR="007A61E3">
        <w:rPr>
          <w:noProof/>
        </w:rPr>
        <w:fldChar w:fldCharType="end"/>
      </w:r>
      <w:r w:rsidR="007A61E3">
        <w:rPr>
          <w:noProof/>
        </w:rPr>
        <w:t>.</w:t>
      </w:r>
    </w:p>
    <w:p w14:paraId="23EA178A" w14:textId="5B0C9390" w:rsidR="002F053D" w:rsidRPr="002F053D" w:rsidRDefault="002F053D" w:rsidP="00BC5186">
      <w:pPr>
        <w:ind w:firstLine="709"/>
      </w:pPr>
      <w:r w:rsidRPr="002F053D">
        <w:rPr>
          <w:lang w:eastAsia="ru-RU"/>
        </w:rPr>
        <w:t>DT-LNV</w:t>
      </w:r>
      <w:r w:rsidRPr="002F053D">
        <w:rPr>
          <w:bCs/>
        </w:rPr>
        <w:t>, капсулы,</w:t>
      </w:r>
      <w:r w:rsidRPr="002F053D">
        <w:t xml:space="preserve"> 4 и 10 мг </w:t>
      </w:r>
      <w:r w:rsidRPr="002F053D">
        <w:rPr>
          <w:bCs/>
        </w:rPr>
        <w:t xml:space="preserve">– воспроизведенный препарат ленвантиниба, разработанный дочерним подразделением ГК «Р-Фарм», Россия – </w:t>
      </w:r>
      <w:r w:rsidRPr="002F053D">
        <w:rPr>
          <w:bCs/>
          <w:lang w:eastAsia="ru-RU"/>
        </w:rPr>
        <w:t xml:space="preserve">ООО «Технология лекарств», по заказу АО «Р-Фарм». </w:t>
      </w:r>
      <w:r w:rsidRPr="002F053D">
        <w:t xml:space="preserve">Он </w:t>
      </w:r>
      <w:r w:rsidRPr="002F053D">
        <w:rPr>
          <w:bCs/>
          <w:lang w:eastAsia="ru-RU"/>
        </w:rPr>
        <w:t xml:space="preserve">полностью соответствует по качественному и количественному составу действующего </w:t>
      </w:r>
      <w:r w:rsidR="00E778B9">
        <w:rPr>
          <w:bCs/>
          <w:lang w:eastAsia="ru-RU"/>
        </w:rPr>
        <w:t>и</w:t>
      </w:r>
      <w:r w:rsidRPr="002F053D">
        <w:rPr>
          <w:bCs/>
          <w:lang w:eastAsia="ru-RU"/>
        </w:rPr>
        <w:t xml:space="preserve"> вспомогательных веществ, лекарственной форме (капсулы) и планируемым к выпуску дозировкам (4 мг и 10 мг) референтному препарату Ленвима</w:t>
      </w:r>
      <w:r w:rsidRPr="002F053D">
        <w:rPr>
          <w:bCs/>
          <w:vertAlign w:val="superscript"/>
          <w:lang w:eastAsia="ru-RU"/>
        </w:rPr>
        <w:t>®</w:t>
      </w:r>
      <w:r w:rsidRPr="002F053D">
        <w:rPr>
          <w:bCs/>
          <w:lang w:eastAsia="ru-RU"/>
        </w:rPr>
        <w:t xml:space="preserve"> (МНН: ленватиниб), капсулы 4 мг и</w:t>
      </w:r>
      <w:r w:rsidR="00E778B9">
        <w:rPr>
          <w:bCs/>
          <w:lang w:eastAsia="ru-RU"/>
        </w:rPr>
        <w:t xml:space="preserve"> </w:t>
      </w:r>
      <w:r w:rsidRPr="002F053D">
        <w:rPr>
          <w:bCs/>
          <w:lang w:eastAsia="ru-RU"/>
        </w:rPr>
        <w:t>10 мг (владелец РУ: Эйсай Юроп Лимитед, Соединенное Королевство).</w:t>
      </w:r>
      <w:r w:rsidRPr="002F053D">
        <w:t xml:space="preserve"> Результаты теста сравнительной кинетики растворения, проведенного в нескольких средах с использованием </w:t>
      </w:r>
      <w:r w:rsidRPr="002F053D">
        <w:rPr>
          <w:lang w:eastAsia="ru-RU"/>
        </w:rPr>
        <w:t>DT-LNV</w:t>
      </w:r>
      <w:r w:rsidRPr="002F053D">
        <w:t xml:space="preserve"> в сравнении с референтным препаратом </w:t>
      </w:r>
      <w:r w:rsidRPr="002F053D">
        <w:rPr>
          <w:lang w:eastAsia="ru-RU"/>
        </w:rPr>
        <w:t>Ленвима</w:t>
      </w:r>
      <w:r w:rsidRPr="002F053D">
        <w:rPr>
          <w:vertAlign w:val="superscript"/>
          <w:lang w:eastAsia="ru-RU"/>
        </w:rPr>
        <w:t>®</w:t>
      </w:r>
      <w:r w:rsidRPr="002F053D">
        <w:t xml:space="preserve">, </w:t>
      </w:r>
      <w:r w:rsidR="00965355">
        <w:t>об</w:t>
      </w:r>
      <w:r w:rsidRPr="002F053D">
        <w:t xml:space="preserve">а препарата использовались в дозировках 4 мг и 10 мг, продемонстрировали эквивалентную кинетику растворения </w:t>
      </w:r>
      <w:r w:rsidR="00965355">
        <w:t>действующего вещества</w:t>
      </w:r>
      <w:r w:rsidRPr="002F053D">
        <w:rPr>
          <w:color w:val="000000" w:themeColor="text1"/>
        </w:rPr>
        <w:t xml:space="preserve">, что позволяет предполагать также эквивалентность фармакологических свойств препаратов. Состав вспомагательных веществ для дозировок 4 мг и 10 мг не пропорциональный, поэтому регистрация меньшей дозировки по процедуре биовейвер, после проведения клинического исследования с применением максимальной дозировки ленватиниба 10 мг, невозможна. </w:t>
      </w:r>
      <w:r w:rsidRPr="002F053D">
        <w:t>В связи с этим представляется целесообразным проведение клинического исследования биоэквивалентности</w:t>
      </w:r>
      <w:r w:rsidRPr="002F053D">
        <w:rPr>
          <w:bCs/>
          <w:lang w:eastAsia="ru-RU"/>
        </w:rPr>
        <w:t xml:space="preserve"> лекарственного препарата </w:t>
      </w:r>
      <w:r w:rsidRPr="002F053D">
        <w:rPr>
          <w:bCs/>
          <w:lang w:val="en-US" w:eastAsia="ru-RU"/>
        </w:rPr>
        <w:t>D</w:t>
      </w:r>
      <w:r w:rsidRPr="002F053D">
        <w:rPr>
          <w:lang w:val="en-US"/>
        </w:rPr>
        <w:t>T</w:t>
      </w:r>
      <w:r w:rsidRPr="002F053D">
        <w:t>-</w:t>
      </w:r>
      <w:r w:rsidRPr="002F053D">
        <w:rPr>
          <w:lang w:val="en-US"/>
        </w:rPr>
        <w:t>LNV</w:t>
      </w:r>
      <w:r w:rsidRPr="002F053D">
        <w:rPr>
          <w:bCs/>
          <w:lang w:eastAsia="ru-RU"/>
        </w:rPr>
        <w:t>, капсулы, 4 мг и 10 мг</w:t>
      </w:r>
      <w:r w:rsidRPr="002F053D">
        <w:t xml:space="preserve"> </w:t>
      </w:r>
      <w:r w:rsidRPr="002F053D">
        <w:rPr>
          <w:lang w:eastAsia="ru-RU"/>
        </w:rPr>
        <w:t>(</w:t>
      </w:r>
      <w:r w:rsidRPr="002F053D">
        <w:rPr>
          <w:rFonts w:eastAsia="SimSun"/>
        </w:rPr>
        <w:t>АО «Р-Фарм», Россия</w:t>
      </w:r>
      <w:r w:rsidRPr="002F053D">
        <w:rPr>
          <w:lang w:eastAsia="ru-RU"/>
        </w:rPr>
        <w:t xml:space="preserve">) в сравнении с оригинальным препаратом </w:t>
      </w:r>
      <w:r w:rsidRPr="002F053D">
        <w:rPr>
          <w:bCs/>
          <w:lang w:eastAsia="ru-RU"/>
        </w:rPr>
        <w:t>Ленвима</w:t>
      </w:r>
      <w:r w:rsidRPr="002F053D">
        <w:rPr>
          <w:vertAlign w:val="superscript"/>
          <w:lang w:eastAsia="ru-RU"/>
        </w:rPr>
        <w:t>®</w:t>
      </w:r>
      <w:r w:rsidRPr="002F053D">
        <w:rPr>
          <w:rFonts w:eastAsia="Calibri"/>
        </w:rPr>
        <w:t xml:space="preserve"> </w:t>
      </w:r>
      <w:r w:rsidRPr="002F053D">
        <w:t>(</w:t>
      </w:r>
      <w:r w:rsidRPr="002F053D">
        <w:rPr>
          <w:bCs/>
          <w:lang w:eastAsia="ru-RU"/>
        </w:rPr>
        <w:t>Эйсай Юроп Лимитед, Соединенное Королевство</w:t>
      </w:r>
      <w:r w:rsidRPr="002F053D">
        <w:t>)</w:t>
      </w:r>
      <w:r w:rsidRPr="002F053D">
        <w:rPr>
          <w:bCs/>
          <w:lang w:eastAsia="ru-RU"/>
        </w:rPr>
        <w:t>, капсулы 4 мг и 10 мг</w:t>
      </w:r>
      <w:r w:rsidR="00965355">
        <w:rPr>
          <w:bCs/>
          <w:lang w:eastAsia="ru-RU"/>
        </w:rPr>
        <w:t>, с использованием каждой дозировки в отдельной популяции добровольцев.</w:t>
      </w:r>
    </w:p>
    <w:p w14:paraId="1E0C2052" w14:textId="0F343EAD" w:rsidR="0049429B" w:rsidRPr="002F053D" w:rsidRDefault="0049429B" w:rsidP="002F053D">
      <w:pPr>
        <w:ind w:firstLine="709"/>
        <w:rPr>
          <w:bCs/>
          <w:lang w:eastAsia="ru-RU"/>
        </w:rPr>
      </w:pPr>
      <w:r w:rsidRPr="002F053D">
        <w:rPr>
          <w:bCs/>
          <w:lang w:eastAsia="ru-RU"/>
        </w:rPr>
        <w:t xml:space="preserve">Внедрение в клиническую практику нового воспроизведенного препарата </w:t>
      </w:r>
      <w:r w:rsidR="002F053D" w:rsidRPr="002F053D">
        <w:t xml:space="preserve">ленватиниба </w:t>
      </w:r>
      <w:r w:rsidRPr="002F053D">
        <w:rPr>
          <w:bCs/>
          <w:lang w:eastAsia="ru-RU"/>
        </w:rPr>
        <w:t xml:space="preserve">позволит снизить цену современной </w:t>
      </w:r>
      <w:r w:rsidRPr="002F053D">
        <w:rPr>
          <w:lang w:eastAsia="ru-RU"/>
        </w:rPr>
        <w:t xml:space="preserve">комбинированной терапии </w:t>
      </w:r>
      <w:r w:rsidR="004640DD" w:rsidRPr="002F053D">
        <w:rPr>
          <w:lang w:eastAsia="ru-RU"/>
        </w:rPr>
        <w:t>онкологически</w:t>
      </w:r>
      <w:r w:rsidR="00937569" w:rsidRPr="002F053D">
        <w:rPr>
          <w:lang w:eastAsia="ru-RU"/>
        </w:rPr>
        <w:t>х</w:t>
      </w:r>
      <w:r w:rsidR="004640DD" w:rsidRPr="002F053D">
        <w:rPr>
          <w:lang w:eastAsia="ru-RU"/>
        </w:rPr>
        <w:t xml:space="preserve"> заболеваний</w:t>
      </w:r>
      <w:r w:rsidR="006E4432" w:rsidRPr="002F053D">
        <w:rPr>
          <w:lang w:eastAsia="ru-RU"/>
        </w:rPr>
        <w:t>.</w:t>
      </w:r>
    </w:p>
    <w:p w14:paraId="378C76FA" w14:textId="77777777" w:rsidR="007A61E3" w:rsidRPr="005E6358" w:rsidRDefault="007A61E3" w:rsidP="007A61E3">
      <w:pPr>
        <w:pStyle w:val="2"/>
        <w:numPr>
          <w:ilvl w:val="1"/>
          <w:numId w:val="5"/>
        </w:numPr>
        <w:spacing w:line="240" w:lineRule="auto"/>
        <w:ind w:left="0" w:firstLine="0"/>
        <w:rPr>
          <w:color w:val="000000" w:themeColor="text1"/>
          <w:szCs w:val="24"/>
        </w:rPr>
      </w:pPr>
      <w:bookmarkStart w:id="43" w:name="_Toc99740773"/>
      <w:bookmarkStart w:id="44" w:name="_Toc126059692"/>
      <w:r w:rsidRPr="005E6358">
        <w:rPr>
          <w:color w:val="000000" w:themeColor="text1"/>
          <w:szCs w:val="24"/>
        </w:rPr>
        <w:t>Ожидаемые показания к применению</w:t>
      </w:r>
      <w:bookmarkEnd w:id="43"/>
      <w:bookmarkEnd w:id="44"/>
    </w:p>
    <w:p w14:paraId="08072B34" w14:textId="77777777" w:rsidR="00D5370A" w:rsidRPr="00D5370A" w:rsidRDefault="00D5370A" w:rsidP="00D5370A">
      <w:pPr>
        <w:pStyle w:val="af3"/>
        <w:numPr>
          <w:ilvl w:val="0"/>
          <w:numId w:val="40"/>
        </w:numPr>
        <w:rPr>
          <w:b/>
          <w:bCs/>
          <w:noProof/>
        </w:rPr>
      </w:pPr>
      <w:r w:rsidRPr="00D5370A">
        <w:rPr>
          <w:b/>
          <w:bCs/>
          <w:noProof/>
        </w:rPr>
        <w:t>Дифференцированный рак щитовидной железы</w:t>
      </w:r>
    </w:p>
    <w:p w14:paraId="1611216A" w14:textId="77777777" w:rsidR="00D5370A" w:rsidRPr="00D5370A" w:rsidRDefault="00D5370A" w:rsidP="00D5370A">
      <w:pPr>
        <w:pStyle w:val="af3"/>
        <w:ind w:left="0" w:firstLine="720"/>
        <w:rPr>
          <w:noProof/>
        </w:rPr>
      </w:pPr>
      <w:r w:rsidRPr="00D5370A">
        <w:rPr>
          <w:noProof/>
        </w:rPr>
        <w:t>Л</w:t>
      </w:r>
      <w:r w:rsidRPr="00D5370A">
        <w:t xml:space="preserve">енватиниб </w:t>
      </w:r>
      <w:r w:rsidRPr="00D5370A">
        <w:rPr>
          <w:noProof/>
        </w:rPr>
        <w:t>показан к применению в монотерапии у взрослых пациентов с прогрессирующим местно-распространенным или метастатическим дифференцированным (папиллярным, фолликулярным, из клеток Гюртле) РЩЗ, рефрактерным к терапии радиоактивным йодом.</w:t>
      </w:r>
    </w:p>
    <w:p w14:paraId="2A3BA9D7" w14:textId="77777777" w:rsidR="00D5370A" w:rsidRPr="00D5370A" w:rsidRDefault="00D5370A" w:rsidP="00D5370A">
      <w:pPr>
        <w:pStyle w:val="af3"/>
        <w:numPr>
          <w:ilvl w:val="0"/>
          <w:numId w:val="42"/>
        </w:numPr>
        <w:rPr>
          <w:b/>
          <w:bCs/>
          <w:noProof/>
        </w:rPr>
      </w:pPr>
      <w:r w:rsidRPr="00D5370A">
        <w:rPr>
          <w:b/>
          <w:bCs/>
          <w:noProof/>
        </w:rPr>
        <w:t>Гепатоцеллюлярный рак</w:t>
      </w:r>
    </w:p>
    <w:p w14:paraId="4DEF57C6" w14:textId="77777777" w:rsidR="00D5370A" w:rsidRPr="00D5370A" w:rsidRDefault="00D5370A" w:rsidP="00D5370A">
      <w:pPr>
        <w:pStyle w:val="af3"/>
        <w:ind w:left="0" w:firstLine="720"/>
        <w:rPr>
          <w:noProof/>
        </w:rPr>
      </w:pPr>
      <w:r w:rsidRPr="00D5370A">
        <w:rPr>
          <w:noProof/>
        </w:rPr>
        <w:t>Л</w:t>
      </w:r>
      <w:r w:rsidRPr="00D5370A">
        <w:t xml:space="preserve">енватиниб </w:t>
      </w:r>
      <w:r w:rsidRPr="00D5370A">
        <w:rPr>
          <w:noProof/>
        </w:rPr>
        <w:t>показан к применению в монотерапии у взросльгх пациентов с прогрессирующим или неоперабельным ГЦР, ранее не получавших системной терапии.</w:t>
      </w:r>
    </w:p>
    <w:p w14:paraId="72072962" w14:textId="77777777" w:rsidR="00D5370A" w:rsidRPr="00D5370A" w:rsidRDefault="00D5370A" w:rsidP="00D5370A">
      <w:pPr>
        <w:pStyle w:val="af3"/>
        <w:numPr>
          <w:ilvl w:val="0"/>
          <w:numId w:val="42"/>
        </w:numPr>
        <w:rPr>
          <w:b/>
          <w:bCs/>
          <w:noProof/>
        </w:rPr>
      </w:pPr>
      <w:r w:rsidRPr="00D5370A">
        <w:rPr>
          <w:b/>
          <w:bCs/>
          <w:noProof/>
        </w:rPr>
        <w:t>Почечно-клеточный рак</w:t>
      </w:r>
    </w:p>
    <w:p w14:paraId="17CB885E" w14:textId="61F74F7A" w:rsidR="00D5370A" w:rsidRPr="00D5370A" w:rsidRDefault="00D5370A" w:rsidP="00D5370A">
      <w:pPr>
        <w:pStyle w:val="af3"/>
        <w:ind w:left="0" w:firstLine="720"/>
        <w:rPr>
          <w:noProof/>
        </w:rPr>
      </w:pPr>
      <w:r w:rsidRPr="00D5370A">
        <w:rPr>
          <w:noProof/>
        </w:rPr>
        <w:t>Л</w:t>
      </w:r>
      <w:r w:rsidRPr="00D5370A">
        <w:t xml:space="preserve">енватиниб </w:t>
      </w:r>
      <w:r w:rsidRPr="00D5370A">
        <w:rPr>
          <w:noProof/>
        </w:rPr>
        <w:t xml:space="preserve">показан к применению в комбинации с пембролизумабом в качестве1-й линии терапии у взрослых пациентов с распространенным ПКР. </w:t>
      </w:r>
      <w:r w:rsidR="00965355">
        <w:rPr>
          <w:noProof/>
        </w:rPr>
        <w:t>Ленватиниб</w:t>
      </w:r>
      <w:r w:rsidRPr="00D5370A">
        <w:rPr>
          <w:noProof/>
        </w:rPr>
        <w:t xml:space="preserve"> показан к применению в комбинации с эверолимусом у взрослых пациентов с распространенным ПКР, после одного предшествующего курса таргетной терапии ингибиторами рецепторов фактора роста эндотелия сосудов.</w:t>
      </w:r>
    </w:p>
    <w:p w14:paraId="763B4A0C" w14:textId="77777777" w:rsidR="00D5370A" w:rsidRPr="00D5370A" w:rsidRDefault="00D5370A" w:rsidP="00D5370A">
      <w:pPr>
        <w:pStyle w:val="af3"/>
        <w:numPr>
          <w:ilvl w:val="0"/>
          <w:numId w:val="42"/>
        </w:numPr>
        <w:rPr>
          <w:b/>
          <w:bCs/>
          <w:noProof/>
        </w:rPr>
      </w:pPr>
      <w:r w:rsidRPr="00D5370A">
        <w:rPr>
          <w:b/>
          <w:bCs/>
          <w:noProof/>
        </w:rPr>
        <w:t>Рак эндометрия</w:t>
      </w:r>
    </w:p>
    <w:p w14:paraId="71FC7BDA" w14:textId="13BE4D07" w:rsidR="00D5370A" w:rsidRPr="00D5370A" w:rsidRDefault="00D5370A" w:rsidP="00D5370A">
      <w:pPr>
        <w:pStyle w:val="OT"/>
        <w:spacing w:after="0"/>
        <w:ind w:firstLine="720"/>
        <w:rPr>
          <w:noProof/>
          <w:szCs w:val="22"/>
        </w:rPr>
      </w:pPr>
      <w:r w:rsidRPr="00D5370A">
        <w:rPr>
          <w:noProof/>
          <w:sz w:val="24"/>
          <w:szCs w:val="24"/>
        </w:rPr>
        <w:lastRenderedPageBreak/>
        <w:t>Л</w:t>
      </w:r>
      <w:r w:rsidRPr="00D5370A">
        <w:rPr>
          <w:sz w:val="24"/>
          <w:szCs w:val="24"/>
        </w:rPr>
        <w:t xml:space="preserve">енватиниб </w:t>
      </w:r>
      <w:r w:rsidRPr="00D5370A">
        <w:rPr>
          <w:noProof/>
          <w:sz w:val="24"/>
          <w:szCs w:val="24"/>
        </w:rPr>
        <w:t xml:space="preserve">показан к применению в комбинации с пембролизумабом у взрослых пациентов с распространенным раком эндометрия в случае отсутствия высокой микросателлитной нестабильности (MSI-H) или нарушений системы репарации </w:t>
      </w:r>
      <w:r w:rsidRPr="00D5370A">
        <w:rPr>
          <w:rFonts w:eastAsiaTheme="minorEastAsia"/>
          <w:sz w:val="24"/>
          <w:szCs w:val="24"/>
        </w:rPr>
        <w:t>дезоксирибонуклеиновой кислоты</w:t>
      </w:r>
      <w:r w:rsidRPr="00D5370A">
        <w:rPr>
          <w:noProof/>
          <w:sz w:val="24"/>
          <w:szCs w:val="24"/>
        </w:rPr>
        <w:t xml:space="preserve"> (ДНК) (dMMR) с прогрессированием заболевания после предшествующей системной терапии в любом режиме, которым не показано хирургическое лечение или лучевая терапия</w:t>
      </w:r>
      <w:r w:rsidRPr="00624215">
        <w:rPr>
          <w:noProof/>
          <w:szCs w:val="22"/>
        </w:rPr>
        <w:t>.</w:t>
      </w:r>
    </w:p>
    <w:p w14:paraId="125EF939" w14:textId="26295A56" w:rsidR="00295007" w:rsidRPr="00BC35BF" w:rsidRDefault="00295007" w:rsidP="00295007">
      <w:pPr>
        <w:pStyle w:val="2"/>
        <w:spacing w:line="240" w:lineRule="auto"/>
        <w:rPr>
          <w:color w:val="000000" w:themeColor="text1"/>
          <w:szCs w:val="24"/>
        </w:rPr>
      </w:pPr>
      <w:bookmarkStart w:id="45" w:name="_Toc32336729"/>
      <w:bookmarkStart w:id="46" w:name="_Toc126059693"/>
      <w:bookmarkEnd w:id="42"/>
      <w:r>
        <w:rPr>
          <w:color w:val="000000" w:themeColor="text1"/>
          <w:szCs w:val="24"/>
        </w:rPr>
        <w:t>Сп</w:t>
      </w:r>
      <w:r w:rsidR="004640DD">
        <w:rPr>
          <w:color w:val="000000" w:themeColor="text1"/>
          <w:szCs w:val="24"/>
        </w:rPr>
        <w:t>и</w:t>
      </w:r>
      <w:r>
        <w:rPr>
          <w:color w:val="000000" w:themeColor="text1"/>
          <w:szCs w:val="24"/>
        </w:rPr>
        <w:t>сок</w:t>
      </w:r>
      <w:r w:rsidRPr="00BC35BF">
        <w:rPr>
          <w:color w:val="000000" w:themeColor="text1"/>
          <w:szCs w:val="24"/>
        </w:rPr>
        <w:t xml:space="preserve"> </w:t>
      </w:r>
      <w:r>
        <w:rPr>
          <w:color w:val="000000" w:themeColor="text1"/>
          <w:szCs w:val="24"/>
        </w:rPr>
        <w:t>литературы</w:t>
      </w:r>
      <w:bookmarkEnd w:id="45"/>
      <w:bookmarkEnd w:id="46"/>
    </w:p>
    <w:p w14:paraId="4A0BF17B" w14:textId="77382C2A" w:rsidR="00B37707" w:rsidRPr="00B37707" w:rsidRDefault="00CC77F8" w:rsidP="00D5370A">
      <w:pPr>
        <w:pStyle w:val="afff2"/>
        <w:tabs>
          <w:tab w:val="clear" w:pos="504"/>
        </w:tabs>
        <w:spacing w:after="0"/>
        <w:ind w:left="709" w:hanging="425"/>
      </w:pPr>
      <w:r>
        <w:t xml:space="preserve"> </w:t>
      </w:r>
      <w:r w:rsidR="004640DD">
        <w:fldChar w:fldCharType="begin"/>
      </w:r>
      <w:r w:rsidR="002A0E06">
        <w:instrText xml:space="preserve"> ADDIN ZOTERO_BIBL {"uncited":[],"omitted":[],"custom":[]} CSL_BIBLIOGRAPHY </w:instrText>
      </w:r>
      <w:r w:rsidR="004640DD">
        <w:fldChar w:fldCharType="separate"/>
      </w:r>
      <w:r w:rsidR="00B37707" w:rsidRPr="00B37707">
        <w:t xml:space="preserve">1. </w:t>
      </w:r>
      <w:r w:rsidR="00B37707" w:rsidRPr="00B37707">
        <w:tab/>
        <w:t xml:space="preserv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 </w:t>
      </w:r>
    </w:p>
    <w:p w14:paraId="473BCF4E" w14:textId="5C215A5A" w:rsidR="00B37707" w:rsidRPr="00B37707" w:rsidRDefault="00B37707" w:rsidP="00D5370A">
      <w:pPr>
        <w:pStyle w:val="afff2"/>
        <w:tabs>
          <w:tab w:val="clear" w:pos="504"/>
        </w:tabs>
        <w:spacing w:after="0"/>
        <w:ind w:left="709" w:hanging="425"/>
      </w:pPr>
      <w:r w:rsidRPr="00B37707">
        <w:t xml:space="preserve">2. </w:t>
      </w:r>
      <w:r w:rsidRPr="00B37707">
        <w:tab/>
        <w:t xml:space="preserve">Sung H, Ferlay J, Siegel RL, Laversanne M, Soerjomataram I, Jemal A, и др. </w:t>
      </w:r>
      <w:r w:rsidRPr="00B37707">
        <w:rPr>
          <w:lang w:val="en-US"/>
        </w:rPr>
        <w:t xml:space="preserve">Global Cancer Statistics 2020: GLOBOCAN Estimates of Incidence and Mortality Worldwide for 36 Cancers in 185 Countries. </w:t>
      </w:r>
      <w:r w:rsidRPr="00B37707">
        <w:t xml:space="preserve">CA Cancer J Clin. </w:t>
      </w:r>
      <w:r w:rsidR="00281CC9">
        <w:rPr>
          <w:lang w:val="en-US"/>
        </w:rPr>
        <w:t>May</w:t>
      </w:r>
      <w:r w:rsidR="00281CC9" w:rsidRPr="00B37707">
        <w:t xml:space="preserve"> </w:t>
      </w:r>
      <w:r w:rsidRPr="00B37707">
        <w:t xml:space="preserve">2021;71(3):209–49. </w:t>
      </w:r>
    </w:p>
    <w:p w14:paraId="5C8CB216" w14:textId="77777777" w:rsidR="00B37707" w:rsidRPr="00B37707" w:rsidRDefault="00B37707" w:rsidP="00D5370A">
      <w:pPr>
        <w:pStyle w:val="afff2"/>
        <w:tabs>
          <w:tab w:val="clear" w:pos="504"/>
        </w:tabs>
        <w:spacing w:after="0"/>
        <w:ind w:left="709" w:hanging="425"/>
      </w:pPr>
      <w:r w:rsidRPr="00B37707">
        <w:t xml:space="preserve">3. </w:t>
      </w:r>
      <w:r w:rsidRPr="00B37707">
        <w:tab/>
        <w:t xml:space="preserve">Министерство Здравоохранения Российской Федерации. Российский Центр информационных технологий и эпидемиологических Московский научно-исследовательский онкологический институт имени П.А. Герцена.Состояние онкологической помощи населению России в 2021 году Под редакцией   Каприна А.Д.,  Старинского В.В., Петровой Г.В. 2022. </w:t>
      </w:r>
    </w:p>
    <w:p w14:paraId="1C98CC2A" w14:textId="77777777" w:rsidR="00B37707" w:rsidRPr="00B37707" w:rsidRDefault="00B37707" w:rsidP="00D5370A">
      <w:pPr>
        <w:pStyle w:val="afff2"/>
        <w:tabs>
          <w:tab w:val="clear" w:pos="504"/>
        </w:tabs>
        <w:spacing w:after="0"/>
        <w:ind w:left="709" w:hanging="425"/>
      </w:pPr>
      <w:r w:rsidRPr="00B37707">
        <w:t xml:space="preserve">4. </w:t>
      </w:r>
      <w:r w:rsidRPr="00B37707">
        <w:tab/>
        <w:t xml:space="preserve">Меньшиков К.В., Султанбаев А.В., Мусин Ш.И., Измайлов А.А., Меньшикова И.А., Насретдинов А.Ф., &amp; Шайхутдинов И.Р.ЛЕЧЕНИЕ МЕТАСТАТИЧЕСКОГО ГЕПАТОЦЕЛЛЮЛЯРНОГО РАКА. КЛИНИЧЕСКИЙ СЛУЧАЙ И ОБЗОР ЛИТЕРАТУРЫ. Поволжский онкологический вестник. 2020. 11 (4 (44)), 75-81. </w:t>
      </w:r>
    </w:p>
    <w:p w14:paraId="2CDD1664" w14:textId="77777777" w:rsidR="00B37707" w:rsidRPr="00B37707" w:rsidRDefault="00B37707" w:rsidP="00D5370A">
      <w:pPr>
        <w:pStyle w:val="afff2"/>
        <w:tabs>
          <w:tab w:val="clear" w:pos="504"/>
        </w:tabs>
        <w:spacing w:after="0"/>
        <w:ind w:left="709" w:hanging="425"/>
        <w:rPr>
          <w:lang w:val="en-US"/>
        </w:rPr>
      </w:pPr>
      <w:r w:rsidRPr="00B37707">
        <w:t xml:space="preserve">5. </w:t>
      </w:r>
      <w:r w:rsidRPr="00B37707">
        <w:tab/>
        <w:t>Бородавина Е.В., Шуринов А.Ю., Крылов В.В., Васильев К.Г. Анализ выживаемости пациентов с прогрессирующим метастатическим дифференцированным раком щитовидной железы. Опухоли</w:t>
      </w:r>
      <w:r w:rsidRPr="00B37707">
        <w:rPr>
          <w:lang w:val="en-US"/>
        </w:rPr>
        <w:t xml:space="preserve"> </w:t>
      </w:r>
      <w:r w:rsidRPr="00B37707">
        <w:t>головы</w:t>
      </w:r>
      <w:r w:rsidRPr="00B37707">
        <w:rPr>
          <w:lang w:val="en-US"/>
        </w:rPr>
        <w:t xml:space="preserve"> </w:t>
      </w:r>
      <w:r w:rsidRPr="00B37707">
        <w:t>и</w:t>
      </w:r>
      <w:r w:rsidRPr="00B37707">
        <w:rPr>
          <w:lang w:val="en-US"/>
        </w:rPr>
        <w:t xml:space="preserve"> </w:t>
      </w:r>
      <w:r w:rsidRPr="00B37707">
        <w:t>шеи</w:t>
      </w:r>
      <w:r w:rsidRPr="00B37707">
        <w:rPr>
          <w:lang w:val="en-US"/>
        </w:rPr>
        <w:t xml:space="preserve">. 2022;12(2):63-70. https://doi.org/10.17650/2222-1468-2022-12-2-63-70. </w:t>
      </w:r>
    </w:p>
    <w:p w14:paraId="38B0B778" w14:textId="3CAD630D" w:rsidR="00B37707" w:rsidRPr="00B37707" w:rsidRDefault="00B37707" w:rsidP="00D5370A">
      <w:pPr>
        <w:pStyle w:val="afff2"/>
        <w:tabs>
          <w:tab w:val="clear" w:pos="504"/>
        </w:tabs>
        <w:spacing w:after="0"/>
        <w:ind w:left="709" w:hanging="425"/>
      </w:pPr>
      <w:r w:rsidRPr="00B37707">
        <w:rPr>
          <w:lang w:val="en-US"/>
        </w:rPr>
        <w:t xml:space="preserve">6. </w:t>
      </w:r>
      <w:r w:rsidRPr="00B37707">
        <w:rPr>
          <w:lang w:val="en-US"/>
        </w:rPr>
        <w:tab/>
        <w:t xml:space="preserve">Asa SL, Ezzat S. The epigenetic landscape of differentiated thyroid cancer. </w:t>
      </w:r>
      <w:r w:rsidRPr="00B37707">
        <w:t xml:space="preserve">Mol Cell Endocrinol. </w:t>
      </w:r>
      <w:r w:rsidR="00281CC9">
        <w:rPr>
          <w:lang w:val="en-US"/>
        </w:rPr>
        <w:t>July</w:t>
      </w:r>
      <w:r w:rsidRPr="00B37707">
        <w:t xml:space="preserve"> 2018;</w:t>
      </w:r>
      <w:r w:rsidR="00205826" w:rsidRPr="00F21C52">
        <w:t xml:space="preserve"> </w:t>
      </w:r>
      <w:r w:rsidRPr="00B37707">
        <w:t xml:space="preserve">469:3–10. </w:t>
      </w:r>
    </w:p>
    <w:p w14:paraId="6E7B58D2" w14:textId="77777777" w:rsidR="00B37707" w:rsidRPr="00B37707" w:rsidRDefault="00B37707" w:rsidP="00D5370A">
      <w:pPr>
        <w:pStyle w:val="afff2"/>
        <w:tabs>
          <w:tab w:val="clear" w:pos="504"/>
        </w:tabs>
        <w:spacing w:after="0"/>
        <w:ind w:left="709" w:hanging="425"/>
        <w:rPr>
          <w:lang w:val="en-US"/>
        </w:rPr>
      </w:pPr>
      <w:r w:rsidRPr="00B37707">
        <w:t xml:space="preserve">7. </w:t>
      </w:r>
      <w:r w:rsidRPr="00B37707">
        <w:tab/>
        <w:t>Министерство здравоохранения Российской Федерации. Клинические рекомендации. Дифференцированный</w:t>
      </w:r>
      <w:r w:rsidRPr="00F21C52">
        <w:rPr>
          <w:lang w:val="en-US"/>
        </w:rPr>
        <w:t xml:space="preserve"> </w:t>
      </w:r>
      <w:r w:rsidRPr="00B37707">
        <w:t>рак</w:t>
      </w:r>
      <w:r w:rsidRPr="00F21C52">
        <w:rPr>
          <w:lang w:val="en-US"/>
        </w:rPr>
        <w:t xml:space="preserve"> </w:t>
      </w:r>
      <w:r w:rsidRPr="00B37707">
        <w:t>щитовидной</w:t>
      </w:r>
      <w:r w:rsidRPr="00F21C52">
        <w:rPr>
          <w:lang w:val="en-US"/>
        </w:rPr>
        <w:t xml:space="preserve"> </w:t>
      </w:r>
      <w:r w:rsidRPr="00B37707">
        <w:t>железы</w:t>
      </w:r>
      <w:r w:rsidRPr="00F21C52">
        <w:rPr>
          <w:lang w:val="en-US"/>
        </w:rPr>
        <w:t>. 2022</w:t>
      </w:r>
      <w:r w:rsidRPr="00B37707">
        <w:rPr>
          <w:lang w:val="en-US"/>
        </w:rPr>
        <w:t xml:space="preserve">. </w:t>
      </w:r>
    </w:p>
    <w:p w14:paraId="0D0B7584" w14:textId="3106A0A9" w:rsidR="00B37707" w:rsidRPr="00B37707" w:rsidRDefault="00B37707" w:rsidP="00D5370A">
      <w:pPr>
        <w:pStyle w:val="afff2"/>
        <w:tabs>
          <w:tab w:val="clear" w:pos="504"/>
        </w:tabs>
        <w:spacing w:after="0"/>
        <w:ind w:left="709" w:hanging="425"/>
        <w:rPr>
          <w:lang w:val="en-US"/>
        </w:rPr>
      </w:pPr>
      <w:r w:rsidRPr="00B37707">
        <w:rPr>
          <w:lang w:val="en-US"/>
        </w:rPr>
        <w:t xml:space="preserve">8. </w:t>
      </w:r>
      <w:r w:rsidRPr="00B37707">
        <w:rPr>
          <w:lang w:val="en-US"/>
        </w:rPr>
        <w:tab/>
        <w:t xml:space="preserve">Haugen BR, Alexander EK, Bible KC, Doherty GM, Mandel SJ, Nikiforov YE, </w:t>
      </w:r>
      <w:r w:rsidRPr="00B37707">
        <w:t>и</w:t>
      </w:r>
      <w:r w:rsidRPr="00B37707">
        <w:rPr>
          <w:lang w:val="en-US"/>
        </w:rPr>
        <w:t xml:space="preserve"> </w:t>
      </w:r>
      <w:r w:rsidRPr="00B37707">
        <w:t>др</w:t>
      </w:r>
      <w:r w:rsidRPr="00B37707">
        <w:rPr>
          <w:lang w:val="en-US"/>
        </w:rPr>
        <w:t xml:space="preserve">. 2015 American Thyroid Association Management Guidelines for Adult Patients with Thyroid Nodules and Differentiated Thyroid Cancer: The American Thyroid Association Guidelines Task Force on Thyroid Nodules and Differentiated Thyroid Cancer. Thyroid. </w:t>
      </w:r>
      <w:r w:rsidR="00281CC9">
        <w:rPr>
          <w:lang w:val="en-US"/>
        </w:rPr>
        <w:t>January</w:t>
      </w:r>
      <w:r w:rsidR="00281CC9" w:rsidRPr="00B37707">
        <w:rPr>
          <w:lang w:val="en-US"/>
        </w:rPr>
        <w:t xml:space="preserve"> </w:t>
      </w:r>
      <w:r w:rsidRPr="00B37707">
        <w:rPr>
          <w:lang w:val="en-US"/>
        </w:rPr>
        <w:t>2016;</w:t>
      </w:r>
      <w:r w:rsidR="00205826">
        <w:rPr>
          <w:lang w:val="en-US"/>
        </w:rPr>
        <w:t xml:space="preserve"> </w:t>
      </w:r>
      <w:r w:rsidRPr="00B37707">
        <w:rPr>
          <w:lang w:val="en-US"/>
        </w:rPr>
        <w:t xml:space="preserve">26(1):1–133. </w:t>
      </w:r>
    </w:p>
    <w:p w14:paraId="0BA7FAEF" w14:textId="2C86680C" w:rsidR="00B37707" w:rsidRPr="00B37707" w:rsidRDefault="00B37707" w:rsidP="00D5370A">
      <w:pPr>
        <w:pStyle w:val="afff2"/>
        <w:tabs>
          <w:tab w:val="clear" w:pos="504"/>
        </w:tabs>
        <w:spacing w:after="0"/>
        <w:ind w:left="709" w:hanging="425"/>
      </w:pPr>
      <w:r w:rsidRPr="00B37707">
        <w:rPr>
          <w:lang w:val="en-US"/>
        </w:rPr>
        <w:t xml:space="preserve">9. </w:t>
      </w:r>
      <w:r w:rsidRPr="00B37707">
        <w:rPr>
          <w:lang w:val="en-US"/>
        </w:rPr>
        <w:tab/>
        <w:t xml:space="preserve">Tuttle RM, Ahuja S, Avram AM, Bernet VJ, Bourguet P, Daniels GH, </w:t>
      </w:r>
      <w:r w:rsidRPr="00B37707">
        <w:t>и</w:t>
      </w:r>
      <w:r w:rsidRPr="00B37707">
        <w:rPr>
          <w:lang w:val="en-US"/>
        </w:rPr>
        <w:t xml:space="preserve"> </w:t>
      </w:r>
      <w:r w:rsidRPr="00B37707">
        <w:t>др</w:t>
      </w:r>
      <w:r w:rsidRPr="00B37707">
        <w:rPr>
          <w:lang w:val="en-US"/>
        </w:rPr>
        <w:t xml:space="preserve">. Controversies, Consensus, and Collaboration in the Use of 131I Therapy in Differentiated Thyroid Cancer: A Joint Statement from the American Thyroid Association, the European Association of Nuclear Medicine, the Society of Nuclear Medicine and Molecular Imaging, and the European Thyroid Association. </w:t>
      </w:r>
      <w:r w:rsidRPr="00B37707">
        <w:t xml:space="preserve">Thyroid. </w:t>
      </w:r>
      <w:r w:rsidR="00281CC9">
        <w:rPr>
          <w:lang w:val="en-US"/>
        </w:rPr>
        <w:t>April</w:t>
      </w:r>
      <w:r w:rsidR="00281CC9" w:rsidRPr="00B37707">
        <w:t xml:space="preserve"> </w:t>
      </w:r>
      <w:r w:rsidRPr="00B37707">
        <w:t>2019;</w:t>
      </w:r>
      <w:r w:rsidR="00205826" w:rsidRPr="00F21C52">
        <w:t xml:space="preserve"> </w:t>
      </w:r>
      <w:r w:rsidRPr="00B37707">
        <w:t xml:space="preserve">29(4):461–70. </w:t>
      </w:r>
    </w:p>
    <w:p w14:paraId="46525C38" w14:textId="77777777" w:rsidR="00B37707" w:rsidRPr="00F21C52" w:rsidRDefault="00B37707" w:rsidP="00D5370A">
      <w:pPr>
        <w:pStyle w:val="afff2"/>
        <w:tabs>
          <w:tab w:val="clear" w:pos="504"/>
        </w:tabs>
        <w:spacing w:after="0"/>
        <w:ind w:left="709" w:hanging="425"/>
        <w:rPr>
          <w:lang w:val="en-US"/>
        </w:rPr>
      </w:pPr>
      <w:r w:rsidRPr="00B37707">
        <w:t xml:space="preserve">10. </w:t>
      </w:r>
      <w:r w:rsidRPr="00B37707">
        <w:tab/>
        <w:t xml:space="preserve">Министерство здравоохранения Российской Федерации. Клинические рекомендации.Рак паренхимы почки у взрослых. </w:t>
      </w:r>
      <w:r w:rsidRPr="00F21C52">
        <w:rPr>
          <w:lang w:val="en-US"/>
        </w:rPr>
        <w:t xml:space="preserve">2021. </w:t>
      </w:r>
    </w:p>
    <w:p w14:paraId="60A8AF6D" w14:textId="63CC5757" w:rsidR="00B37707" w:rsidRPr="00B37707" w:rsidRDefault="00B37707" w:rsidP="00D5370A">
      <w:pPr>
        <w:pStyle w:val="afff2"/>
        <w:tabs>
          <w:tab w:val="clear" w:pos="504"/>
        </w:tabs>
        <w:spacing w:after="0"/>
        <w:ind w:left="709" w:hanging="425"/>
        <w:rPr>
          <w:lang w:val="en-US"/>
        </w:rPr>
      </w:pPr>
      <w:r w:rsidRPr="00F21C52">
        <w:rPr>
          <w:lang w:val="en-US"/>
        </w:rPr>
        <w:t xml:space="preserve">11. </w:t>
      </w:r>
      <w:r w:rsidRPr="00F21C52">
        <w:rPr>
          <w:lang w:val="en-US"/>
        </w:rPr>
        <w:tab/>
      </w:r>
      <w:r w:rsidRPr="00B37707">
        <w:rPr>
          <w:lang w:val="en-US"/>
        </w:rPr>
        <w:t xml:space="preserve">Mendhiratta N, Muraki P, Sisk AE, Shuch B. Papillary renal cell carcinoma: Review. Urol Oncol. </w:t>
      </w:r>
      <w:r w:rsidR="00281CC9">
        <w:rPr>
          <w:lang w:val="en-US"/>
        </w:rPr>
        <w:t>June</w:t>
      </w:r>
      <w:r w:rsidR="00281CC9" w:rsidRPr="00B37707">
        <w:rPr>
          <w:lang w:val="en-US"/>
        </w:rPr>
        <w:t xml:space="preserve"> </w:t>
      </w:r>
      <w:r w:rsidRPr="00B37707">
        <w:rPr>
          <w:lang w:val="en-US"/>
        </w:rPr>
        <w:t>2021;</w:t>
      </w:r>
      <w:r w:rsidR="00205826">
        <w:rPr>
          <w:lang w:val="en-US"/>
        </w:rPr>
        <w:t xml:space="preserve"> </w:t>
      </w:r>
      <w:r w:rsidRPr="00B37707">
        <w:rPr>
          <w:lang w:val="en-US"/>
        </w:rPr>
        <w:t xml:space="preserve">39(6):327–37. </w:t>
      </w:r>
    </w:p>
    <w:p w14:paraId="425ED5B2" w14:textId="0DB2C73D" w:rsidR="00B37707" w:rsidRPr="00B37707" w:rsidRDefault="00B37707" w:rsidP="00D5370A">
      <w:pPr>
        <w:pStyle w:val="afff2"/>
        <w:tabs>
          <w:tab w:val="clear" w:pos="504"/>
        </w:tabs>
        <w:spacing w:after="0"/>
        <w:ind w:left="709" w:hanging="425"/>
      </w:pPr>
      <w:r w:rsidRPr="00B37707">
        <w:rPr>
          <w:lang w:val="en-US"/>
        </w:rPr>
        <w:lastRenderedPageBreak/>
        <w:t xml:space="preserve">12. </w:t>
      </w:r>
      <w:r w:rsidRPr="00B37707">
        <w:rPr>
          <w:lang w:val="en-US"/>
        </w:rPr>
        <w:tab/>
        <w:t xml:space="preserve">Urick ME, Bell DW. Clinical actionability of molecular targets in endometrial cancer. </w:t>
      </w:r>
      <w:r w:rsidRPr="00762053">
        <w:rPr>
          <w:lang w:val="en-US"/>
        </w:rPr>
        <w:t>Nat</w:t>
      </w:r>
      <w:r w:rsidRPr="00F21C52">
        <w:t xml:space="preserve"> </w:t>
      </w:r>
      <w:r w:rsidRPr="00762053">
        <w:rPr>
          <w:lang w:val="en-US"/>
        </w:rPr>
        <w:t>Rev</w:t>
      </w:r>
      <w:r w:rsidRPr="00F21C52">
        <w:t xml:space="preserve"> </w:t>
      </w:r>
      <w:r w:rsidRPr="00762053">
        <w:rPr>
          <w:lang w:val="en-US"/>
        </w:rPr>
        <w:t>Cancer</w:t>
      </w:r>
      <w:r w:rsidRPr="00F21C52">
        <w:t xml:space="preserve">. </w:t>
      </w:r>
      <w:r w:rsidR="00281CC9">
        <w:rPr>
          <w:lang w:val="en-US"/>
        </w:rPr>
        <w:t>Sept</w:t>
      </w:r>
      <w:r w:rsidR="00281CC9" w:rsidRPr="00281CC9">
        <w:t xml:space="preserve"> </w:t>
      </w:r>
      <w:r w:rsidRPr="00281CC9">
        <w:t>2019;</w:t>
      </w:r>
      <w:r w:rsidR="00205826" w:rsidRPr="00F21C52">
        <w:t xml:space="preserve"> </w:t>
      </w:r>
      <w:r w:rsidRPr="00281CC9">
        <w:t>1</w:t>
      </w:r>
      <w:r w:rsidRPr="00B37707">
        <w:t xml:space="preserve">9(9):510–21. </w:t>
      </w:r>
    </w:p>
    <w:p w14:paraId="4B38D31F" w14:textId="6C61893D" w:rsidR="00B37707" w:rsidRPr="00B37707" w:rsidRDefault="00B37707" w:rsidP="00D5370A">
      <w:pPr>
        <w:pStyle w:val="afff2"/>
        <w:tabs>
          <w:tab w:val="clear" w:pos="504"/>
        </w:tabs>
        <w:spacing w:after="0"/>
        <w:ind w:left="709" w:hanging="425"/>
      </w:pPr>
      <w:r w:rsidRPr="00B37707">
        <w:t xml:space="preserve">13. </w:t>
      </w:r>
      <w:r w:rsidRPr="00B37707">
        <w:tab/>
        <w:t>Министерство здравоохранения Российской Федерации. Клинические рекомендации.</w:t>
      </w:r>
      <w:r w:rsidR="00281CC9" w:rsidRPr="000971D1">
        <w:t xml:space="preserve"> </w:t>
      </w:r>
      <w:r w:rsidRPr="00B37707">
        <w:t xml:space="preserve">Рак тела матки и саркомы матки у взрослых. 2021. </w:t>
      </w:r>
    </w:p>
    <w:p w14:paraId="5E0834B6" w14:textId="77777777" w:rsidR="00B37707" w:rsidRPr="00B37707" w:rsidRDefault="00B37707" w:rsidP="00D5370A">
      <w:pPr>
        <w:pStyle w:val="afff2"/>
        <w:tabs>
          <w:tab w:val="clear" w:pos="504"/>
        </w:tabs>
        <w:spacing w:after="0"/>
        <w:ind w:left="709" w:hanging="425"/>
      </w:pPr>
      <w:r w:rsidRPr="00B37707">
        <w:t xml:space="preserve">14. </w:t>
      </w:r>
      <w:r w:rsidRPr="00B37707">
        <w:tab/>
        <w:t xml:space="preserve">Кедрова А.Г., Красильников С.Э., Беришвили A.И., &amp; Звездкина Е.А. КЛИНИЧЕСКИЙ ОПЫТ РАСШИРЕНИЯ ВОЗМОЖНОСТЕЙ ТЕРАПИИ БОЛЬНЫХ РАКОМ ТЕЛА МАТКИ ПРИ ПРОГРЕССИРОВАНИИ. Опухоли женской репродуктивной системы, 2022. 18 (1), 103-110. </w:t>
      </w:r>
    </w:p>
    <w:p w14:paraId="7BDB0BE5" w14:textId="77777777" w:rsidR="00B37707" w:rsidRPr="00B37707" w:rsidRDefault="00B37707" w:rsidP="00D5370A">
      <w:pPr>
        <w:pStyle w:val="afff2"/>
        <w:tabs>
          <w:tab w:val="clear" w:pos="504"/>
        </w:tabs>
        <w:spacing w:after="0"/>
        <w:ind w:left="709" w:hanging="425"/>
        <w:rPr>
          <w:lang w:val="en-US"/>
        </w:rPr>
      </w:pPr>
      <w:r w:rsidRPr="00B37707">
        <w:t xml:space="preserve">15. </w:t>
      </w:r>
      <w:r w:rsidRPr="00B37707">
        <w:tab/>
        <w:t>Румянцев А.А. ЛЕНВАТИНИБ И ПЕМБРОЛИЗУМАБ В ЛЕЧЕНИИ МЕТАСТАТИЧЕСКОГО РАКА ЭНДОМЕТРИЯ: ОБЗОР ЛИТЕРАТУРЫ И КЛИНИЧЕСКИЙ СЛУЧАЙ. Медицинский</w:t>
      </w:r>
      <w:r w:rsidRPr="00B37707">
        <w:rPr>
          <w:lang w:val="en-US"/>
        </w:rPr>
        <w:t xml:space="preserve"> </w:t>
      </w:r>
      <w:r w:rsidRPr="00B37707">
        <w:t>совет</w:t>
      </w:r>
      <w:r w:rsidRPr="00B37707">
        <w:rPr>
          <w:lang w:val="en-US"/>
        </w:rPr>
        <w:t xml:space="preserve">, 2021. (20), 124-128. </w:t>
      </w:r>
    </w:p>
    <w:p w14:paraId="1D6451F8" w14:textId="14EA45D6" w:rsidR="00B37707" w:rsidRPr="00B37707" w:rsidRDefault="00B37707" w:rsidP="00D5370A">
      <w:pPr>
        <w:pStyle w:val="afff2"/>
        <w:tabs>
          <w:tab w:val="clear" w:pos="504"/>
        </w:tabs>
        <w:spacing w:after="0"/>
        <w:ind w:left="709" w:hanging="425"/>
      </w:pPr>
      <w:r w:rsidRPr="00B37707">
        <w:rPr>
          <w:lang w:val="en-US"/>
        </w:rPr>
        <w:t xml:space="preserve">16. </w:t>
      </w:r>
      <w:r w:rsidRPr="00B37707">
        <w:rPr>
          <w:lang w:val="en-US"/>
        </w:rPr>
        <w:tab/>
        <w:t xml:space="preserve">Crosbie EJ, Kitson SJ, McAlpine JN, Mukhopadhyay A, Powell ME, Singh N. Endometrial cancer. </w:t>
      </w:r>
      <w:r w:rsidRPr="00B37707">
        <w:t xml:space="preserve">Lancet. </w:t>
      </w:r>
      <w:r w:rsidR="00281CC9">
        <w:rPr>
          <w:lang w:val="en-US"/>
        </w:rPr>
        <w:t>Apr</w:t>
      </w:r>
      <w:r w:rsidRPr="00B37707">
        <w:t xml:space="preserve"> 2022;399(10333):1412–28. </w:t>
      </w:r>
    </w:p>
    <w:p w14:paraId="2CA961A6" w14:textId="77777777" w:rsidR="00B37707" w:rsidRPr="00B37707" w:rsidRDefault="00B37707" w:rsidP="00D5370A">
      <w:pPr>
        <w:pStyle w:val="afff2"/>
        <w:tabs>
          <w:tab w:val="clear" w:pos="504"/>
        </w:tabs>
        <w:spacing w:after="0"/>
        <w:ind w:left="709" w:hanging="425"/>
      </w:pPr>
      <w:r w:rsidRPr="00B37707">
        <w:t xml:space="preserve">17. </w:t>
      </w:r>
      <w:r w:rsidRPr="00B37707">
        <w:tab/>
        <w:t xml:space="preserve">Министерство здравоохранения Российской Федерации. Клинические рекомендации Рак печени (гепатоцеллюлярный). 2022. </w:t>
      </w:r>
    </w:p>
    <w:p w14:paraId="7913ECE0" w14:textId="77777777" w:rsidR="00B37707" w:rsidRPr="00B37707" w:rsidRDefault="00B37707" w:rsidP="00D5370A">
      <w:pPr>
        <w:pStyle w:val="afff2"/>
        <w:tabs>
          <w:tab w:val="clear" w:pos="504"/>
        </w:tabs>
        <w:spacing w:after="0"/>
        <w:ind w:left="709" w:hanging="425"/>
      </w:pPr>
      <w:r w:rsidRPr="00B37707">
        <w:t xml:space="preserve">18. </w:t>
      </w:r>
      <w:r w:rsidRPr="00B37707">
        <w:tab/>
        <w:t xml:space="preserve">Романов И.С., Мудунов А.М., Исаев П.А., Бычков Ю.М., Долгушин М.Б., Оджарова А.А., &amp; Романова Л.Ф.  Ленватиниб в лечении радиойодрефрактерного высокодифференцированного рака щитовидной железы. Опухоли головы и шеи, 2017. (2), 45-52. </w:t>
      </w:r>
    </w:p>
    <w:p w14:paraId="0C7349D6" w14:textId="77777777" w:rsidR="00B37707" w:rsidRPr="00B37707" w:rsidRDefault="00B37707" w:rsidP="00D5370A">
      <w:pPr>
        <w:pStyle w:val="afff2"/>
        <w:tabs>
          <w:tab w:val="clear" w:pos="504"/>
        </w:tabs>
        <w:spacing w:after="0"/>
        <w:ind w:left="709" w:hanging="425"/>
        <w:rPr>
          <w:lang w:val="en-US"/>
        </w:rPr>
      </w:pPr>
      <w:r w:rsidRPr="00B37707">
        <w:t xml:space="preserve">19. </w:t>
      </w:r>
      <w:r w:rsidRPr="00B37707">
        <w:tab/>
        <w:t>Алексеев Б. Я., Алясова А. В., Волкова Мария И., Гуторов С. Л., Матвеев В.Б., Попов А. М., Русаков И. Г., .Харкевич Г. Ю. Современные возможности лечения распространенного почечно-клеточного рака: резолюция по итогам Совета экспертов. Злокачественные</w:t>
      </w:r>
      <w:r w:rsidRPr="00B37707">
        <w:rPr>
          <w:lang w:val="en-US"/>
        </w:rPr>
        <w:t xml:space="preserve"> </w:t>
      </w:r>
      <w:r w:rsidRPr="00B37707">
        <w:t>опухоли</w:t>
      </w:r>
      <w:r w:rsidRPr="00B37707">
        <w:rPr>
          <w:lang w:val="en-US"/>
        </w:rPr>
        <w:t xml:space="preserve">, 2017. 7 (3), 89-93. </w:t>
      </w:r>
    </w:p>
    <w:p w14:paraId="3DE43EFB" w14:textId="797D8756" w:rsidR="00B37707" w:rsidRPr="00B37707" w:rsidRDefault="00B37707" w:rsidP="00D5370A">
      <w:pPr>
        <w:pStyle w:val="afff2"/>
        <w:tabs>
          <w:tab w:val="clear" w:pos="504"/>
        </w:tabs>
        <w:spacing w:after="0"/>
        <w:ind w:left="709" w:hanging="425"/>
        <w:rPr>
          <w:lang w:val="en-US"/>
        </w:rPr>
      </w:pPr>
      <w:r w:rsidRPr="00B37707">
        <w:rPr>
          <w:lang w:val="en-US"/>
        </w:rPr>
        <w:t xml:space="preserve">20. </w:t>
      </w:r>
      <w:r w:rsidRPr="00B37707">
        <w:rPr>
          <w:lang w:val="en-US"/>
        </w:rPr>
        <w:tab/>
        <w:t xml:space="preserve">Gray RE, Harris GT. Renal Cell Carcinoma: Diagnosis and Management. Am Fam Physician. </w:t>
      </w:r>
      <w:r w:rsidR="00281CC9">
        <w:rPr>
          <w:lang w:val="en-US"/>
        </w:rPr>
        <w:t>Febryary</w:t>
      </w:r>
      <w:r w:rsidRPr="00B37707">
        <w:rPr>
          <w:lang w:val="en-US"/>
        </w:rPr>
        <w:t xml:space="preserve"> 2019;</w:t>
      </w:r>
      <w:r w:rsidR="00205826">
        <w:rPr>
          <w:lang w:val="en-US"/>
        </w:rPr>
        <w:t xml:space="preserve"> </w:t>
      </w:r>
      <w:r w:rsidRPr="00B37707">
        <w:rPr>
          <w:lang w:val="en-US"/>
        </w:rPr>
        <w:t xml:space="preserve">99(3):179–84. </w:t>
      </w:r>
    </w:p>
    <w:p w14:paraId="7850EB69" w14:textId="73AA8676" w:rsidR="00B37707" w:rsidRPr="00B37707" w:rsidRDefault="00B37707" w:rsidP="00D5370A">
      <w:pPr>
        <w:pStyle w:val="afff2"/>
        <w:tabs>
          <w:tab w:val="clear" w:pos="504"/>
        </w:tabs>
        <w:spacing w:after="0"/>
        <w:ind w:left="709" w:hanging="425"/>
        <w:rPr>
          <w:lang w:val="en-US"/>
        </w:rPr>
      </w:pPr>
      <w:r w:rsidRPr="00B37707">
        <w:rPr>
          <w:lang w:val="en-US"/>
        </w:rPr>
        <w:t xml:space="preserve">21. </w:t>
      </w:r>
      <w:r w:rsidRPr="00B37707">
        <w:rPr>
          <w:lang w:val="en-US"/>
        </w:rPr>
        <w:tab/>
        <w:t xml:space="preserve">Hao Z, Wang P. Lenvatinib in Management of Solid Tumors. Oncologist. </w:t>
      </w:r>
      <w:r w:rsidR="00281CC9">
        <w:rPr>
          <w:lang w:val="en-US"/>
        </w:rPr>
        <w:t>February</w:t>
      </w:r>
      <w:r w:rsidR="00281CC9" w:rsidRPr="00B37707">
        <w:rPr>
          <w:lang w:val="en-US"/>
        </w:rPr>
        <w:t xml:space="preserve"> </w:t>
      </w:r>
      <w:r w:rsidRPr="00B37707">
        <w:rPr>
          <w:lang w:val="en-US"/>
        </w:rPr>
        <w:t>2020;</w:t>
      </w:r>
      <w:r w:rsidR="00281CC9">
        <w:rPr>
          <w:lang w:val="en-US"/>
        </w:rPr>
        <w:t xml:space="preserve"> </w:t>
      </w:r>
      <w:r w:rsidRPr="00B37707">
        <w:rPr>
          <w:lang w:val="en-US"/>
        </w:rPr>
        <w:t xml:space="preserve">25(2):e302–10. </w:t>
      </w:r>
    </w:p>
    <w:p w14:paraId="53641F3E" w14:textId="7610D9FC" w:rsidR="00B37707" w:rsidRPr="00B37707" w:rsidRDefault="00B37707" w:rsidP="00D5370A">
      <w:pPr>
        <w:pStyle w:val="afff2"/>
        <w:tabs>
          <w:tab w:val="clear" w:pos="504"/>
        </w:tabs>
        <w:spacing w:after="0"/>
        <w:ind w:left="709" w:hanging="425"/>
        <w:rPr>
          <w:lang w:val="en-US"/>
        </w:rPr>
      </w:pPr>
      <w:r w:rsidRPr="00B37707">
        <w:rPr>
          <w:lang w:val="en-US"/>
        </w:rPr>
        <w:t xml:space="preserve">22. </w:t>
      </w:r>
      <w:r w:rsidRPr="00B37707">
        <w:rPr>
          <w:lang w:val="en-US"/>
        </w:rPr>
        <w:tab/>
        <w:t xml:space="preserve">Suyama K, Iwase H. Lenvatinib. Cancer Control. </w:t>
      </w:r>
      <w:r w:rsidR="00281CC9">
        <w:rPr>
          <w:lang w:val="en-US"/>
        </w:rPr>
        <w:t>July</w:t>
      </w:r>
      <w:r w:rsidRPr="00B37707">
        <w:rPr>
          <w:lang w:val="en-US"/>
        </w:rPr>
        <w:t xml:space="preserve"> 2018;</w:t>
      </w:r>
      <w:r w:rsidR="00281CC9">
        <w:rPr>
          <w:lang w:val="en-US"/>
        </w:rPr>
        <w:t xml:space="preserve"> </w:t>
      </w:r>
      <w:r w:rsidRPr="00B37707">
        <w:rPr>
          <w:lang w:val="en-US"/>
        </w:rPr>
        <w:t xml:space="preserve">25(1):1073274818789361. </w:t>
      </w:r>
    </w:p>
    <w:p w14:paraId="430F705B" w14:textId="58B2CE31" w:rsidR="00B37707" w:rsidRPr="00B37707" w:rsidRDefault="00B37707" w:rsidP="00D5370A">
      <w:pPr>
        <w:pStyle w:val="afff2"/>
        <w:tabs>
          <w:tab w:val="clear" w:pos="504"/>
        </w:tabs>
        <w:spacing w:after="0"/>
        <w:ind w:left="709" w:hanging="425"/>
        <w:rPr>
          <w:lang w:val="en-US"/>
        </w:rPr>
      </w:pPr>
      <w:r w:rsidRPr="00B37707">
        <w:rPr>
          <w:lang w:val="en-US"/>
        </w:rPr>
        <w:t xml:space="preserve">23. </w:t>
      </w:r>
      <w:r w:rsidRPr="00B37707">
        <w:rPr>
          <w:lang w:val="en-US"/>
        </w:rPr>
        <w:tab/>
        <w:t xml:space="preserve">Motzer RJ, Taylor MH, Evans TRJ, Okusaka T, Glen H, Lubiniecki GM, </w:t>
      </w:r>
      <w:r w:rsidRPr="00B37707">
        <w:t>и</w:t>
      </w:r>
      <w:r w:rsidRPr="00B37707">
        <w:rPr>
          <w:lang w:val="en-US"/>
        </w:rPr>
        <w:t xml:space="preserve"> </w:t>
      </w:r>
      <w:r w:rsidRPr="00B37707">
        <w:t>др</w:t>
      </w:r>
      <w:r w:rsidRPr="00B37707">
        <w:rPr>
          <w:lang w:val="en-US"/>
        </w:rPr>
        <w:t xml:space="preserve">. Lenvatinib dose, efficacy, and safety in the treatment of multiple malignancies. Expert Rev Anticancer Ther. </w:t>
      </w:r>
      <w:r w:rsidR="00281CC9">
        <w:rPr>
          <w:lang w:val="en-US"/>
        </w:rPr>
        <w:t>April</w:t>
      </w:r>
      <w:r w:rsidR="00281CC9" w:rsidRPr="00B37707">
        <w:rPr>
          <w:lang w:val="en-US"/>
        </w:rPr>
        <w:t xml:space="preserve"> </w:t>
      </w:r>
      <w:r w:rsidRPr="00B37707">
        <w:rPr>
          <w:lang w:val="en-US"/>
        </w:rPr>
        <w:t>2022;</w:t>
      </w:r>
      <w:r w:rsidR="00281CC9">
        <w:rPr>
          <w:lang w:val="en-US"/>
        </w:rPr>
        <w:t xml:space="preserve"> </w:t>
      </w:r>
      <w:r w:rsidRPr="00B37707">
        <w:rPr>
          <w:lang w:val="en-US"/>
        </w:rPr>
        <w:t xml:space="preserve">22(4):383–400. </w:t>
      </w:r>
    </w:p>
    <w:p w14:paraId="42561CF0" w14:textId="6A1C2C88" w:rsidR="00B37707" w:rsidRPr="00762053" w:rsidRDefault="00B37707" w:rsidP="00D5370A">
      <w:pPr>
        <w:pStyle w:val="afff2"/>
        <w:tabs>
          <w:tab w:val="clear" w:pos="504"/>
        </w:tabs>
        <w:spacing w:after="0"/>
        <w:ind w:left="709" w:hanging="425"/>
      </w:pPr>
      <w:r w:rsidRPr="00B37707">
        <w:rPr>
          <w:lang w:val="en-US"/>
        </w:rPr>
        <w:t xml:space="preserve">24. </w:t>
      </w:r>
      <w:r w:rsidRPr="00B37707">
        <w:rPr>
          <w:lang w:val="en-US"/>
        </w:rPr>
        <w:tab/>
        <w:t xml:space="preserve">Dubbelman AC, Nijenhuis CM, Jansen RS, Rosing H, Mizuo H, Kawaguchi S, </w:t>
      </w:r>
      <w:r w:rsidRPr="00B37707">
        <w:t>и</w:t>
      </w:r>
      <w:r w:rsidRPr="00B37707">
        <w:rPr>
          <w:lang w:val="en-US"/>
        </w:rPr>
        <w:t xml:space="preserve"> </w:t>
      </w:r>
      <w:r w:rsidRPr="00B37707">
        <w:t>др</w:t>
      </w:r>
      <w:r w:rsidRPr="00B37707">
        <w:rPr>
          <w:lang w:val="en-US"/>
        </w:rPr>
        <w:t xml:space="preserve">. Metabolite profiling of the multiple tyrosine kinase inhibitor lenvatinib: a cross-species comparison. </w:t>
      </w:r>
      <w:r w:rsidRPr="008958FD">
        <w:rPr>
          <w:lang w:val="en-US"/>
        </w:rPr>
        <w:t xml:space="preserve">Invest New Drugs. </w:t>
      </w:r>
      <w:r w:rsidR="00281CC9">
        <w:rPr>
          <w:lang w:val="en-US"/>
        </w:rPr>
        <w:t>June</w:t>
      </w:r>
      <w:r w:rsidR="00281CC9" w:rsidRPr="00762053">
        <w:t xml:space="preserve"> </w:t>
      </w:r>
      <w:r w:rsidRPr="00762053">
        <w:t>2016;</w:t>
      </w:r>
      <w:r w:rsidR="00281CC9" w:rsidRPr="00762053">
        <w:t xml:space="preserve"> </w:t>
      </w:r>
      <w:r w:rsidRPr="00762053">
        <w:t xml:space="preserve">34(3):300–18. </w:t>
      </w:r>
    </w:p>
    <w:p w14:paraId="3828821D" w14:textId="47A780C0" w:rsidR="00CC77F8" w:rsidRPr="00762053" w:rsidRDefault="004640DD" w:rsidP="00D5370A">
      <w:pPr>
        <w:pStyle w:val="afff2"/>
        <w:tabs>
          <w:tab w:val="clear" w:pos="504"/>
        </w:tabs>
        <w:spacing w:after="0"/>
        <w:ind w:left="709" w:hanging="425"/>
      </w:pPr>
      <w:r>
        <w:fldChar w:fldCharType="end"/>
      </w:r>
    </w:p>
    <w:p w14:paraId="2BB5026A" w14:textId="77777777" w:rsidR="00295007" w:rsidRPr="00762053" w:rsidRDefault="00295007" w:rsidP="00295007">
      <w:pPr>
        <w:rPr>
          <w:rFonts w:eastAsia="Times New Roman"/>
          <w:color w:val="000000" w:themeColor="text1"/>
          <w:lang w:eastAsia="ru-RU"/>
        </w:rPr>
        <w:sectPr w:rsidR="00295007" w:rsidRPr="00762053" w:rsidSect="001B1959">
          <w:pgSz w:w="11906" w:h="16838"/>
          <w:pgMar w:top="993" w:right="849" w:bottom="1134" w:left="1701" w:header="708" w:footer="708" w:gutter="0"/>
          <w:cols w:space="708"/>
          <w:docGrid w:linePitch="360"/>
        </w:sectPr>
      </w:pPr>
    </w:p>
    <w:p w14:paraId="5A2A748C" w14:textId="24EA32D2" w:rsidR="00295007" w:rsidRPr="005E6358" w:rsidRDefault="00295007" w:rsidP="0083662A">
      <w:pPr>
        <w:pStyle w:val="12"/>
        <w:numPr>
          <w:ilvl w:val="0"/>
          <w:numId w:val="5"/>
        </w:numPr>
        <w:tabs>
          <w:tab w:val="left" w:pos="0"/>
          <w:tab w:val="left" w:pos="142"/>
        </w:tabs>
        <w:spacing w:line="240" w:lineRule="auto"/>
        <w:ind w:left="0" w:firstLine="0"/>
        <w:rPr>
          <w:rFonts w:cs="Times New Roman"/>
          <w:color w:val="000000" w:themeColor="text1"/>
          <w:szCs w:val="24"/>
        </w:rPr>
      </w:pPr>
      <w:bookmarkStart w:id="47" w:name="_Toc126059694"/>
      <w:r w:rsidRPr="005E6358">
        <w:rPr>
          <w:rFonts w:cs="Times New Roman"/>
          <w:color w:val="000000" w:themeColor="text1"/>
          <w:szCs w:val="24"/>
        </w:rPr>
        <w:lastRenderedPageBreak/>
        <w:t>ФИЗИЧЕСКИЕ, ХИМИЧЕСКИЕ И ФАРМАЦЕВТИЧЕСКИЕ СВОЙСТВА И ЛЕКАРСТВЕННАЯ ФОРМА</w:t>
      </w:r>
      <w:bookmarkEnd w:id="47"/>
    </w:p>
    <w:p w14:paraId="29C6091C" w14:textId="39D38023" w:rsidR="00295007" w:rsidRDefault="00295007" w:rsidP="00295007">
      <w:pPr>
        <w:pStyle w:val="2"/>
        <w:spacing w:line="240" w:lineRule="auto"/>
        <w:rPr>
          <w:color w:val="000000" w:themeColor="text1"/>
          <w:szCs w:val="24"/>
        </w:rPr>
      </w:pPr>
      <w:bookmarkStart w:id="48" w:name="_Toc415001079"/>
      <w:bookmarkStart w:id="49" w:name="_Toc126059695"/>
      <w:r w:rsidRPr="005E6358">
        <w:rPr>
          <w:color w:val="000000" w:themeColor="text1"/>
          <w:szCs w:val="24"/>
        </w:rPr>
        <w:t>2.1</w:t>
      </w:r>
      <w:r>
        <w:rPr>
          <w:color w:val="000000" w:themeColor="text1"/>
          <w:szCs w:val="24"/>
        </w:rPr>
        <w:t>.</w:t>
      </w:r>
      <w:r w:rsidRPr="005E6358">
        <w:rPr>
          <w:color w:val="000000" w:themeColor="text1"/>
          <w:szCs w:val="24"/>
        </w:rPr>
        <w:t xml:space="preserve"> Описание свойств исследуемого препарата</w:t>
      </w:r>
      <w:bookmarkEnd w:id="48"/>
      <w:bookmarkEnd w:id="49"/>
    </w:p>
    <w:p w14:paraId="2D584061" w14:textId="6AFD02CD" w:rsidR="00295007" w:rsidRDefault="00295007" w:rsidP="00295007">
      <w:pPr>
        <w:pStyle w:val="3"/>
        <w:spacing w:after="240"/>
        <w:rPr>
          <w:rFonts w:ascii="Times New Roman" w:hAnsi="Times New Roman"/>
          <w:color w:val="000000" w:themeColor="text1"/>
          <w:szCs w:val="24"/>
        </w:rPr>
      </w:pPr>
      <w:bookmarkStart w:id="50" w:name="_Toc415001080"/>
      <w:bookmarkStart w:id="51" w:name="_Toc126059696"/>
      <w:r w:rsidRPr="005E6358">
        <w:rPr>
          <w:rFonts w:ascii="Times New Roman" w:hAnsi="Times New Roman"/>
          <w:color w:val="000000" w:themeColor="text1"/>
          <w:szCs w:val="24"/>
        </w:rPr>
        <w:t>2.1.1</w:t>
      </w:r>
      <w:r>
        <w:rPr>
          <w:rFonts w:ascii="Times New Roman" w:hAnsi="Times New Roman"/>
          <w:color w:val="000000" w:themeColor="text1"/>
          <w:szCs w:val="24"/>
        </w:rPr>
        <w:t>.</w:t>
      </w:r>
      <w:r w:rsidRPr="005E6358">
        <w:rPr>
          <w:rFonts w:ascii="Times New Roman" w:hAnsi="Times New Roman"/>
          <w:color w:val="000000" w:themeColor="text1"/>
          <w:szCs w:val="24"/>
        </w:rPr>
        <w:t xml:space="preserve"> Химическая формула</w:t>
      </w:r>
      <w:bookmarkEnd w:id="50"/>
      <w:bookmarkEnd w:id="51"/>
    </w:p>
    <w:p w14:paraId="07615169" w14:textId="46BFC981" w:rsidR="00495AAC" w:rsidRPr="00495AAC" w:rsidRDefault="009456A5" w:rsidP="009E315A">
      <w:pPr>
        <w:jc w:val="left"/>
      </w:pPr>
      <w:r w:rsidRPr="009456A5">
        <w:t>C</w:t>
      </w:r>
      <w:r w:rsidRPr="0083662A">
        <w:rPr>
          <w:vertAlign w:val="subscript"/>
        </w:rPr>
        <w:t>21</w:t>
      </w:r>
      <w:r w:rsidRPr="009456A5">
        <w:t>H</w:t>
      </w:r>
      <w:r w:rsidRPr="0083662A">
        <w:rPr>
          <w:vertAlign w:val="subscript"/>
        </w:rPr>
        <w:t>19</w:t>
      </w:r>
      <w:r w:rsidRPr="009456A5">
        <w:t>ClN</w:t>
      </w:r>
      <w:r w:rsidRPr="0083662A">
        <w:rPr>
          <w:vertAlign w:val="subscript"/>
        </w:rPr>
        <w:t>4</w:t>
      </w:r>
      <w:r w:rsidRPr="009456A5">
        <w:t>O</w:t>
      </w:r>
      <w:r w:rsidRPr="0083662A">
        <w:rPr>
          <w:vertAlign w:val="subscript"/>
        </w:rPr>
        <w:t>4</w:t>
      </w:r>
      <w:r w:rsidRPr="009456A5">
        <w:t>·CH</w:t>
      </w:r>
      <w:r w:rsidRPr="0083662A">
        <w:rPr>
          <w:vertAlign w:val="subscript"/>
        </w:rPr>
        <w:t>4</w:t>
      </w:r>
      <w:r w:rsidRPr="009456A5">
        <w:t>O</w:t>
      </w:r>
      <w:r w:rsidRPr="0083662A">
        <w:rPr>
          <w:vertAlign w:val="subscript"/>
        </w:rPr>
        <w:t>3</w:t>
      </w:r>
      <w:r w:rsidRPr="009456A5">
        <w:t>S</w:t>
      </w:r>
    </w:p>
    <w:p w14:paraId="03288B82" w14:textId="57CFC6C8" w:rsidR="00295007" w:rsidRDefault="00295007" w:rsidP="00295007">
      <w:pPr>
        <w:pStyle w:val="3"/>
        <w:spacing w:after="240"/>
        <w:rPr>
          <w:rFonts w:ascii="Times New Roman" w:hAnsi="Times New Roman"/>
          <w:color w:val="000000" w:themeColor="text1"/>
          <w:szCs w:val="24"/>
        </w:rPr>
      </w:pPr>
      <w:bookmarkStart w:id="52" w:name="_Toc415001081"/>
      <w:bookmarkStart w:id="53" w:name="_Toc126059697"/>
      <w:r w:rsidRPr="005E6358">
        <w:rPr>
          <w:rFonts w:ascii="Times New Roman" w:hAnsi="Times New Roman"/>
          <w:color w:val="000000" w:themeColor="text1"/>
          <w:szCs w:val="24"/>
        </w:rPr>
        <w:t>2.1.2</w:t>
      </w:r>
      <w:r>
        <w:rPr>
          <w:rFonts w:ascii="Times New Roman" w:hAnsi="Times New Roman"/>
          <w:color w:val="000000" w:themeColor="text1"/>
          <w:szCs w:val="24"/>
        </w:rPr>
        <w:t>.</w:t>
      </w:r>
      <w:r w:rsidRPr="005E6358">
        <w:rPr>
          <w:rFonts w:ascii="Times New Roman" w:hAnsi="Times New Roman"/>
          <w:color w:val="000000" w:themeColor="text1"/>
          <w:szCs w:val="24"/>
        </w:rPr>
        <w:t xml:space="preserve"> Структурная формула</w:t>
      </w:r>
      <w:bookmarkEnd w:id="52"/>
      <w:bookmarkEnd w:id="53"/>
    </w:p>
    <w:p w14:paraId="5909D699" w14:textId="70908EDB" w:rsidR="00EF0715" w:rsidRPr="0083662A" w:rsidRDefault="00EF0715" w:rsidP="00C22830">
      <w:pPr>
        <w:rPr>
          <w:rFonts w:eastAsia="Times New Roman"/>
          <w:bCs/>
          <w:lang w:eastAsia="ru-RU"/>
        </w:rPr>
      </w:pPr>
      <w:r>
        <w:rPr>
          <w:b/>
          <w:color w:val="000000" w:themeColor="text1"/>
        </w:rPr>
        <w:t>Р</w:t>
      </w:r>
      <w:r w:rsidRPr="005E6358">
        <w:rPr>
          <w:b/>
          <w:color w:val="000000" w:themeColor="text1"/>
        </w:rPr>
        <w:t>исунок 2</w:t>
      </w:r>
      <w:r>
        <w:rPr>
          <w:b/>
          <w:color w:val="000000" w:themeColor="text1"/>
        </w:rPr>
        <w:t>-</w:t>
      </w:r>
      <w:r w:rsidRPr="005E6358">
        <w:rPr>
          <w:b/>
          <w:color w:val="000000" w:themeColor="text1"/>
        </w:rPr>
        <w:t>1.</w:t>
      </w:r>
      <w:r w:rsidRPr="005E6358">
        <w:rPr>
          <w:color w:val="000000" w:themeColor="text1"/>
        </w:rPr>
        <w:t xml:space="preserve"> Структурная формула </w:t>
      </w:r>
      <w:r>
        <w:rPr>
          <w:color w:val="000000" w:themeColor="text1"/>
        </w:rPr>
        <w:t>ленватиниба мезилата.</w:t>
      </w:r>
    </w:p>
    <w:p w14:paraId="457C9BA5" w14:textId="7FC70478" w:rsidR="00295007" w:rsidRDefault="00ED3CB4" w:rsidP="00295007">
      <w:r>
        <w:rPr>
          <w:noProof/>
          <w:lang w:eastAsia="ru-RU"/>
        </w:rPr>
        <w:drawing>
          <wp:inline distT="0" distB="0" distL="0" distR="0" wp14:anchorId="01F61E86" wp14:editId="73D9A620">
            <wp:extent cx="4010025" cy="1390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1390650"/>
                    </a:xfrm>
                    <a:prstGeom prst="rect">
                      <a:avLst/>
                    </a:prstGeom>
                    <a:noFill/>
                    <a:ln>
                      <a:noFill/>
                    </a:ln>
                  </pic:spPr>
                </pic:pic>
              </a:graphicData>
            </a:graphic>
          </wp:inline>
        </w:drawing>
      </w:r>
    </w:p>
    <w:p w14:paraId="2ACF3188" w14:textId="77777777" w:rsidR="009E315A" w:rsidRPr="006F62F9" w:rsidRDefault="009E315A" w:rsidP="00295007"/>
    <w:p w14:paraId="3DF93A8E" w14:textId="4C5B84FE" w:rsidR="00295007" w:rsidRPr="005E6358" w:rsidRDefault="00295007" w:rsidP="00295007">
      <w:pPr>
        <w:rPr>
          <w:color w:val="000000" w:themeColor="text1"/>
        </w:rPr>
      </w:pPr>
    </w:p>
    <w:p w14:paraId="1D48378C" w14:textId="59FBE479" w:rsidR="00295007" w:rsidRPr="0039612C" w:rsidRDefault="00295007" w:rsidP="00295007">
      <w:pPr>
        <w:rPr>
          <w:rFonts w:eastAsiaTheme="minorHAnsi"/>
          <w:bCs/>
          <w:color w:val="000000" w:themeColor="text1"/>
          <w:lang w:eastAsia="en-US"/>
        </w:rPr>
      </w:pPr>
      <w:r w:rsidRPr="00FD0B41">
        <w:t xml:space="preserve"> </w:t>
      </w:r>
      <w:r w:rsidRPr="00EA5D20">
        <w:rPr>
          <w:rStyle w:val="lrzxr"/>
          <w:b/>
        </w:rPr>
        <w:t xml:space="preserve">Молекулярная масса: </w:t>
      </w:r>
      <w:r w:rsidR="0039612C" w:rsidRPr="0039612C">
        <w:rPr>
          <w:rStyle w:val="lrzxr"/>
          <w:bCs/>
        </w:rPr>
        <w:t>522,96 (мезилат), 426,86 (свободное основание)</w:t>
      </w:r>
      <w:r w:rsidR="0039612C">
        <w:rPr>
          <w:color w:val="000000" w:themeColor="text1"/>
        </w:rPr>
        <w:t>.</w:t>
      </w:r>
    </w:p>
    <w:p w14:paraId="7687C727" w14:textId="77777777" w:rsidR="00295007" w:rsidRPr="005E6358" w:rsidRDefault="00295007" w:rsidP="00295007">
      <w:pPr>
        <w:pStyle w:val="3"/>
        <w:spacing w:after="240"/>
        <w:rPr>
          <w:rFonts w:ascii="Times New Roman" w:hAnsi="Times New Roman"/>
          <w:color w:val="000000" w:themeColor="text1"/>
          <w:szCs w:val="24"/>
        </w:rPr>
      </w:pPr>
      <w:bookmarkStart w:id="54" w:name="_Toc323751672"/>
      <w:bookmarkStart w:id="55" w:name="_Toc126059698"/>
      <w:r w:rsidRPr="005E6358">
        <w:rPr>
          <w:rFonts w:ascii="Times New Roman" w:hAnsi="Times New Roman"/>
          <w:color w:val="000000" w:themeColor="text1"/>
          <w:szCs w:val="24"/>
        </w:rPr>
        <w:t>2.1.3. Физико-химические и фармацевтические свойства</w:t>
      </w:r>
      <w:bookmarkEnd w:id="54"/>
      <w:bookmarkEnd w:id="55"/>
    </w:p>
    <w:p w14:paraId="135BC243" w14:textId="692C68DD" w:rsidR="006011A6" w:rsidRDefault="006E380C" w:rsidP="006E380C">
      <w:pPr>
        <w:ind w:firstLine="709"/>
      </w:pPr>
      <w:r w:rsidRPr="006E380C">
        <w:t>Действующее вещество представляет собой белый негигроскопичный кристаллический порошок, мало растворимый в воде и практически нерастворим</w:t>
      </w:r>
      <w:r>
        <w:t>ый</w:t>
      </w:r>
      <w:r w:rsidRPr="006E380C">
        <w:t xml:space="preserve"> в этаноле. Структура ленватиниба мезилата была </w:t>
      </w:r>
      <w:r>
        <w:t>изучена</w:t>
      </w:r>
      <w:r w:rsidRPr="006E380C">
        <w:t xml:space="preserve"> с использованием элементного</w:t>
      </w:r>
      <w:r>
        <w:t xml:space="preserve"> </w:t>
      </w:r>
      <w:r w:rsidRPr="006E380C">
        <w:t>анализ</w:t>
      </w:r>
      <w:r>
        <w:t>а</w:t>
      </w:r>
      <w:r w:rsidRPr="006E380C">
        <w:t>, ультрафиолето</w:t>
      </w:r>
      <w:r>
        <w:t xml:space="preserve">вой </w:t>
      </w:r>
      <w:r w:rsidRPr="006E380C">
        <w:t>видим</w:t>
      </w:r>
      <w:r>
        <w:t>ой</w:t>
      </w:r>
      <w:r w:rsidRPr="006E380C">
        <w:t xml:space="preserve"> спектроскопи, инфракрасн</w:t>
      </w:r>
      <w:r>
        <w:t>ой</w:t>
      </w:r>
      <w:r w:rsidRPr="006E380C">
        <w:t xml:space="preserve"> спектроскопи</w:t>
      </w:r>
      <w:r>
        <w:t xml:space="preserve">и, ядерно-магнитной </w:t>
      </w:r>
      <w:r w:rsidRPr="006E380C">
        <w:t>резонансн</w:t>
      </w:r>
      <w:r>
        <w:t>ой</w:t>
      </w:r>
      <w:r w:rsidRPr="006E380C">
        <w:t xml:space="preserve"> (ЯМР) спектроскопия и масс-спектрометрия. Ленватиниб является ахиральным.</w:t>
      </w:r>
      <w:r>
        <w:t xml:space="preserve"> </w:t>
      </w:r>
    </w:p>
    <w:p w14:paraId="67BFD6C0" w14:textId="4975478A" w:rsidR="006E380C" w:rsidRDefault="006E380C" w:rsidP="006E380C">
      <w:pPr>
        <w:ind w:firstLine="709"/>
      </w:pPr>
      <w:r>
        <w:t>Ленватиниб является полиморфным соединением. В процессе производтсва полиморфизм контролируется.</w:t>
      </w:r>
    </w:p>
    <w:p w14:paraId="291FCB03" w14:textId="77777777" w:rsidR="00E36A78" w:rsidRPr="00707D60" w:rsidRDefault="00E36A78" w:rsidP="00E36A78">
      <w:pPr>
        <w:pStyle w:val="2"/>
        <w:spacing w:line="240" w:lineRule="auto"/>
        <w:rPr>
          <w:color w:val="000000" w:themeColor="text1"/>
          <w:szCs w:val="24"/>
        </w:rPr>
      </w:pPr>
      <w:bookmarkStart w:id="56" w:name="_Toc115217921"/>
      <w:bookmarkStart w:id="57" w:name="_Toc126059699"/>
      <w:r w:rsidRPr="00707D60">
        <w:rPr>
          <w:color w:val="000000" w:themeColor="text1"/>
          <w:szCs w:val="24"/>
        </w:rPr>
        <w:t>2.2. Лекарственная форма</w:t>
      </w:r>
      <w:bookmarkEnd w:id="56"/>
      <w:bookmarkEnd w:id="57"/>
    </w:p>
    <w:p w14:paraId="04FF9FE3" w14:textId="1F86D9BC" w:rsidR="00295007" w:rsidRDefault="00295007" w:rsidP="00295007">
      <w:pPr>
        <w:pStyle w:val="3"/>
        <w:rPr>
          <w:rFonts w:ascii="Times New Roman" w:hAnsi="Times New Roman"/>
        </w:rPr>
      </w:pPr>
      <w:bookmarkStart w:id="58" w:name="_Toc126059700"/>
      <w:r w:rsidRPr="005A2239">
        <w:rPr>
          <w:rFonts w:ascii="Times New Roman" w:hAnsi="Times New Roman"/>
        </w:rPr>
        <w:t>2.2.1. Название лекарственной формы</w:t>
      </w:r>
      <w:bookmarkEnd w:id="58"/>
    </w:p>
    <w:p w14:paraId="5DA56AFB" w14:textId="01DF3DF4" w:rsidR="00295007" w:rsidRPr="005A2239" w:rsidRDefault="006415C2" w:rsidP="006E380C">
      <w:pPr>
        <w:spacing w:before="120" w:after="120"/>
        <w:ind w:firstLine="709"/>
      </w:pPr>
      <w:r>
        <w:t>Капсулы.</w:t>
      </w:r>
    </w:p>
    <w:p w14:paraId="2E05FCC5" w14:textId="25D2894D" w:rsidR="00295007" w:rsidRPr="005E6358" w:rsidRDefault="00295007" w:rsidP="00295007">
      <w:pPr>
        <w:pStyle w:val="3"/>
        <w:spacing w:after="240"/>
        <w:rPr>
          <w:rFonts w:ascii="Times New Roman" w:hAnsi="Times New Roman"/>
          <w:color w:val="000000" w:themeColor="text1"/>
          <w:szCs w:val="24"/>
        </w:rPr>
      </w:pPr>
      <w:bookmarkStart w:id="59" w:name="_Toc126059701"/>
      <w:r w:rsidRPr="005E6358">
        <w:rPr>
          <w:rFonts w:ascii="Times New Roman" w:hAnsi="Times New Roman"/>
          <w:color w:val="000000" w:themeColor="text1"/>
          <w:szCs w:val="24"/>
        </w:rPr>
        <w:t>2.2.2</w:t>
      </w:r>
      <w:r>
        <w:rPr>
          <w:rFonts w:ascii="Times New Roman" w:hAnsi="Times New Roman"/>
          <w:color w:val="000000" w:themeColor="text1"/>
          <w:szCs w:val="24"/>
        </w:rPr>
        <w:t>.</w:t>
      </w:r>
      <w:r w:rsidRPr="005E6358">
        <w:rPr>
          <w:rFonts w:ascii="Times New Roman" w:hAnsi="Times New Roman"/>
          <w:color w:val="000000" w:themeColor="text1"/>
          <w:szCs w:val="24"/>
        </w:rPr>
        <w:t xml:space="preserve"> Описание лекарственной формы</w:t>
      </w:r>
      <w:bookmarkEnd w:id="59"/>
    </w:p>
    <w:p w14:paraId="79992518" w14:textId="7CD80902" w:rsidR="006E380C" w:rsidRPr="00B81EFB" w:rsidRDefault="006E380C" w:rsidP="0039612C">
      <w:pPr>
        <w:ind w:firstLine="709"/>
      </w:pPr>
      <w:r w:rsidRPr="00B81EFB">
        <w:t xml:space="preserve">Лекарственный препарат </w:t>
      </w:r>
      <w:r w:rsidRPr="00B81EFB">
        <w:rPr>
          <w:lang w:val="en-US"/>
        </w:rPr>
        <w:t>DT</w:t>
      </w:r>
      <w:r w:rsidRPr="00B81EFB">
        <w:t>-</w:t>
      </w:r>
      <w:r w:rsidRPr="00B81EFB">
        <w:rPr>
          <w:lang w:val="en-US"/>
        </w:rPr>
        <w:t>LNV</w:t>
      </w:r>
      <w:r w:rsidRPr="00B81EFB">
        <w:t xml:space="preserve"> планируется выпускать в двух дозировках: 4 мг и 10 мг.</w:t>
      </w:r>
    </w:p>
    <w:p w14:paraId="49BCE063" w14:textId="5869E7D0" w:rsidR="0039612C" w:rsidRPr="00B81EFB" w:rsidRDefault="0039612C" w:rsidP="0039612C">
      <w:pPr>
        <w:ind w:firstLine="709"/>
      </w:pPr>
      <w:r w:rsidRPr="00B81EFB">
        <w:t xml:space="preserve">Дозировка 4 мг: </w:t>
      </w:r>
      <w:r w:rsidR="006E380C" w:rsidRPr="00B81EFB">
        <w:t xml:space="preserve">твердые гипромеллозные капсулы </w:t>
      </w:r>
      <w:r w:rsidRPr="00B81EFB">
        <w:t>№</w:t>
      </w:r>
      <w:r w:rsidR="006E380C" w:rsidRPr="00B81EFB">
        <w:t>3</w:t>
      </w:r>
      <w:r w:rsidRPr="00B81EFB">
        <w:t xml:space="preserve"> с </w:t>
      </w:r>
      <w:r w:rsidR="006E380C" w:rsidRPr="00B81EFB">
        <w:t>корпусом и крышк</w:t>
      </w:r>
      <w:r w:rsidRPr="00B81EFB">
        <w:t xml:space="preserve">ой </w:t>
      </w:r>
      <w:r w:rsidR="006E380C" w:rsidRPr="00B81EFB">
        <w:t>желтого цвета</w:t>
      </w:r>
      <w:r w:rsidRPr="00B81EFB">
        <w:t>.</w:t>
      </w:r>
      <w:r w:rsidR="006E380C" w:rsidRPr="00B81EFB">
        <w:t xml:space="preserve"> Содержимое капсул – порошок или смесь порошка и гранул белого или почти белого цвета.</w:t>
      </w:r>
    </w:p>
    <w:p w14:paraId="36BEE663" w14:textId="0E6F3B15" w:rsidR="00295007" w:rsidRPr="00B81EFB" w:rsidRDefault="0039612C" w:rsidP="0039612C">
      <w:pPr>
        <w:ind w:firstLine="709"/>
      </w:pPr>
      <w:r w:rsidRPr="00B81EFB">
        <w:lastRenderedPageBreak/>
        <w:t xml:space="preserve">Дозировка 10 мг: </w:t>
      </w:r>
      <w:r w:rsidR="006E380C" w:rsidRPr="00B81EFB">
        <w:t>твердые гипромеллозные капсулы №3 с корпусом и крышкой желтого цвета. Содержимое капсул – порошок или смесь порошка и гранул белого или почти белого цвета</w:t>
      </w:r>
      <w:r w:rsidRPr="00B81EFB">
        <w:t>.</w:t>
      </w:r>
    </w:p>
    <w:p w14:paraId="54992F1E" w14:textId="77777777" w:rsidR="00295007" w:rsidRDefault="00295007" w:rsidP="00295007">
      <w:pPr>
        <w:pStyle w:val="3"/>
        <w:spacing w:after="240"/>
        <w:rPr>
          <w:rFonts w:ascii="Times New Roman" w:hAnsi="Times New Roman"/>
          <w:color w:val="000000" w:themeColor="text1"/>
          <w:szCs w:val="24"/>
        </w:rPr>
      </w:pPr>
      <w:bookmarkStart w:id="60" w:name="_Toc126059702"/>
      <w:r w:rsidRPr="005E6358">
        <w:rPr>
          <w:rFonts w:ascii="Times New Roman" w:hAnsi="Times New Roman"/>
          <w:color w:val="000000" w:themeColor="text1"/>
          <w:szCs w:val="24"/>
        </w:rPr>
        <w:t>2.2.3</w:t>
      </w:r>
      <w:r>
        <w:rPr>
          <w:rFonts w:ascii="Times New Roman" w:hAnsi="Times New Roman"/>
          <w:color w:val="000000" w:themeColor="text1"/>
          <w:szCs w:val="24"/>
        </w:rPr>
        <w:t>.</w:t>
      </w:r>
      <w:r w:rsidRPr="005E6358">
        <w:rPr>
          <w:rFonts w:ascii="Times New Roman" w:hAnsi="Times New Roman"/>
          <w:color w:val="000000" w:themeColor="text1"/>
          <w:szCs w:val="24"/>
        </w:rPr>
        <w:t xml:space="preserve"> Состав лекарственной формы</w:t>
      </w:r>
      <w:bookmarkEnd w:id="60"/>
    </w:p>
    <w:p w14:paraId="7300F1C6" w14:textId="3FA5C225" w:rsidR="00B81EFB" w:rsidRPr="00B81EFB" w:rsidRDefault="00295007" w:rsidP="00295007">
      <w:pPr>
        <w:pStyle w:val="aff1"/>
        <w:rPr>
          <w:b/>
          <w:bCs/>
        </w:rPr>
      </w:pPr>
      <w:bookmarkStart w:id="61" w:name="_Hlk111670939"/>
      <w:bookmarkStart w:id="62" w:name="_Toc111670946"/>
      <w:r w:rsidRPr="00B81EFB">
        <w:rPr>
          <w:b/>
          <w:bCs/>
        </w:rPr>
        <w:t>Таблица 2</w:t>
      </w:r>
      <w:r w:rsidR="00B81EFB" w:rsidRPr="00B81EFB">
        <w:rPr>
          <w:b/>
          <w:bCs/>
        </w:rPr>
        <w:t>-</w:t>
      </w:r>
      <w:r w:rsidRPr="00B81EFB">
        <w:rPr>
          <w:b/>
          <w:bCs/>
        </w:rPr>
        <w:fldChar w:fldCharType="begin"/>
      </w:r>
      <w:r w:rsidRPr="00B81EFB">
        <w:rPr>
          <w:b/>
          <w:bCs/>
        </w:rPr>
        <w:instrText xml:space="preserve"> SEQ Таблица \* ARABIC \s 2 </w:instrText>
      </w:r>
      <w:r w:rsidRPr="00B81EFB">
        <w:rPr>
          <w:b/>
          <w:bCs/>
        </w:rPr>
        <w:fldChar w:fldCharType="separate"/>
      </w:r>
      <w:r w:rsidR="008958FD" w:rsidRPr="00B81EFB">
        <w:rPr>
          <w:b/>
          <w:bCs/>
          <w:noProof/>
        </w:rPr>
        <w:t>1</w:t>
      </w:r>
      <w:r w:rsidRPr="00B81EFB">
        <w:rPr>
          <w:b/>
          <w:bCs/>
        </w:rPr>
        <w:fldChar w:fldCharType="end"/>
      </w:r>
      <w:r w:rsidRPr="00B81EFB">
        <w:rPr>
          <w:b/>
          <w:bCs/>
        </w:rPr>
        <w:t xml:space="preserve">. </w:t>
      </w:r>
      <w:bookmarkEnd w:id="61"/>
      <w:r w:rsidR="00B81EFB" w:rsidRPr="00B81EFB">
        <w:t xml:space="preserve">Состав готовой лекарственной формы препарата </w:t>
      </w:r>
      <w:r w:rsidR="00B81EFB" w:rsidRPr="00B81EFB">
        <w:rPr>
          <w:rFonts w:eastAsiaTheme="minorHAnsi"/>
          <w:lang w:eastAsia="en-US"/>
        </w:rPr>
        <w:t>DT-</w:t>
      </w:r>
      <w:r w:rsidR="00B81EFB" w:rsidRPr="00B81EFB">
        <w:rPr>
          <w:lang w:val="en-US"/>
        </w:rPr>
        <w:t>LNV</w:t>
      </w:r>
      <w:r w:rsidR="00B81EFB" w:rsidRPr="00B81EFB">
        <w:rPr>
          <w:rFonts w:eastAsiaTheme="minorHAnsi"/>
          <w:lang w:eastAsia="en-US"/>
        </w:rPr>
        <w:t>, капсулы, 4 мг и 10 мг.</w:t>
      </w:r>
    </w:p>
    <w:tbl>
      <w:tblPr>
        <w:tblStyle w:val="a8"/>
        <w:tblW w:w="9322" w:type="dxa"/>
        <w:tblInd w:w="-5" w:type="dxa"/>
        <w:tblLayout w:type="fixed"/>
        <w:tblLook w:val="01E0" w:firstRow="1" w:lastRow="1" w:firstColumn="1" w:lastColumn="1" w:noHBand="0" w:noVBand="0"/>
      </w:tblPr>
      <w:tblGrid>
        <w:gridCol w:w="5529"/>
        <w:gridCol w:w="1984"/>
        <w:gridCol w:w="1809"/>
      </w:tblGrid>
      <w:tr w:rsidR="00B81EFB" w:rsidRPr="00B81EFB" w14:paraId="598ECD31" w14:textId="4FEB323E" w:rsidTr="00CC0586">
        <w:trPr>
          <w:trHeight w:val="18"/>
          <w:tblHeader/>
        </w:trPr>
        <w:tc>
          <w:tcPr>
            <w:tcW w:w="5529" w:type="dxa"/>
            <w:shd w:val="clear" w:color="auto" w:fill="D9D9D9" w:themeFill="background1" w:themeFillShade="D9"/>
          </w:tcPr>
          <w:p w14:paraId="4CA8D9BE" w14:textId="77777777" w:rsidR="00B81EFB" w:rsidRPr="00F527EB" w:rsidRDefault="00B81EFB" w:rsidP="00201FA0">
            <w:pPr>
              <w:jc w:val="center"/>
              <w:rPr>
                <w:rFonts w:eastAsia="Calibri"/>
                <w:b/>
              </w:rPr>
            </w:pPr>
            <w:r w:rsidRPr="00F527EB">
              <w:rPr>
                <w:rFonts w:eastAsia="Calibri"/>
                <w:b/>
              </w:rPr>
              <w:t>Для дозировки:</w:t>
            </w:r>
          </w:p>
        </w:tc>
        <w:tc>
          <w:tcPr>
            <w:tcW w:w="1984" w:type="dxa"/>
            <w:shd w:val="clear" w:color="auto" w:fill="D9D9D9" w:themeFill="background1" w:themeFillShade="D9"/>
          </w:tcPr>
          <w:p w14:paraId="04B61D4D" w14:textId="081F7D00" w:rsidR="00B81EFB" w:rsidRPr="00F527EB" w:rsidRDefault="00B81EFB" w:rsidP="00201FA0">
            <w:pPr>
              <w:jc w:val="center"/>
              <w:rPr>
                <w:rFonts w:eastAsia="Calibri"/>
                <w:b/>
              </w:rPr>
            </w:pPr>
            <w:r w:rsidRPr="00F527EB">
              <w:rPr>
                <w:rFonts w:eastAsia="Calibri"/>
                <w:b/>
              </w:rPr>
              <w:t>4 мг</w:t>
            </w:r>
          </w:p>
        </w:tc>
        <w:tc>
          <w:tcPr>
            <w:tcW w:w="1809" w:type="dxa"/>
            <w:shd w:val="clear" w:color="auto" w:fill="D9D9D9" w:themeFill="background1" w:themeFillShade="D9"/>
          </w:tcPr>
          <w:p w14:paraId="0CF34467" w14:textId="1252BB20" w:rsidR="00B81EFB" w:rsidRPr="00F527EB" w:rsidRDefault="00B81EFB" w:rsidP="00201FA0">
            <w:pPr>
              <w:jc w:val="center"/>
              <w:rPr>
                <w:rFonts w:eastAsia="Calibri"/>
                <w:b/>
              </w:rPr>
            </w:pPr>
            <w:r w:rsidRPr="00F527EB">
              <w:rPr>
                <w:rFonts w:eastAsia="Calibri"/>
                <w:b/>
              </w:rPr>
              <w:t>10 мг</w:t>
            </w:r>
          </w:p>
        </w:tc>
      </w:tr>
      <w:tr w:rsidR="00E778B9" w:rsidRPr="00B81EFB" w14:paraId="3E9E2618" w14:textId="6B93C8A8" w:rsidTr="00201FA0">
        <w:trPr>
          <w:trHeight w:val="18"/>
        </w:trPr>
        <w:tc>
          <w:tcPr>
            <w:tcW w:w="9322" w:type="dxa"/>
            <w:gridSpan w:val="3"/>
          </w:tcPr>
          <w:p w14:paraId="1F85B970" w14:textId="1162D30B" w:rsidR="00E778B9" w:rsidRPr="00F527EB" w:rsidRDefault="00E778B9" w:rsidP="00201FA0">
            <w:pPr>
              <w:rPr>
                <w:rFonts w:eastAsia="Calibri"/>
                <w:i/>
              </w:rPr>
            </w:pPr>
            <w:r w:rsidRPr="00F527EB">
              <w:rPr>
                <w:rFonts w:eastAsia="Calibri"/>
                <w:i/>
              </w:rPr>
              <w:t>Действующее вещество:</w:t>
            </w:r>
          </w:p>
        </w:tc>
      </w:tr>
      <w:tr w:rsidR="00B81EFB" w:rsidRPr="00B81EFB" w14:paraId="6F0C6760" w14:textId="6827C072" w:rsidTr="00CC0586">
        <w:trPr>
          <w:trHeight w:val="18"/>
        </w:trPr>
        <w:tc>
          <w:tcPr>
            <w:tcW w:w="5529" w:type="dxa"/>
          </w:tcPr>
          <w:p w14:paraId="7E16985E" w14:textId="766B4C36" w:rsidR="00E778B9" w:rsidRPr="00F527EB" w:rsidRDefault="00E778B9" w:rsidP="00E778B9">
            <w:pPr>
              <w:ind w:left="743"/>
              <w:jc w:val="left"/>
              <w:rPr>
                <w:rFonts w:eastAsia="Calibri"/>
              </w:rPr>
            </w:pPr>
            <w:r w:rsidRPr="00F527EB">
              <w:t>Ленватиниба мезилат</w:t>
            </w:r>
            <w:r w:rsidRPr="00F527EB">
              <w:rPr>
                <w:rFonts w:eastAsia="Calibri"/>
              </w:rPr>
              <w:t xml:space="preserve"> </w:t>
            </w:r>
          </w:p>
          <w:p w14:paraId="54284ECB" w14:textId="4ECB3074" w:rsidR="00B81EFB" w:rsidRPr="00F527EB" w:rsidRDefault="00E778B9" w:rsidP="00E778B9">
            <w:pPr>
              <w:ind w:left="743"/>
              <w:jc w:val="left"/>
            </w:pPr>
            <w:r w:rsidRPr="00F527EB">
              <w:rPr>
                <w:rFonts w:eastAsia="Calibri"/>
              </w:rPr>
              <w:t xml:space="preserve">в пересчете на </w:t>
            </w:r>
            <w:r w:rsidRPr="00F527EB">
              <w:t>ленватиниб</w:t>
            </w:r>
          </w:p>
        </w:tc>
        <w:tc>
          <w:tcPr>
            <w:tcW w:w="1984" w:type="dxa"/>
          </w:tcPr>
          <w:p w14:paraId="6630047C" w14:textId="77777777" w:rsidR="00E778B9" w:rsidRPr="00F527EB" w:rsidRDefault="00E778B9" w:rsidP="00E778B9">
            <w:pPr>
              <w:jc w:val="center"/>
              <w:rPr>
                <w:rFonts w:eastAsia="Calibri"/>
              </w:rPr>
            </w:pPr>
            <w:r w:rsidRPr="00F527EB">
              <w:rPr>
                <w:rFonts w:eastAsia="Calibri"/>
              </w:rPr>
              <w:t>4,90 мг</w:t>
            </w:r>
          </w:p>
          <w:p w14:paraId="2963A70D" w14:textId="5B2903DA" w:rsidR="00B81EFB" w:rsidRPr="00F527EB" w:rsidRDefault="00E778B9" w:rsidP="00E778B9">
            <w:pPr>
              <w:jc w:val="center"/>
              <w:rPr>
                <w:rFonts w:eastAsia="Calibri"/>
              </w:rPr>
            </w:pPr>
            <w:r w:rsidRPr="00F527EB">
              <w:rPr>
                <w:rFonts w:eastAsia="Calibri"/>
              </w:rPr>
              <w:t>4,00 мг</w:t>
            </w:r>
          </w:p>
        </w:tc>
        <w:tc>
          <w:tcPr>
            <w:tcW w:w="1809" w:type="dxa"/>
          </w:tcPr>
          <w:p w14:paraId="322115F0" w14:textId="77777777" w:rsidR="00E778B9" w:rsidRPr="00F527EB" w:rsidRDefault="00E778B9" w:rsidP="00E778B9">
            <w:pPr>
              <w:jc w:val="center"/>
            </w:pPr>
            <w:r w:rsidRPr="00F527EB">
              <w:t>12,25 мг</w:t>
            </w:r>
          </w:p>
          <w:p w14:paraId="580ECF8C" w14:textId="3A535AB0" w:rsidR="00B81EFB" w:rsidRPr="00F527EB" w:rsidRDefault="00E778B9" w:rsidP="00E778B9">
            <w:pPr>
              <w:jc w:val="center"/>
              <w:rPr>
                <w:rFonts w:eastAsia="Calibri"/>
              </w:rPr>
            </w:pPr>
            <w:r w:rsidRPr="00F527EB">
              <w:t>10,00 мг</w:t>
            </w:r>
          </w:p>
        </w:tc>
      </w:tr>
      <w:tr w:rsidR="00E778B9" w:rsidRPr="00B81EFB" w14:paraId="4226255B" w14:textId="4B3D0A8C" w:rsidTr="00201FA0">
        <w:trPr>
          <w:trHeight w:val="18"/>
        </w:trPr>
        <w:tc>
          <w:tcPr>
            <w:tcW w:w="9322" w:type="dxa"/>
            <w:gridSpan w:val="3"/>
          </w:tcPr>
          <w:p w14:paraId="7FCA6AC8" w14:textId="62EAFDEF" w:rsidR="00E778B9" w:rsidRPr="00F527EB" w:rsidRDefault="00E778B9" w:rsidP="00F527EB">
            <w:pPr>
              <w:rPr>
                <w:rFonts w:eastAsia="Calibri"/>
              </w:rPr>
            </w:pPr>
            <w:r w:rsidRPr="00F527EB">
              <w:rPr>
                <w:rFonts w:eastAsia="Calibri"/>
                <w:i/>
              </w:rPr>
              <w:t>Вспомогательные вещества:</w:t>
            </w:r>
          </w:p>
        </w:tc>
      </w:tr>
      <w:tr w:rsidR="00F527EB" w:rsidRPr="00B81EFB" w14:paraId="36BF42AF" w14:textId="136F7744" w:rsidTr="00201FA0">
        <w:trPr>
          <w:trHeight w:val="18"/>
        </w:trPr>
        <w:tc>
          <w:tcPr>
            <w:tcW w:w="5529" w:type="dxa"/>
          </w:tcPr>
          <w:p w14:paraId="4C73F757" w14:textId="1059DA85" w:rsidR="00F527EB" w:rsidRPr="00F527EB" w:rsidRDefault="00F527EB" w:rsidP="00F527EB">
            <w:pPr>
              <w:ind w:firstLine="743"/>
              <w:rPr>
                <w:rFonts w:eastAsia="Calibri"/>
                <w:i/>
              </w:rPr>
            </w:pPr>
            <w:r w:rsidRPr="00F527EB">
              <w:rPr>
                <w:rFonts w:eastAsia="Calibri"/>
              </w:rPr>
              <w:t>Кальция карбонат</w:t>
            </w:r>
          </w:p>
        </w:tc>
        <w:tc>
          <w:tcPr>
            <w:tcW w:w="1984" w:type="dxa"/>
            <w:vAlign w:val="center"/>
          </w:tcPr>
          <w:p w14:paraId="17E491EF" w14:textId="45B2C6C1" w:rsidR="00F527EB" w:rsidRPr="00F527EB" w:rsidRDefault="00F527EB" w:rsidP="00F527EB">
            <w:pPr>
              <w:jc w:val="center"/>
              <w:rPr>
                <w:rFonts w:eastAsia="Calibri"/>
                <w:i/>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c>
          <w:tcPr>
            <w:tcW w:w="1809" w:type="dxa"/>
            <w:vAlign w:val="center"/>
          </w:tcPr>
          <w:p w14:paraId="363F21E1" w14:textId="5153D3AC" w:rsidR="00F527EB" w:rsidRPr="00F527EB" w:rsidRDefault="00F527EB" w:rsidP="00F527EB">
            <w:pPr>
              <w:jc w:val="center"/>
              <w:rPr>
                <w:rFonts w:eastAsia="Calibri"/>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r>
      <w:tr w:rsidR="00F527EB" w:rsidRPr="00B81EFB" w14:paraId="020D0926" w14:textId="2F0374BA" w:rsidTr="00201FA0">
        <w:trPr>
          <w:trHeight w:val="18"/>
        </w:trPr>
        <w:tc>
          <w:tcPr>
            <w:tcW w:w="5529" w:type="dxa"/>
          </w:tcPr>
          <w:p w14:paraId="626E0AA4" w14:textId="4680DDDE" w:rsidR="00F527EB" w:rsidRPr="00F527EB" w:rsidRDefault="00F527EB" w:rsidP="00F527EB">
            <w:pPr>
              <w:ind w:left="738"/>
              <w:rPr>
                <w:rFonts w:eastAsia="Calibri"/>
              </w:rPr>
            </w:pPr>
            <w:r w:rsidRPr="00F527EB">
              <w:rPr>
                <w:rFonts w:eastAsia="Calibri"/>
              </w:rPr>
              <w:t>Маннитол</w:t>
            </w:r>
          </w:p>
        </w:tc>
        <w:tc>
          <w:tcPr>
            <w:tcW w:w="1984" w:type="dxa"/>
            <w:vAlign w:val="center"/>
          </w:tcPr>
          <w:p w14:paraId="329B11F7" w14:textId="78A07BFD" w:rsidR="00F527EB" w:rsidRPr="00F527EB" w:rsidRDefault="00F527EB" w:rsidP="00F527EB">
            <w:pPr>
              <w:jc w:val="center"/>
              <w:rPr>
                <w:rFonts w:eastAsia="Calibri"/>
              </w:rPr>
            </w:pPr>
            <w:r w:rsidRPr="00F527EB">
              <w:rPr>
                <w:rFonts w:eastAsia="Calibri"/>
                <w:lang w:val="en-US"/>
              </w:rPr>
              <w:t>16</w:t>
            </w:r>
            <w:r w:rsidRPr="00F527EB">
              <w:rPr>
                <w:rFonts w:eastAsia="Calibri"/>
              </w:rPr>
              <w:t>,</w:t>
            </w:r>
            <w:r w:rsidRPr="00F527EB">
              <w:rPr>
                <w:rFonts w:eastAsia="Calibri"/>
                <w:lang w:val="en-US"/>
              </w:rPr>
              <w:t>10</w:t>
            </w:r>
            <w:r w:rsidRPr="00F527EB">
              <w:rPr>
                <w:rFonts w:eastAsia="Calibri"/>
              </w:rPr>
              <w:t xml:space="preserve"> мг</w:t>
            </w:r>
          </w:p>
        </w:tc>
        <w:tc>
          <w:tcPr>
            <w:tcW w:w="1809" w:type="dxa"/>
            <w:vAlign w:val="center"/>
          </w:tcPr>
          <w:p w14:paraId="32A1E20E" w14:textId="4B9DCB21" w:rsidR="00F527EB" w:rsidRPr="00F527EB" w:rsidRDefault="00F527EB" w:rsidP="00F527EB">
            <w:pPr>
              <w:jc w:val="center"/>
              <w:rPr>
                <w:rFonts w:eastAsia="Calibri"/>
              </w:rPr>
            </w:pPr>
            <w:r>
              <w:rPr>
                <w:rFonts w:eastAsia="Calibri"/>
              </w:rPr>
              <w:t>8,75</w:t>
            </w:r>
            <w:r w:rsidRPr="00F527EB">
              <w:rPr>
                <w:rFonts w:eastAsia="Calibri"/>
              </w:rPr>
              <w:t xml:space="preserve"> мг</w:t>
            </w:r>
          </w:p>
        </w:tc>
      </w:tr>
      <w:tr w:rsidR="00F527EB" w:rsidRPr="00B81EFB" w14:paraId="605CA39A" w14:textId="076A0ECD" w:rsidTr="00201FA0">
        <w:trPr>
          <w:trHeight w:val="18"/>
        </w:trPr>
        <w:tc>
          <w:tcPr>
            <w:tcW w:w="5529" w:type="dxa"/>
          </w:tcPr>
          <w:p w14:paraId="4924B72B" w14:textId="3A27D634" w:rsidR="00F527EB" w:rsidRPr="00F527EB" w:rsidRDefault="00F527EB" w:rsidP="00F527EB">
            <w:pPr>
              <w:ind w:left="738"/>
              <w:rPr>
                <w:rFonts w:eastAsia="Calibri"/>
              </w:rPr>
            </w:pPr>
            <w:r w:rsidRPr="00F527EB">
              <w:rPr>
                <w:lang w:eastAsia="x-none"/>
              </w:rPr>
              <w:t>Целлюлоза микрокристаллическая</w:t>
            </w:r>
            <w:r w:rsidRPr="00F527EB" w:rsidDel="00AD5A18">
              <w:rPr>
                <w:lang w:eastAsia="x-none"/>
              </w:rPr>
              <w:t xml:space="preserve"> </w:t>
            </w:r>
            <w:r w:rsidRPr="00F527EB">
              <w:rPr>
                <w:lang w:eastAsia="x-none"/>
              </w:rPr>
              <w:t>тип 101</w:t>
            </w:r>
          </w:p>
        </w:tc>
        <w:tc>
          <w:tcPr>
            <w:tcW w:w="1984" w:type="dxa"/>
            <w:vAlign w:val="center"/>
          </w:tcPr>
          <w:p w14:paraId="2093C797" w14:textId="0A1BE559" w:rsidR="00F527EB" w:rsidRPr="00F527EB" w:rsidRDefault="00F527EB" w:rsidP="00F527EB">
            <w:pPr>
              <w:jc w:val="center"/>
              <w:rPr>
                <w:rFonts w:eastAsia="Calibri"/>
              </w:rPr>
            </w:pPr>
            <w:r w:rsidRPr="00F527EB">
              <w:rPr>
                <w:rFonts w:eastAsia="Calibri"/>
                <w:lang w:val="en-US"/>
              </w:rPr>
              <w:t>10</w:t>
            </w:r>
            <w:r w:rsidRPr="00F527EB">
              <w:rPr>
                <w:rFonts w:eastAsia="Calibri"/>
              </w:rPr>
              <w:t>,00 мг</w:t>
            </w:r>
          </w:p>
        </w:tc>
        <w:tc>
          <w:tcPr>
            <w:tcW w:w="1809" w:type="dxa"/>
            <w:vAlign w:val="center"/>
          </w:tcPr>
          <w:p w14:paraId="0AC68E8A" w14:textId="618409C6" w:rsidR="00F527EB" w:rsidRPr="00F527EB" w:rsidRDefault="00F527EB" w:rsidP="00F527EB">
            <w:pPr>
              <w:jc w:val="center"/>
              <w:rPr>
                <w:rFonts w:eastAsia="Calibri"/>
              </w:rPr>
            </w:pPr>
            <w:r w:rsidRPr="00F527EB">
              <w:rPr>
                <w:rFonts w:eastAsia="Calibri"/>
                <w:lang w:val="en-US"/>
              </w:rPr>
              <w:t>10</w:t>
            </w:r>
            <w:r w:rsidRPr="00F527EB">
              <w:rPr>
                <w:rFonts w:eastAsia="Calibri"/>
              </w:rPr>
              <w:t>,00 мг</w:t>
            </w:r>
          </w:p>
        </w:tc>
      </w:tr>
      <w:tr w:rsidR="00F527EB" w:rsidRPr="00B81EFB" w14:paraId="1F839BD2" w14:textId="7E570338" w:rsidTr="00201FA0">
        <w:trPr>
          <w:trHeight w:val="18"/>
        </w:trPr>
        <w:tc>
          <w:tcPr>
            <w:tcW w:w="5529" w:type="dxa"/>
          </w:tcPr>
          <w:p w14:paraId="5CFD2A2D" w14:textId="00C252D3" w:rsidR="00F527EB" w:rsidRPr="00F527EB" w:rsidRDefault="00F527EB" w:rsidP="00F527EB">
            <w:pPr>
              <w:ind w:left="738"/>
              <w:rPr>
                <w:rFonts w:eastAsia="Calibri"/>
              </w:rPr>
            </w:pPr>
            <w:r w:rsidRPr="00F527EB">
              <w:rPr>
                <w:lang w:eastAsia="x-none"/>
              </w:rPr>
              <w:t>Целлюлоза микрокристаллическая</w:t>
            </w:r>
            <w:r w:rsidRPr="00F527EB" w:rsidDel="00AD5A18">
              <w:rPr>
                <w:lang w:eastAsia="x-none"/>
              </w:rPr>
              <w:t xml:space="preserve"> </w:t>
            </w:r>
            <w:r w:rsidRPr="00F527EB">
              <w:rPr>
                <w:lang w:eastAsia="x-none"/>
              </w:rPr>
              <w:t>тип 102</w:t>
            </w:r>
          </w:p>
        </w:tc>
        <w:tc>
          <w:tcPr>
            <w:tcW w:w="1984" w:type="dxa"/>
            <w:vAlign w:val="center"/>
          </w:tcPr>
          <w:p w14:paraId="7747FB60" w14:textId="6FA27EC5" w:rsidR="00F527EB" w:rsidRPr="00F527EB" w:rsidRDefault="00F527EB" w:rsidP="00F527EB">
            <w:pPr>
              <w:jc w:val="center"/>
              <w:rPr>
                <w:rFonts w:eastAsia="Calibri"/>
              </w:rPr>
            </w:pPr>
            <w:r w:rsidRPr="00F527EB">
              <w:rPr>
                <w:rFonts w:eastAsia="Calibri"/>
                <w:lang w:val="en-US"/>
              </w:rPr>
              <w:t>5</w:t>
            </w:r>
            <w:r w:rsidRPr="00F527EB">
              <w:rPr>
                <w:rFonts w:eastAsia="Calibri"/>
              </w:rPr>
              <w:t>,</w:t>
            </w:r>
            <w:r w:rsidRPr="00F527EB">
              <w:rPr>
                <w:rFonts w:eastAsia="Calibri"/>
                <w:lang w:val="en-US"/>
              </w:rPr>
              <w:t>0</w:t>
            </w:r>
            <w:r w:rsidRPr="00F527EB">
              <w:rPr>
                <w:rFonts w:eastAsia="Calibri"/>
              </w:rPr>
              <w:t>0 мг</w:t>
            </w:r>
          </w:p>
        </w:tc>
        <w:tc>
          <w:tcPr>
            <w:tcW w:w="1809" w:type="dxa"/>
            <w:vAlign w:val="center"/>
          </w:tcPr>
          <w:p w14:paraId="6B23794C" w14:textId="2177EC6A" w:rsidR="00F527EB" w:rsidRPr="00F527EB" w:rsidRDefault="00F527EB" w:rsidP="00F527EB">
            <w:pPr>
              <w:jc w:val="center"/>
              <w:rPr>
                <w:rFonts w:eastAsia="Calibri"/>
              </w:rPr>
            </w:pPr>
            <w:r w:rsidRPr="00F527EB">
              <w:rPr>
                <w:rFonts w:eastAsia="Calibri"/>
                <w:lang w:val="en-US"/>
              </w:rPr>
              <w:t>5</w:t>
            </w:r>
            <w:r w:rsidRPr="00F527EB">
              <w:rPr>
                <w:rFonts w:eastAsia="Calibri"/>
              </w:rPr>
              <w:t>,</w:t>
            </w:r>
            <w:r w:rsidRPr="00F527EB">
              <w:rPr>
                <w:rFonts w:eastAsia="Calibri"/>
                <w:lang w:val="en-US"/>
              </w:rPr>
              <w:t>0</w:t>
            </w:r>
            <w:r w:rsidRPr="00F527EB">
              <w:rPr>
                <w:rFonts w:eastAsia="Calibri"/>
              </w:rPr>
              <w:t>0 мг</w:t>
            </w:r>
          </w:p>
        </w:tc>
      </w:tr>
      <w:tr w:rsidR="00F527EB" w:rsidRPr="00B81EFB" w14:paraId="56B5F488" w14:textId="77777777" w:rsidTr="00201FA0">
        <w:trPr>
          <w:trHeight w:val="18"/>
        </w:trPr>
        <w:tc>
          <w:tcPr>
            <w:tcW w:w="5529" w:type="dxa"/>
          </w:tcPr>
          <w:p w14:paraId="5B3FA72A" w14:textId="2F228876" w:rsidR="00F527EB" w:rsidRPr="00F527EB" w:rsidRDefault="00F527EB" w:rsidP="00F527EB">
            <w:pPr>
              <w:ind w:left="738"/>
              <w:rPr>
                <w:lang w:eastAsia="x-none"/>
              </w:rPr>
            </w:pPr>
            <w:r w:rsidRPr="00F527EB">
              <w:t>Гипролоза с низкой степенью замещения</w:t>
            </w:r>
          </w:p>
        </w:tc>
        <w:tc>
          <w:tcPr>
            <w:tcW w:w="1984" w:type="dxa"/>
            <w:vAlign w:val="center"/>
          </w:tcPr>
          <w:p w14:paraId="33FCED8B" w14:textId="29F4477D" w:rsidR="00F527EB" w:rsidRPr="00F527EB" w:rsidRDefault="00F527EB" w:rsidP="00F527EB">
            <w:pPr>
              <w:jc w:val="center"/>
              <w:rPr>
                <w:rFonts w:eastAsia="Calibri"/>
              </w:rPr>
            </w:pPr>
            <w:r w:rsidRPr="00F527EB">
              <w:rPr>
                <w:rFonts w:eastAsia="Calibri"/>
                <w:lang w:val="en-US"/>
              </w:rPr>
              <w:t xml:space="preserve">25,00 </w:t>
            </w:r>
            <w:r w:rsidRPr="00F527EB">
              <w:rPr>
                <w:rFonts w:eastAsia="Calibri"/>
              </w:rPr>
              <w:t>мг</w:t>
            </w:r>
          </w:p>
        </w:tc>
        <w:tc>
          <w:tcPr>
            <w:tcW w:w="1809" w:type="dxa"/>
            <w:vAlign w:val="center"/>
          </w:tcPr>
          <w:p w14:paraId="0931CDEF" w14:textId="10B55F2D" w:rsidR="00F527EB" w:rsidRPr="00F527EB" w:rsidRDefault="00F527EB" w:rsidP="00F527EB">
            <w:pPr>
              <w:jc w:val="center"/>
              <w:rPr>
                <w:rFonts w:eastAsia="Calibri"/>
              </w:rPr>
            </w:pPr>
            <w:r w:rsidRPr="00F527EB">
              <w:rPr>
                <w:rFonts w:eastAsia="Calibri"/>
                <w:lang w:val="en-US"/>
              </w:rPr>
              <w:t xml:space="preserve">25,00 </w:t>
            </w:r>
            <w:r w:rsidRPr="00F527EB">
              <w:rPr>
                <w:rFonts w:eastAsia="Calibri"/>
              </w:rPr>
              <w:t>мг</w:t>
            </w:r>
          </w:p>
        </w:tc>
      </w:tr>
      <w:tr w:rsidR="00F527EB" w:rsidRPr="00B81EFB" w14:paraId="32D86E87" w14:textId="77777777" w:rsidTr="00201FA0">
        <w:trPr>
          <w:trHeight w:val="18"/>
        </w:trPr>
        <w:tc>
          <w:tcPr>
            <w:tcW w:w="5529" w:type="dxa"/>
          </w:tcPr>
          <w:p w14:paraId="4336290D" w14:textId="44136677" w:rsidR="00F527EB" w:rsidRPr="00F527EB" w:rsidRDefault="00F527EB" w:rsidP="00F527EB">
            <w:pPr>
              <w:ind w:left="738"/>
              <w:rPr>
                <w:lang w:eastAsia="x-none"/>
              </w:rPr>
            </w:pPr>
            <w:r w:rsidRPr="00F527EB">
              <w:t>Гипролоза</w:t>
            </w:r>
          </w:p>
        </w:tc>
        <w:tc>
          <w:tcPr>
            <w:tcW w:w="1984" w:type="dxa"/>
            <w:vAlign w:val="center"/>
          </w:tcPr>
          <w:p w14:paraId="0FD1A99F" w14:textId="0FFF3535" w:rsidR="00F527EB" w:rsidRPr="00F527EB" w:rsidRDefault="00F527EB" w:rsidP="00F527EB">
            <w:pPr>
              <w:jc w:val="center"/>
              <w:rPr>
                <w:rFonts w:eastAsia="Calibri"/>
              </w:rPr>
            </w:pPr>
            <w:r w:rsidRPr="00F527EB">
              <w:rPr>
                <w:rFonts w:eastAsia="Calibri"/>
              </w:rPr>
              <w:t>3,00 мг</w:t>
            </w:r>
          </w:p>
        </w:tc>
        <w:tc>
          <w:tcPr>
            <w:tcW w:w="1809" w:type="dxa"/>
            <w:vAlign w:val="center"/>
          </w:tcPr>
          <w:p w14:paraId="796500B1" w14:textId="1910EB76" w:rsidR="00F527EB" w:rsidRPr="00F527EB" w:rsidRDefault="00F527EB" w:rsidP="00F527EB">
            <w:pPr>
              <w:jc w:val="center"/>
              <w:rPr>
                <w:rFonts w:eastAsia="Calibri"/>
              </w:rPr>
            </w:pPr>
            <w:r w:rsidRPr="00F527EB">
              <w:rPr>
                <w:rFonts w:eastAsia="Calibri"/>
              </w:rPr>
              <w:t>3,00 мг</w:t>
            </w:r>
          </w:p>
        </w:tc>
      </w:tr>
      <w:tr w:rsidR="00F527EB" w:rsidRPr="00B81EFB" w14:paraId="01D6108D" w14:textId="77777777" w:rsidTr="00201FA0">
        <w:trPr>
          <w:trHeight w:val="18"/>
        </w:trPr>
        <w:tc>
          <w:tcPr>
            <w:tcW w:w="5529" w:type="dxa"/>
          </w:tcPr>
          <w:p w14:paraId="79EE239A" w14:textId="052B3C42" w:rsidR="00F527EB" w:rsidRPr="00F527EB" w:rsidRDefault="00F527EB" w:rsidP="00F527EB">
            <w:pPr>
              <w:ind w:left="738"/>
            </w:pPr>
            <w:r w:rsidRPr="00F527EB">
              <w:t>Тальк</w:t>
            </w:r>
          </w:p>
        </w:tc>
        <w:tc>
          <w:tcPr>
            <w:tcW w:w="1984" w:type="dxa"/>
            <w:vAlign w:val="center"/>
          </w:tcPr>
          <w:p w14:paraId="3FD8C501" w14:textId="71FC7BDA" w:rsidR="00F527EB" w:rsidRPr="00F527EB" w:rsidRDefault="00F527EB" w:rsidP="00F527EB">
            <w:pPr>
              <w:jc w:val="center"/>
              <w:rPr>
                <w:rFonts w:eastAsia="Calibri"/>
              </w:rPr>
            </w:pPr>
            <w:r w:rsidRPr="00F527EB">
              <w:rPr>
                <w:rFonts w:eastAsia="Calibri"/>
              </w:rPr>
              <w:t>3,00 мг</w:t>
            </w:r>
          </w:p>
        </w:tc>
        <w:tc>
          <w:tcPr>
            <w:tcW w:w="1809" w:type="dxa"/>
            <w:vAlign w:val="center"/>
          </w:tcPr>
          <w:p w14:paraId="7A0A8D27" w14:textId="3925C47E" w:rsidR="00F527EB" w:rsidRPr="00F527EB" w:rsidRDefault="00F527EB" w:rsidP="00F527EB">
            <w:pPr>
              <w:jc w:val="center"/>
              <w:rPr>
                <w:rFonts w:eastAsia="Calibri"/>
              </w:rPr>
            </w:pPr>
            <w:r w:rsidRPr="00F527EB">
              <w:rPr>
                <w:rFonts w:eastAsia="Calibri"/>
              </w:rPr>
              <w:t>3,00 мг</w:t>
            </w:r>
          </w:p>
        </w:tc>
      </w:tr>
      <w:tr w:rsidR="00F527EB" w:rsidRPr="00B81EFB" w14:paraId="2F61DA3E" w14:textId="4AF13F7C" w:rsidTr="00201FA0">
        <w:trPr>
          <w:trHeight w:val="18"/>
        </w:trPr>
        <w:tc>
          <w:tcPr>
            <w:tcW w:w="5529" w:type="dxa"/>
          </w:tcPr>
          <w:p w14:paraId="16FD8A34" w14:textId="3ACB4F85" w:rsidR="00F527EB" w:rsidRPr="00F527EB" w:rsidRDefault="00F527EB" w:rsidP="00F527EB">
            <w:pPr>
              <w:rPr>
                <w:rFonts w:eastAsia="Calibri"/>
                <w:lang w:val="en-US"/>
              </w:rPr>
            </w:pPr>
            <w:r w:rsidRPr="00F527EB">
              <w:rPr>
                <w:rFonts w:eastAsia="Calibri"/>
                <w:b/>
              </w:rPr>
              <w:t>Масса содержимого капсулы</w:t>
            </w:r>
          </w:p>
        </w:tc>
        <w:tc>
          <w:tcPr>
            <w:tcW w:w="1984" w:type="dxa"/>
            <w:vAlign w:val="center"/>
          </w:tcPr>
          <w:p w14:paraId="17ABA83D" w14:textId="27F20CAF" w:rsidR="00F527EB" w:rsidRPr="00F527EB" w:rsidRDefault="00F527EB" w:rsidP="00F527EB">
            <w:pPr>
              <w:jc w:val="center"/>
              <w:rPr>
                <w:rFonts w:eastAsia="Calibri"/>
              </w:rPr>
            </w:pPr>
            <w:r w:rsidRPr="00F527EB">
              <w:rPr>
                <w:rFonts w:eastAsia="Calibri"/>
                <w:b/>
              </w:rPr>
              <w:t>100,00 мг</w:t>
            </w:r>
          </w:p>
        </w:tc>
        <w:tc>
          <w:tcPr>
            <w:tcW w:w="1809" w:type="dxa"/>
            <w:vAlign w:val="center"/>
          </w:tcPr>
          <w:p w14:paraId="241D6106" w14:textId="78EFD935" w:rsidR="00F527EB" w:rsidRPr="00F527EB" w:rsidRDefault="00F527EB" w:rsidP="00F527EB">
            <w:pPr>
              <w:jc w:val="center"/>
              <w:rPr>
                <w:rFonts w:eastAsia="Calibri"/>
                <w:b/>
              </w:rPr>
            </w:pPr>
            <w:r w:rsidRPr="00F527EB">
              <w:rPr>
                <w:rFonts w:eastAsia="Calibri"/>
                <w:b/>
              </w:rPr>
              <w:t>100,00 мг</w:t>
            </w:r>
          </w:p>
        </w:tc>
      </w:tr>
      <w:tr w:rsidR="00F527EB" w:rsidRPr="00B81EFB" w14:paraId="78018EC7" w14:textId="77777777" w:rsidTr="00201FA0">
        <w:trPr>
          <w:trHeight w:val="18"/>
        </w:trPr>
        <w:tc>
          <w:tcPr>
            <w:tcW w:w="5529" w:type="dxa"/>
          </w:tcPr>
          <w:p w14:paraId="4060FE7B" w14:textId="77777777" w:rsidR="00F527EB" w:rsidRPr="00F527EB" w:rsidRDefault="00F527EB" w:rsidP="00F527EB">
            <w:pPr>
              <w:rPr>
                <w:rFonts w:eastAsia="Calibri"/>
              </w:rPr>
            </w:pPr>
            <w:r w:rsidRPr="00F527EB">
              <w:rPr>
                <w:i/>
                <w:lang w:eastAsia="ru-RU"/>
              </w:rPr>
              <w:t>Капсула гипромеллозная № 3:</w:t>
            </w:r>
          </w:p>
          <w:p w14:paraId="640F8C1F" w14:textId="77777777" w:rsidR="00F527EB" w:rsidRPr="00F527EB" w:rsidRDefault="00F527EB" w:rsidP="00F527EB">
            <w:pPr>
              <w:rPr>
                <w:rFonts w:eastAsia="Calibri"/>
              </w:rPr>
            </w:pPr>
            <w:r w:rsidRPr="00F527EB">
              <w:rPr>
                <w:lang w:eastAsia="ru-RU"/>
              </w:rPr>
              <w:t>[Корпус: титана диоксид – 1,9184 %;</w:t>
            </w:r>
            <w:r w:rsidRPr="00F527EB">
              <w:rPr>
                <w:rFonts w:eastAsia="Calibri"/>
              </w:rPr>
              <w:t xml:space="preserve"> </w:t>
            </w:r>
            <w:r w:rsidRPr="00F527EB">
              <w:rPr>
                <w:lang w:eastAsia="ru-RU"/>
              </w:rPr>
              <w:t>гипромеллоза до 100 %]</w:t>
            </w:r>
          </w:p>
          <w:p w14:paraId="09DD021E" w14:textId="34B8199E" w:rsidR="00F527EB" w:rsidRPr="00F527EB" w:rsidRDefault="00F527EB" w:rsidP="00F527EB">
            <w:pPr>
              <w:rPr>
                <w:rFonts w:eastAsia="Calibri"/>
              </w:rPr>
            </w:pPr>
            <w:r w:rsidRPr="00F527EB">
              <w:rPr>
                <w:lang w:eastAsia="ru-RU"/>
              </w:rPr>
              <w:t>[Крышка: титана диоксид – 1,9184 %;</w:t>
            </w:r>
            <w:r w:rsidRPr="00F527EB">
              <w:rPr>
                <w:rFonts w:eastAsia="Calibri"/>
              </w:rPr>
              <w:t xml:space="preserve"> </w:t>
            </w:r>
            <w:r w:rsidRPr="00F527EB">
              <w:rPr>
                <w:lang w:eastAsia="ru-RU"/>
              </w:rPr>
              <w:t>гипромеллоза до 100 %]</w:t>
            </w:r>
          </w:p>
        </w:tc>
        <w:tc>
          <w:tcPr>
            <w:tcW w:w="1984" w:type="dxa"/>
            <w:vAlign w:val="center"/>
          </w:tcPr>
          <w:p w14:paraId="7EA6F18A" w14:textId="1C97EE05" w:rsidR="00F527EB" w:rsidRPr="00F527EB" w:rsidRDefault="00F527EB" w:rsidP="00F527EB">
            <w:pPr>
              <w:jc w:val="center"/>
              <w:rPr>
                <w:rFonts w:eastAsia="Calibri"/>
                <w:b/>
              </w:rPr>
            </w:pPr>
            <w:r w:rsidRPr="00F527EB">
              <w:rPr>
                <w:rFonts w:eastAsia="Calibri"/>
                <w:lang w:val="en-US"/>
              </w:rPr>
              <w:t xml:space="preserve">47,00 </w:t>
            </w:r>
            <w:r w:rsidRPr="00F527EB">
              <w:rPr>
                <w:rFonts w:eastAsia="Calibri"/>
              </w:rPr>
              <w:t>мг</w:t>
            </w:r>
          </w:p>
        </w:tc>
        <w:tc>
          <w:tcPr>
            <w:tcW w:w="1809" w:type="dxa"/>
            <w:vAlign w:val="center"/>
          </w:tcPr>
          <w:p w14:paraId="658D479F" w14:textId="246CB261" w:rsidR="00F527EB" w:rsidRPr="00F527EB" w:rsidRDefault="00F527EB" w:rsidP="00F527EB">
            <w:pPr>
              <w:jc w:val="center"/>
              <w:rPr>
                <w:rFonts w:eastAsia="Calibri"/>
                <w:b/>
              </w:rPr>
            </w:pPr>
            <w:r w:rsidRPr="00F527EB">
              <w:rPr>
                <w:rFonts w:eastAsia="Calibri"/>
                <w:lang w:val="en-US"/>
              </w:rPr>
              <w:t xml:space="preserve">47,00 </w:t>
            </w:r>
            <w:r w:rsidRPr="00F527EB">
              <w:rPr>
                <w:rFonts w:eastAsia="Calibri"/>
              </w:rPr>
              <w:t>мг</w:t>
            </w:r>
          </w:p>
        </w:tc>
      </w:tr>
      <w:tr w:rsidR="00F527EB" w:rsidRPr="00B81EFB" w14:paraId="29E96040" w14:textId="77777777" w:rsidTr="00201FA0">
        <w:trPr>
          <w:trHeight w:val="18"/>
        </w:trPr>
        <w:tc>
          <w:tcPr>
            <w:tcW w:w="5529" w:type="dxa"/>
          </w:tcPr>
          <w:p w14:paraId="712C4765" w14:textId="0BF09ECE" w:rsidR="00F527EB" w:rsidRPr="00F527EB" w:rsidRDefault="00F527EB" w:rsidP="00F527EB">
            <w:pPr>
              <w:rPr>
                <w:rFonts w:eastAsia="Calibri"/>
                <w:b/>
              </w:rPr>
            </w:pPr>
            <w:r w:rsidRPr="00F527EB">
              <w:rPr>
                <w:b/>
              </w:rPr>
              <w:t>Масса капсулы:</w:t>
            </w:r>
          </w:p>
        </w:tc>
        <w:tc>
          <w:tcPr>
            <w:tcW w:w="1984" w:type="dxa"/>
            <w:vAlign w:val="center"/>
          </w:tcPr>
          <w:p w14:paraId="4ABBCE93" w14:textId="4492AB5A" w:rsidR="00F527EB" w:rsidRPr="00F527EB" w:rsidRDefault="00F527EB" w:rsidP="00F527EB">
            <w:pPr>
              <w:jc w:val="center"/>
              <w:rPr>
                <w:rFonts w:eastAsia="Calibri"/>
                <w:b/>
              </w:rPr>
            </w:pPr>
            <w:r w:rsidRPr="00F527EB">
              <w:rPr>
                <w:b/>
                <w:lang w:val="en-US"/>
              </w:rPr>
              <w:t>147</w:t>
            </w:r>
            <w:r w:rsidRPr="00F527EB">
              <w:rPr>
                <w:b/>
              </w:rPr>
              <w:t>,00 мг</w:t>
            </w:r>
          </w:p>
        </w:tc>
        <w:tc>
          <w:tcPr>
            <w:tcW w:w="1809" w:type="dxa"/>
            <w:vAlign w:val="center"/>
          </w:tcPr>
          <w:p w14:paraId="21F0B200" w14:textId="7903EAE8" w:rsidR="00F527EB" w:rsidRPr="00F527EB" w:rsidRDefault="00F527EB" w:rsidP="00F527EB">
            <w:pPr>
              <w:jc w:val="center"/>
              <w:rPr>
                <w:rFonts w:eastAsia="Calibri"/>
                <w:b/>
              </w:rPr>
            </w:pPr>
            <w:r w:rsidRPr="00F527EB">
              <w:rPr>
                <w:b/>
                <w:lang w:val="en-US"/>
              </w:rPr>
              <w:t>147</w:t>
            </w:r>
            <w:r w:rsidRPr="00F527EB">
              <w:rPr>
                <w:b/>
              </w:rPr>
              <w:t>,00 мг</w:t>
            </w:r>
          </w:p>
        </w:tc>
      </w:tr>
    </w:tbl>
    <w:p w14:paraId="04B256E5" w14:textId="77777777" w:rsidR="00F527EB" w:rsidRDefault="00F527EB" w:rsidP="00F527EB">
      <w:pPr>
        <w:ind w:firstLine="709"/>
        <w:rPr>
          <w:rFonts w:eastAsia="Calibri"/>
          <w:color w:val="000000" w:themeColor="text1"/>
          <w:lang w:eastAsia="ru-RU"/>
        </w:rPr>
      </w:pPr>
    </w:p>
    <w:p w14:paraId="4D626C4A" w14:textId="7676E88B" w:rsidR="00F527EB" w:rsidRDefault="00F527EB" w:rsidP="00F527EB">
      <w:pPr>
        <w:ind w:firstLine="709"/>
        <w:rPr>
          <w:rFonts w:eastAsiaTheme="minorHAnsi"/>
          <w:color w:val="000000" w:themeColor="text1"/>
          <w:lang w:eastAsia="en-US"/>
        </w:rPr>
      </w:pPr>
      <w:r w:rsidRPr="00BB6CED">
        <w:rPr>
          <w:rFonts w:eastAsia="Calibri"/>
          <w:color w:val="000000" w:themeColor="text1"/>
          <w:lang w:eastAsia="ru-RU"/>
        </w:rPr>
        <w:t xml:space="preserve">Препарат </w:t>
      </w:r>
      <w:r w:rsidRPr="00BB6CED">
        <w:rPr>
          <w:color w:val="000000" w:themeColor="text1"/>
        </w:rPr>
        <w:t>DT</w:t>
      </w:r>
      <w:r w:rsidRPr="0090184F">
        <w:rPr>
          <w:color w:val="000000" w:themeColor="text1"/>
        </w:rPr>
        <w:t>-</w:t>
      </w:r>
      <w:r>
        <w:rPr>
          <w:lang w:val="en-US" w:eastAsia="ru-RU"/>
        </w:rPr>
        <w:t>LNV</w:t>
      </w:r>
      <w:r w:rsidRPr="00BB6CED">
        <w:rPr>
          <w:color w:val="000000" w:themeColor="text1"/>
        </w:rPr>
        <w:t xml:space="preserve">, </w:t>
      </w:r>
      <w:r w:rsidR="00201FA0">
        <w:rPr>
          <w:color w:val="000000" w:themeColor="text1"/>
        </w:rPr>
        <w:t xml:space="preserve">капсулы, 4 мг и 10 мг, </w:t>
      </w:r>
      <w:r w:rsidRPr="00BB6CED">
        <w:rPr>
          <w:color w:val="000000" w:themeColor="text1"/>
        </w:rPr>
        <w:t xml:space="preserve">разработанный </w:t>
      </w:r>
      <w:r>
        <w:rPr>
          <w:bCs/>
          <w:lang w:eastAsia="ru-RU"/>
        </w:rPr>
        <w:t>дочерним подразделением ГК «Р-Фарм», Россия – ООО «Технология лекарств»</w:t>
      </w:r>
      <w:r w:rsidRPr="00BB6CED">
        <w:rPr>
          <w:color w:val="000000" w:themeColor="text1"/>
        </w:rPr>
        <w:t xml:space="preserve">, полностью соответствует </w:t>
      </w:r>
      <w:r w:rsidRPr="00BB6CED">
        <w:rPr>
          <w:rFonts w:eastAsia="Calibri"/>
          <w:color w:val="000000" w:themeColor="text1"/>
          <w:lang w:eastAsia="ru-RU"/>
        </w:rPr>
        <w:t xml:space="preserve">по качественному и количественному составу </w:t>
      </w:r>
      <w:r w:rsidR="00201FA0">
        <w:rPr>
          <w:rFonts w:eastAsia="Calibri"/>
          <w:color w:val="000000" w:themeColor="text1"/>
          <w:lang w:eastAsia="ru-RU"/>
        </w:rPr>
        <w:t xml:space="preserve">действующего и </w:t>
      </w:r>
      <w:r w:rsidRPr="00BB6CED">
        <w:rPr>
          <w:rFonts w:eastAsia="Calibri"/>
          <w:color w:val="000000" w:themeColor="text1"/>
          <w:lang w:eastAsia="ru-RU"/>
        </w:rPr>
        <w:t xml:space="preserve">вспомогательных веществ референтному препарату </w:t>
      </w:r>
      <w:r>
        <w:rPr>
          <w:lang w:eastAsia="ru-RU"/>
        </w:rPr>
        <w:t>Ленвима</w:t>
      </w:r>
      <w:r w:rsidRPr="001C6A4E">
        <w:rPr>
          <w:vertAlign w:val="superscript"/>
          <w:lang w:eastAsia="ru-RU"/>
        </w:rPr>
        <w:t>®</w:t>
      </w:r>
      <w:r w:rsidRPr="009A45DD">
        <w:rPr>
          <w:lang w:eastAsia="ru-RU"/>
        </w:rPr>
        <w:t xml:space="preserve">, </w:t>
      </w:r>
      <w:r>
        <w:rPr>
          <w:bCs/>
          <w:lang w:eastAsia="ru-RU"/>
        </w:rPr>
        <w:t>капсулы</w:t>
      </w:r>
      <w:r w:rsidRPr="009A45DD">
        <w:rPr>
          <w:bCs/>
          <w:lang w:eastAsia="ru-RU"/>
        </w:rPr>
        <w:t xml:space="preserve">, </w:t>
      </w:r>
      <w:r>
        <w:rPr>
          <w:bCs/>
          <w:lang w:eastAsia="ru-RU"/>
        </w:rPr>
        <w:t>4</w:t>
      </w:r>
      <w:r w:rsidRPr="009A45DD">
        <w:rPr>
          <w:bCs/>
          <w:lang w:eastAsia="ru-RU"/>
        </w:rPr>
        <w:t xml:space="preserve"> мг</w:t>
      </w:r>
      <w:r>
        <w:rPr>
          <w:bCs/>
          <w:lang w:eastAsia="ru-RU"/>
        </w:rPr>
        <w:t xml:space="preserve"> и 10 мг</w:t>
      </w:r>
      <w:r w:rsidR="00201FA0">
        <w:rPr>
          <w:bCs/>
          <w:lang w:eastAsia="ru-RU"/>
        </w:rPr>
        <w:t>, соответственно</w:t>
      </w:r>
      <w:r w:rsidRPr="009A45DD">
        <w:rPr>
          <w:rFonts w:eastAsia="Calibri"/>
        </w:rPr>
        <w:t xml:space="preserve"> </w:t>
      </w:r>
      <w:r w:rsidRPr="009A45DD">
        <w:rPr>
          <w:color w:val="000000"/>
        </w:rPr>
        <w:t>(</w:t>
      </w:r>
      <w:r w:rsidRPr="002F053D">
        <w:rPr>
          <w:bCs/>
          <w:lang w:eastAsia="ru-RU"/>
        </w:rPr>
        <w:t>Эйсай Юроп Лимитед, Соединенное Королевство</w:t>
      </w:r>
      <w:r w:rsidRPr="009A45DD">
        <w:rPr>
          <w:color w:val="000000"/>
        </w:rPr>
        <w:t>)</w:t>
      </w:r>
      <w:r>
        <w:rPr>
          <w:bCs/>
          <w:lang w:eastAsia="ru-RU"/>
        </w:rPr>
        <w:t xml:space="preserve"> </w:t>
      </w:r>
      <w:r w:rsidRPr="00BB6CED">
        <w:rPr>
          <w:color w:val="000000" w:themeColor="text1"/>
        </w:rPr>
        <w:t>(</w:t>
      </w:r>
      <w:r w:rsidRPr="00BB6CED">
        <w:rPr>
          <w:rFonts w:eastAsiaTheme="minorHAnsi"/>
          <w:color w:val="000000" w:themeColor="text1"/>
          <w:lang w:eastAsia="en-US"/>
        </w:rPr>
        <w:t>табл. 2-2).</w:t>
      </w:r>
    </w:p>
    <w:p w14:paraId="4AC4059F" w14:textId="6BA3FC3D" w:rsidR="00201FA0" w:rsidRDefault="00201FA0" w:rsidP="00F527EB">
      <w:pPr>
        <w:ind w:firstLine="709"/>
        <w:rPr>
          <w:rFonts w:eastAsiaTheme="minorHAnsi"/>
          <w:color w:val="000000" w:themeColor="text1"/>
          <w:lang w:eastAsia="en-US"/>
        </w:rPr>
      </w:pPr>
    </w:p>
    <w:p w14:paraId="0D109C96" w14:textId="3A2BA609" w:rsidR="00201FA0" w:rsidRPr="00201FA0" w:rsidRDefault="00201FA0" w:rsidP="00201FA0">
      <w:pPr>
        <w:rPr>
          <w:rFonts w:eastAsia="Times New Roman"/>
          <w:lang w:eastAsia="ru-RU"/>
        </w:rPr>
      </w:pPr>
      <w:r>
        <w:rPr>
          <w:b/>
        </w:rPr>
        <w:t>Таблица 2-2.</w:t>
      </w:r>
      <w:r>
        <w:t xml:space="preserve"> Сопоставление составов препарата </w:t>
      </w:r>
      <w:r>
        <w:rPr>
          <w:rFonts w:eastAsiaTheme="minorHAnsi"/>
          <w:color w:val="000000" w:themeColor="text1"/>
          <w:lang w:eastAsia="en-US"/>
        </w:rPr>
        <w:t>DT-</w:t>
      </w:r>
      <w:r>
        <w:rPr>
          <w:rFonts w:eastAsiaTheme="minorHAnsi"/>
          <w:color w:val="000000" w:themeColor="text1"/>
          <w:lang w:val="en-US" w:eastAsia="en-US"/>
        </w:rPr>
        <w:t>LNV</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Pr>
          <w:color w:val="000000" w:themeColor="text1"/>
        </w:rPr>
        <w:t>Ленвима</w:t>
      </w:r>
      <w:r w:rsidRPr="00ED15AE">
        <w:rPr>
          <w:color w:val="000000" w:themeColor="text1"/>
          <w:vertAlign w:val="superscript"/>
        </w:rPr>
        <w:t>®</w:t>
      </w:r>
      <w:r w:rsidRPr="00ED15AE">
        <w:rPr>
          <w:color w:val="000000" w:themeColor="text1"/>
        </w:rPr>
        <w:t xml:space="preserve"> (</w:t>
      </w:r>
      <w:r w:rsidRPr="002F053D">
        <w:rPr>
          <w:bCs/>
          <w:lang w:eastAsia="ru-RU"/>
        </w:rPr>
        <w:t>Эйсай Юроп Лимитед, Соединенное Королевство</w:t>
      </w:r>
      <w:r w:rsidRPr="00ED15AE">
        <w:rPr>
          <w:color w:val="000000" w:themeColor="text1"/>
        </w:rPr>
        <w:t>)</w:t>
      </w:r>
      <w:r>
        <w:rPr>
          <w:color w:val="000000" w:themeColor="text1"/>
        </w:rPr>
        <w:t xml:space="preserve"> в дозировках 4 мг и 10 мг.</w:t>
      </w:r>
      <w:r>
        <w:rPr>
          <w:lang w:eastAsia="ru-RU"/>
        </w:rPr>
        <w:t xml:space="preserve"> </w:t>
      </w:r>
    </w:p>
    <w:tbl>
      <w:tblPr>
        <w:tblW w:w="93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57"/>
        <w:gridCol w:w="1227"/>
        <w:gridCol w:w="1311"/>
        <w:gridCol w:w="1302"/>
        <w:gridCol w:w="1346"/>
      </w:tblGrid>
      <w:tr w:rsidR="00201FA0" w14:paraId="590405A3" w14:textId="77777777" w:rsidTr="00B900DC">
        <w:trPr>
          <w:tblHeader/>
        </w:trPr>
        <w:tc>
          <w:tcPr>
            <w:tcW w:w="4157"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88260B1" w14:textId="77777777" w:rsidR="00201FA0" w:rsidRDefault="00201FA0" w:rsidP="00201FA0">
            <w:pPr>
              <w:jc w:val="center"/>
              <w:rPr>
                <w:b/>
              </w:rPr>
            </w:pPr>
            <w:r>
              <w:rPr>
                <w:b/>
              </w:rPr>
              <w:t>Компонент</w:t>
            </w:r>
          </w:p>
        </w:tc>
        <w:tc>
          <w:tcPr>
            <w:tcW w:w="5186"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C41270" w14:textId="77777777" w:rsidR="00201FA0" w:rsidRDefault="00201FA0" w:rsidP="00201FA0">
            <w:pPr>
              <w:tabs>
                <w:tab w:val="left" w:pos="6804"/>
              </w:tabs>
              <w:jc w:val="center"/>
              <w:rPr>
                <w:b/>
                <w:color w:val="000000"/>
              </w:rPr>
            </w:pPr>
            <w:r>
              <w:rPr>
                <w:b/>
                <w:color w:val="000000"/>
              </w:rPr>
              <w:t>Дозировка</w:t>
            </w:r>
          </w:p>
        </w:tc>
      </w:tr>
      <w:tr w:rsidR="00201FA0" w14:paraId="06F25968" w14:textId="77777777" w:rsidTr="00B900DC">
        <w:trPr>
          <w:tblHeader/>
        </w:trPr>
        <w:tc>
          <w:tcPr>
            <w:tcW w:w="4157" w:type="dxa"/>
            <w:vMerge/>
            <w:tcBorders>
              <w:left w:val="single" w:sz="4" w:space="0" w:color="auto"/>
              <w:right w:val="single" w:sz="4" w:space="0" w:color="auto"/>
            </w:tcBorders>
            <w:shd w:val="clear" w:color="auto" w:fill="D9D9D9" w:themeFill="background1" w:themeFillShade="D9"/>
            <w:vAlign w:val="center"/>
            <w:hideMark/>
          </w:tcPr>
          <w:p w14:paraId="0A592BD7" w14:textId="77777777" w:rsidR="00201FA0" w:rsidRDefault="00201FA0" w:rsidP="00201FA0">
            <w:pPr>
              <w:jc w:val="center"/>
              <w:rPr>
                <w:b/>
                <w:lang w:eastAsia="en-US"/>
              </w:rPr>
            </w:pPr>
          </w:p>
        </w:tc>
        <w:tc>
          <w:tcPr>
            <w:tcW w:w="253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F3809E" w14:textId="1321CEBF" w:rsidR="00201FA0" w:rsidRDefault="00201FA0" w:rsidP="00201FA0">
            <w:pPr>
              <w:tabs>
                <w:tab w:val="left" w:pos="6804"/>
              </w:tabs>
              <w:jc w:val="center"/>
              <w:rPr>
                <w:b/>
                <w:color w:val="000000"/>
              </w:rPr>
            </w:pPr>
            <w:r>
              <w:rPr>
                <w:b/>
                <w:color w:val="000000"/>
                <w:lang w:val="en-US"/>
              </w:rPr>
              <w:t>4</w:t>
            </w:r>
            <w:r>
              <w:rPr>
                <w:b/>
                <w:color w:val="000000"/>
              </w:rPr>
              <w:t xml:space="preserve"> мг</w:t>
            </w:r>
          </w:p>
        </w:tc>
        <w:tc>
          <w:tcPr>
            <w:tcW w:w="264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99F901" w14:textId="000CE36F" w:rsidR="00201FA0" w:rsidRDefault="00201FA0" w:rsidP="00201FA0">
            <w:pPr>
              <w:tabs>
                <w:tab w:val="left" w:pos="6804"/>
              </w:tabs>
              <w:jc w:val="center"/>
              <w:rPr>
                <w:b/>
                <w:color w:val="000000"/>
              </w:rPr>
            </w:pPr>
            <w:r>
              <w:rPr>
                <w:b/>
                <w:color w:val="000000"/>
                <w:lang w:val="en-US"/>
              </w:rPr>
              <w:t>1</w:t>
            </w:r>
            <w:r>
              <w:rPr>
                <w:b/>
                <w:color w:val="000000"/>
              </w:rPr>
              <w:t>0 мг</w:t>
            </w:r>
          </w:p>
        </w:tc>
      </w:tr>
      <w:tr w:rsidR="00201FA0" w14:paraId="3BF2AAE9" w14:textId="77777777" w:rsidTr="00B900DC">
        <w:trPr>
          <w:tblHeader/>
        </w:trPr>
        <w:tc>
          <w:tcPr>
            <w:tcW w:w="4157"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A5CAD8C" w14:textId="77777777" w:rsidR="00201FA0" w:rsidRDefault="00201FA0" w:rsidP="00201FA0">
            <w:pPr>
              <w:jc w:val="center"/>
              <w:rPr>
                <w:b/>
              </w:rPr>
            </w:pPr>
          </w:p>
        </w:tc>
        <w:tc>
          <w:tcPr>
            <w:tcW w:w="122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07A8143" w14:textId="788A72D3" w:rsidR="00201FA0" w:rsidRPr="00201FA0" w:rsidRDefault="00201FA0" w:rsidP="00201FA0">
            <w:pPr>
              <w:tabs>
                <w:tab w:val="left" w:pos="6804"/>
              </w:tabs>
              <w:jc w:val="center"/>
              <w:rPr>
                <w:b/>
                <w:color w:val="000000"/>
                <w:lang w:val="en-US"/>
              </w:rPr>
            </w:pPr>
            <w:r>
              <w:rPr>
                <w:rFonts w:eastAsiaTheme="minorHAnsi"/>
                <w:b/>
                <w:color w:val="000000" w:themeColor="text1"/>
                <w:lang w:eastAsia="en-US"/>
              </w:rPr>
              <w:t>DT-</w:t>
            </w:r>
            <w:r>
              <w:rPr>
                <w:rFonts w:eastAsiaTheme="minorHAnsi"/>
                <w:b/>
                <w:color w:val="000000" w:themeColor="text1"/>
                <w:lang w:val="en-US" w:eastAsia="en-US"/>
              </w:rPr>
              <w:t>LNV</w:t>
            </w:r>
          </w:p>
        </w:tc>
        <w:tc>
          <w:tcPr>
            <w:tcW w:w="131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6BDEA64" w14:textId="3644116E" w:rsidR="00201FA0" w:rsidRPr="00243565" w:rsidRDefault="00201FA0" w:rsidP="00201FA0">
            <w:pPr>
              <w:tabs>
                <w:tab w:val="left" w:pos="6804"/>
              </w:tabs>
              <w:jc w:val="center"/>
              <w:rPr>
                <w:b/>
                <w:color w:val="000000"/>
              </w:rPr>
            </w:pPr>
            <w:r>
              <w:rPr>
                <w:b/>
                <w:color w:val="000000" w:themeColor="text1"/>
              </w:rPr>
              <w:t>Ленвима</w:t>
            </w:r>
            <w:r w:rsidRPr="00243565">
              <w:rPr>
                <w:b/>
                <w:color w:val="000000" w:themeColor="text1"/>
                <w:vertAlign w:val="superscript"/>
              </w:rPr>
              <w:t>®</w:t>
            </w:r>
          </w:p>
        </w:tc>
        <w:tc>
          <w:tcPr>
            <w:tcW w:w="13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ED5CC54" w14:textId="395E884F" w:rsidR="00201FA0" w:rsidRPr="00201FA0" w:rsidRDefault="00201FA0" w:rsidP="00201FA0">
            <w:pPr>
              <w:tabs>
                <w:tab w:val="left" w:pos="6804"/>
              </w:tabs>
              <w:jc w:val="center"/>
              <w:rPr>
                <w:b/>
                <w:color w:val="000000"/>
                <w:lang w:val="en-US"/>
              </w:rPr>
            </w:pPr>
            <w:r>
              <w:rPr>
                <w:rFonts w:eastAsiaTheme="minorHAnsi"/>
                <w:b/>
                <w:color w:val="000000" w:themeColor="text1"/>
                <w:lang w:eastAsia="en-US"/>
              </w:rPr>
              <w:t>DT-</w:t>
            </w:r>
            <w:r>
              <w:rPr>
                <w:rFonts w:eastAsiaTheme="minorHAnsi"/>
                <w:b/>
                <w:color w:val="000000" w:themeColor="text1"/>
                <w:lang w:val="en-US" w:eastAsia="en-US"/>
              </w:rPr>
              <w:t>LNV</w:t>
            </w:r>
          </w:p>
        </w:tc>
        <w:tc>
          <w:tcPr>
            <w:tcW w:w="134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0C8FBA" w14:textId="1A2AB09F" w:rsidR="00201FA0" w:rsidRPr="00243565" w:rsidRDefault="00201FA0" w:rsidP="00201FA0">
            <w:pPr>
              <w:tabs>
                <w:tab w:val="left" w:pos="6804"/>
              </w:tabs>
              <w:jc w:val="center"/>
              <w:rPr>
                <w:b/>
                <w:color w:val="000000"/>
              </w:rPr>
            </w:pPr>
            <w:r>
              <w:rPr>
                <w:b/>
                <w:color w:val="000000" w:themeColor="text1"/>
              </w:rPr>
              <w:t>Ленвима</w:t>
            </w:r>
            <w:r w:rsidRPr="00243565">
              <w:rPr>
                <w:b/>
                <w:color w:val="000000" w:themeColor="text1"/>
                <w:vertAlign w:val="superscript"/>
              </w:rPr>
              <w:t>®</w:t>
            </w:r>
          </w:p>
        </w:tc>
      </w:tr>
      <w:tr w:rsidR="00201FA0" w14:paraId="53892B69" w14:textId="77777777" w:rsidTr="00B900DC">
        <w:tc>
          <w:tcPr>
            <w:tcW w:w="4157" w:type="dxa"/>
            <w:tcBorders>
              <w:top w:val="single" w:sz="4" w:space="0" w:color="auto"/>
              <w:left w:val="single" w:sz="4" w:space="0" w:color="auto"/>
              <w:bottom w:val="single" w:sz="4" w:space="0" w:color="auto"/>
              <w:right w:val="single" w:sz="4" w:space="0" w:color="auto"/>
            </w:tcBorders>
            <w:vAlign w:val="center"/>
            <w:hideMark/>
          </w:tcPr>
          <w:p w14:paraId="67938C67" w14:textId="77777777" w:rsidR="00201FA0" w:rsidRDefault="00201FA0" w:rsidP="00201FA0">
            <w:pPr>
              <w:rPr>
                <w:rFonts w:eastAsia="Times New Roman"/>
                <w:lang w:eastAsia="en-US"/>
              </w:rPr>
            </w:pPr>
            <w:r>
              <w:rPr>
                <w:i/>
                <w:color w:val="000000"/>
              </w:rPr>
              <w:t>Действующее вещество:</w:t>
            </w:r>
          </w:p>
        </w:tc>
        <w:tc>
          <w:tcPr>
            <w:tcW w:w="1227" w:type="dxa"/>
            <w:tcBorders>
              <w:top w:val="single" w:sz="6" w:space="0" w:color="auto"/>
              <w:left w:val="single" w:sz="6" w:space="0" w:color="auto"/>
              <w:bottom w:val="single" w:sz="6" w:space="0" w:color="auto"/>
              <w:right w:val="single" w:sz="6" w:space="0" w:color="auto"/>
            </w:tcBorders>
          </w:tcPr>
          <w:p w14:paraId="227E2A81" w14:textId="77777777" w:rsidR="00201FA0" w:rsidRDefault="00201FA0" w:rsidP="00201FA0">
            <w:pPr>
              <w:tabs>
                <w:tab w:val="left" w:pos="6804"/>
              </w:tabs>
              <w:jc w:val="center"/>
              <w:rPr>
                <w:b/>
                <w:color w:val="000000"/>
              </w:rPr>
            </w:pPr>
          </w:p>
        </w:tc>
        <w:tc>
          <w:tcPr>
            <w:tcW w:w="1311" w:type="dxa"/>
            <w:tcBorders>
              <w:top w:val="single" w:sz="6" w:space="0" w:color="auto"/>
              <w:left w:val="single" w:sz="6" w:space="0" w:color="auto"/>
              <w:bottom w:val="single" w:sz="6" w:space="0" w:color="auto"/>
              <w:right w:val="single" w:sz="6" w:space="0" w:color="auto"/>
            </w:tcBorders>
            <w:vAlign w:val="center"/>
          </w:tcPr>
          <w:p w14:paraId="5D315D98" w14:textId="77777777" w:rsidR="00201FA0" w:rsidRDefault="00201FA0" w:rsidP="00201FA0">
            <w:pPr>
              <w:tabs>
                <w:tab w:val="left" w:pos="6804"/>
              </w:tabs>
              <w:jc w:val="center"/>
              <w:rPr>
                <w:b/>
                <w:color w:val="000000"/>
              </w:rPr>
            </w:pPr>
          </w:p>
        </w:tc>
        <w:tc>
          <w:tcPr>
            <w:tcW w:w="1302" w:type="dxa"/>
            <w:tcBorders>
              <w:top w:val="single" w:sz="6" w:space="0" w:color="auto"/>
              <w:left w:val="single" w:sz="6" w:space="0" w:color="auto"/>
              <w:bottom w:val="single" w:sz="6" w:space="0" w:color="auto"/>
              <w:right w:val="single" w:sz="6" w:space="0" w:color="auto"/>
            </w:tcBorders>
          </w:tcPr>
          <w:p w14:paraId="49E07C0A" w14:textId="77777777" w:rsidR="00201FA0" w:rsidRDefault="00201FA0" w:rsidP="00201FA0">
            <w:pPr>
              <w:tabs>
                <w:tab w:val="left" w:pos="6804"/>
              </w:tabs>
              <w:jc w:val="center"/>
              <w:rPr>
                <w:b/>
                <w:color w:val="000000"/>
              </w:rPr>
            </w:pPr>
          </w:p>
        </w:tc>
        <w:tc>
          <w:tcPr>
            <w:tcW w:w="1346" w:type="dxa"/>
            <w:tcBorders>
              <w:top w:val="single" w:sz="6" w:space="0" w:color="auto"/>
              <w:left w:val="single" w:sz="6" w:space="0" w:color="auto"/>
              <w:bottom w:val="single" w:sz="6" w:space="0" w:color="auto"/>
              <w:right w:val="single" w:sz="6" w:space="0" w:color="auto"/>
            </w:tcBorders>
            <w:vAlign w:val="center"/>
          </w:tcPr>
          <w:p w14:paraId="44037415" w14:textId="77777777" w:rsidR="00201FA0" w:rsidRDefault="00201FA0" w:rsidP="00201FA0">
            <w:pPr>
              <w:tabs>
                <w:tab w:val="left" w:pos="6804"/>
              </w:tabs>
              <w:jc w:val="center"/>
              <w:rPr>
                <w:b/>
                <w:color w:val="000000"/>
              </w:rPr>
            </w:pPr>
          </w:p>
        </w:tc>
      </w:tr>
      <w:tr w:rsidR="00201FA0" w14:paraId="44F88F56" w14:textId="77777777" w:rsidTr="00B900DC">
        <w:tc>
          <w:tcPr>
            <w:tcW w:w="4157" w:type="dxa"/>
            <w:tcBorders>
              <w:top w:val="single" w:sz="4" w:space="0" w:color="auto"/>
              <w:left w:val="single" w:sz="4" w:space="0" w:color="auto"/>
              <w:bottom w:val="single" w:sz="4" w:space="0" w:color="auto"/>
              <w:right w:val="single" w:sz="4" w:space="0" w:color="auto"/>
            </w:tcBorders>
            <w:vAlign w:val="center"/>
            <w:hideMark/>
          </w:tcPr>
          <w:p w14:paraId="0AAC83E1" w14:textId="77777777" w:rsidR="00201FA0" w:rsidRPr="00F527EB" w:rsidRDefault="00201FA0" w:rsidP="00201FA0">
            <w:pPr>
              <w:ind w:firstLine="318"/>
              <w:jc w:val="left"/>
              <w:rPr>
                <w:rFonts w:eastAsia="Calibri"/>
              </w:rPr>
            </w:pPr>
            <w:r w:rsidRPr="00F527EB">
              <w:t>Ленватиниба мезилат</w:t>
            </w:r>
            <w:r w:rsidRPr="00F527EB">
              <w:rPr>
                <w:rFonts w:eastAsia="Calibri"/>
              </w:rPr>
              <w:t xml:space="preserve"> </w:t>
            </w:r>
          </w:p>
          <w:p w14:paraId="5053368E" w14:textId="174BF75A" w:rsidR="00201FA0" w:rsidRDefault="00201FA0" w:rsidP="00201FA0">
            <w:pPr>
              <w:tabs>
                <w:tab w:val="left" w:pos="6804"/>
              </w:tabs>
              <w:ind w:left="313"/>
              <w:rPr>
                <w:color w:val="000000"/>
              </w:rPr>
            </w:pPr>
            <w:r w:rsidRPr="00F527EB">
              <w:rPr>
                <w:rFonts w:eastAsia="Calibri"/>
              </w:rPr>
              <w:t xml:space="preserve">в пересчете на </w:t>
            </w:r>
            <w:r w:rsidRPr="00F527EB">
              <w:t>ленватиниб</w:t>
            </w:r>
          </w:p>
        </w:tc>
        <w:tc>
          <w:tcPr>
            <w:tcW w:w="1227" w:type="dxa"/>
            <w:tcBorders>
              <w:top w:val="single" w:sz="4" w:space="0" w:color="auto"/>
              <w:left w:val="single" w:sz="4" w:space="0" w:color="auto"/>
              <w:bottom w:val="single" w:sz="4" w:space="0" w:color="auto"/>
              <w:right w:val="single" w:sz="4" w:space="0" w:color="auto"/>
            </w:tcBorders>
          </w:tcPr>
          <w:p w14:paraId="717CB5A8" w14:textId="77777777" w:rsidR="00201FA0" w:rsidRPr="00F527EB" w:rsidRDefault="00201FA0" w:rsidP="00201FA0">
            <w:pPr>
              <w:jc w:val="center"/>
              <w:rPr>
                <w:rFonts w:eastAsia="Calibri"/>
              </w:rPr>
            </w:pPr>
            <w:r w:rsidRPr="00F527EB">
              <w:rPr>
                <w:rFonts w:eastAsia="Calibri"/>
              </w:rPr>
              <w:t>4,90 мг</w:t>
            </w:r>
          </w:p>
          <w:p w14:paraId="2360D681" w14:textId="5851F19B" w:rsidR="00201FA0" w:rsidRDefault="00201FA0" w:rsidP="00201FA0">
            <w:pPr>
              <w:jc w:val="center"/>
              <w:rPr>
                <w:color w:val="000000"/>
              </w:rPr>
            </w:pPr>
            <w:r w:rsidRPr="00F527EB">
              <w:rPr>
                <w:rFonts w:eastAsia="Calibri"/>
              </w:rPr>
              <w:t>4,00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3FC9B0A7" w14:textId="77777777" w:rsidR="00201FA0" w:rsidRPr="00F527EB" w:rsidRDefault="00201FA0" w:rsidP="00201FA0">
            <w:pPr>
              <w:jc w:val="center"/>
              <w:rPr>
                <w:rFonts w:eastAsia="Calibri"/>
              </w:rPr>
            </w:pPr>
            <w:r w:rsidRPr="00F527EB">
              <w:rPr>
                <w:rFonts w:eastAsia="Calibri"/>
              </w:rPr>
              <w:t>4,90 мг</w:t>
            </w:r>
          </w:p>
          <w:p w14:paraId="5511E270" w14:textId="378AC964" w:rsidR="00201FA0" w:rsidRDefault="00201FA0" w:rsidP="00201FA0">
            <w:pPr>
              <w:jc w:val="center"/>
              <w:rPr>
                <w:color w:val="000000"/>
              </w:rPr>
            </w:pPr>
            <w:r w:rsidRPr="00F527EB">
              <w:rPr>
                <w:rFonts w:eastAsia="Calibri"/>
              </w:rPr>
              <w:t>4,00 мг</w:t>
            </w:r>
          </w:p>
        </w:tc>
        <w:tc>
          <w:tcPr>
            <w:tcW w:w="1302" w:type="dxa"/>
            <w:tcBorders>
              <w:top w:val="single" w:sz="4" w:space="0" w:color="auto"/>
              <w:left w:val="single" w:sz="4" w:space="0" w:color="auto"/>
              <w:bottom w:val="single" w:sz="4" w:space="0" w:color="auto"/>
              <w:right w:val="single" w:sz="4" w:space="0" w:color="auto"/>
            </w:tcBorders>
          </w:tcPr>
          <w:p w14:paraId="08D8F8BA" w14:textId="77777777" w:rsidR="00201FA0" w:rsidRPr="00F527EB" w:rsidRDefault="00201FA0" w:rsidP="00201FA0">
            <w:pPr>
              <w:jc w:val="center"/>
            </w:pPr>
            <w:r w:rsidRPr="00F527EB">
              <w:t>12,25 мг</w:t>
            </w:r>
          </w:p>
          <w:p w14:paraId="2A28B8C8" w14:textId="06CAB0BF" w:rsidR="00201FA0" w:rsidRDefault="00201FA0" w:rsidP="00201FA0">
            <w:pPr>
              <w:jc w:val="center"/>
              <w:rPr>
                <w:color w:val="000000"/>
              </w:rPr>
            </w:pPr>
            <w:r w:rsidRPr="00F527EB">
              <w:t>10,00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0E9E489" w14:textId="77777777" w:rsidR="00201FA0" w:rsidRPr="00F527EB" w:rsidRDefault="00201FA0" w:rsidP="00201FA0">
            <w:pPr>
              <w:jc w:val="center"/>
            </w:pPr>
            <w:r w:rsidRPr="00F527EB">
              <w:t>12,25 мг</w:t>
            </w:r>
          </w:p>
          <w:p w14:paraId="77459F2E" w14:textId="57F13D40" w:rsidR="00201FA0" w:rsidRDefault="00201FA0" w:rsidP="00201FA0">
            <w:pPr>
              <w:jc w:val="center"/>
              <w:rPr>
                <w:color w:val="000000"/>
              </w:rPr>
            </w:pPr>
            <w:r w:rsidRPr="00F527EB">
              <w:t>10,00 мг</w:t>
            </w:r>
          </w:p>
        </w:tc>
      </w:tr>
      <w:tr w:rsidR="00201FA0" w14:paraId="3AEB9E58" w14:textId="77777777" w:rsidTr="00B900DC">
        <w:tc>
          <w:tcPr>
            <w:tcW w:w="4157" w:type="dxa"/>
            <w:tcBorders>
              <w:top w:val="single" w:sz="4" w:space="0" w:color="auto"/>
              <w:left w:val="single" w:sz="4" w:space="0" w:color="auto"/>
              <w:bottom w:val="single" w:sz="4" w:space="0" w:color="auto"/>
              <w:right w:val="single" w:sz="4" w:space="0" w:color="auto"/>
            </w:tcBorders>
            <w:vAlign w:val="center"/>
            <w:hideMark/>
          </w:tcPr>
          <w:p w14:paraId="0E9FB82D" w14:textId="77777777" w:rsidR="00201FA0" w:rsidRDefault="00201FA0" w:rsidP="00201FA0">
            <w:pPr>
              <w:tabs>
                <w:tab w:val="left" w:pos="6804"/>
              </w:tabs>
              <w:rPr>
                <w:color w:val="000000"/>
              </w:rPr>
            </w:pPr>
            <w:r>
              <w:rPr>
                <w:i/>
                <w:color w:val="000000"/>
              </w:rPr>
              <w:t>Вспомогательные вещества:</w:t>
            </w:r>
          </w:p>
        </w:tc>
        <w:tc>
          <w:tcPr>
            <w:tcW w:w="1227" w:type="dxa"/>
            <w:tcBorders>
              <w:top w:val="single" w:sz="4" w:space="0" w:color="auto"/>
              <w:left w:val="single" w:sz="4" w:space="0" w:color="auto"/>
              <w:bottom w:val="single" w:sz="4" w:space="0" w:color="auto"/>
              <w:right w:val="single" w:sz="4" w:space="0" w:color="auto"/>
            </w:tcBorders>
          </w:tcPr>
          <w:p w14:paraId="20695956" w14:textId="77777777" w:rsidR="00201FA0" w:rsidRDefault="00201FA0" w:rsidP="00201FA0">
            <w:pPr>
              <w:jc w:val="center"/>
              <w:rPr>
                <w:color w:val="000000"/>
              </w:rPr>
            </w:pPr>
          </w:p>
        </w:tc>
        <w:tc>
          <w:tcPr>
            <w:tcW w:w="1311" w:type="dxa"/>
            <w:tcBorders>
              <w:top w:val="single" w:sz="4" w:space="0" w:color="auto"/>
              <w:left w:val="single" w:sz="4" w:space="0" w:color="auto"/>
              <w:bottom w:val="single" w:sz="4" w:space="0" w:color="auto"/>
              <w:right w:val="single" w:sz="4" w:space="0" w:color="auto"/>
            </w:tcBorders>
            <w:vAlign w:val="center"/>
          </w:tcPr>
          <w:p w14:paraId="0494FA8F" w14:textId="77777777" w:rsidR="00201FA0" w:rsidRDefault="00201FA0" w:rsidP="00201FA0">
            <w:pPr>
              <w:jc w:val="center"/>
              <w:rPr>
                <w:color w:val="000000"/>
              </w:rPr>
            </w:pPr>
          </w:p>
        </w:tc>
        <w:tc>
          <w:tcPr>
            <w:tcW w:w="1302" w:type="dxa"/>
            <w:tcBorders>
              <w:top w:val="single" w:sz="4" w:space="0" w:color="auto"/>
              <w:left w:val="single" w:sz="4" w:space="0" w:color="auto"/>
              <w:bottom w:val="single" w:sz="4" w:space="0" w:color="auto"/>
              <w:right w:val="single" w:sz="4" w:space="0" w:color="auto"/>
            </w:tcBorders>
          </w:tcPr>
          <w:p w14:paraId="625CE9E8" w14:textId="77777777" w:rsidR="00201FA0" w:rsidRDefault="00201FA0" w:rsidP="00201FA0">
            <w:pPr>
              <w:jc w:val="center"/>
              <w:rPr>
                <w:color w:val="000000"/>
              </w:rPr>
            </w:pPr>
          </w:p>
        </w:tc>
        <w:tc>
          <w:tcPr>
            <w:tcW w:w="1346" w:type="dxa"/>
            <w:tcBorders>
              <w:top w:val="single" w:sz="4" w:space="0" w:color="auto"/>
              <w:left w:val="single" w:sz="4" w:space="0" w:color="auto"/>
              <w:bottom w:val="single" w:sz="4" w:space="0" w:color="auto"/>
              <w:right w:val="single" w:sz="4" w:space="0" w:color="auto"/>
            </w:tcBorders>
            <w:vAlign w:val="center"/>
          </w:tcPr>
          <w:p w14:paraId="21865EB2" w14:textId="77777777" w:rsidR="00201FA0" w:rsidRDefault="00201FA0" w:rsidP="00201FA0">
            <w:pPr>
              <w:jc w:val="center"/>
              <w:rPr>
                <w:color w:val="000000"/>
              </w:rPr>
            </w:pPr>
          </w:p>
        </w:tc>
      </w:tr>
      <w:tr w:rsidR="00564D93" w14:paraId="75B2D3A6"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7C265AF9" w14:textId="7BA577FC" w:rsidR="00564D93" w:rsidRDefault="00564D93" w:rsidP="00564D93">
            <w:pPr>
              <w:tabs>
                <w:tab w:val="left" w:pos="6804"/>
              </w:tabs>
              <w:ind w:left="313"/>
              <w:rPr>
                <w:color w:val="000000"/>
              </w:rPr>
            </w:pPr>
            <w:r w:rsidRPr="00F527EB">
              <w:rPr>
                <w:rFonts w:eastAsia="Calibri"/>
              </w:rPr>
              <w:t>Кальция карбонат</w:t>
            </w:r>
          </w:p>
        </w:tc>
        <w:tc>
          <w:tcPr>
            <w:tcW w:w="1227" w:type="dxa"/>
            <w:tcBorders>
              <w:top w:val="single" w:sz="4" w:space="0" w:color="auto"/>
              <w:left w:val="single" w:sz="4" w:space="0" w:color="auto"/>
              <w:bottom w:val="single" w:sz="4" w:space="0" w:color="auto"/>
              <w:right w:val="single" w:sz="4" w:space="0" w:color="auto"/>
            </w:tcBorders>
            <w:vAlign w:val="center"/>
          </w:tcPr>
          <w:p w14:paraId="667D0DD2" w14:textId="0A0F847C" w:rsidR="00564D93" w:rsidRDefault="00564D93" w:rsidP="00564D93">
            <w:pPr>
              <w:jc w:val="center"/>
              <w:rPr>
                <w:color w:val="000000"/>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66882BCB" w14:textId="732ACF7C" w:rsidR="00564D93" w:rsidRDefault="00564D93" w:rsidP="00564D93">
            <w:pPr>
              <w:jc w:val="center"/>
              <w:rPr>
                <w:color w:val="000000"/>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c>
          <w:tcPr>
            <w:tcW w:w="1302" w:type="dxa"/>
            <w:tcBorders>
              <w:top w:val="single" w:sz="4" w:space="0" w:color="auto"/>
              <w:left w:val="single" w:sz="4" w:space="0" w:color="auto"/>
              <w:bottom w:val="single" w:sz="4" w:space="0" w:color="auto"/>
              <w:right w:val="single" w:sz="4" w:space="0" w:color="auto"/>
            </w:tcBorders>
            <w:vAlign w:val="center"/>
          </w:tcPr>
          <w:p w14:paraId="11050A47" w14:textId="3B3C0487" w:rsidR="00564D93" w:rsidRDefault="00564D93" w:rsidP="00564D93">
            <w:pPr>
              <w:jc w:val="center"/>
              <w:rPr>
                <w:color w:val="000000"/>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0967FF1E" w14:textId="7B09ADF9" w:rsidR="00564D93" w:rsidRDefault="00564D93" w:rsidP="00564D93">
            <w:pPr>
              <w:jc w:val="center"/>
              <w:rPr>
                <w:color w:val="000000"/>
              </w:rPr>
            </w:pPr>
            <w:r w:rsidRPr="00F527EB">
              <w:rPr>
                <w:rFonts w:eastAsia="Calibri"/>
                <w:lang w:val="en-US"/>
              </w:rPr>
              <w:t>33</w:t>
            </w:r>
            <w:r w:rsidRPr="00F527EB">
              <w:rPr>
                <w:rFonts w:eastAsia="Calibri"/>
              </w:rPr>
              <w:t>,</w:t>
            </w:r>
            <w:r w:rsidRPr="00F527EB">
              <w:rPr>
                <w:rFonts w:eastAsia="Calibri"/>
                <w:lang w:val="en-US"/>
              </w:rPr>
              <w:t>00</w:t>
            </w:r>
            <w:r w:rsidRPr="00F527EB">
              <w:rPr>
                <w:rFonts w:eastAsia="Calibri"/>
              </w:rPr>
              <w:t xml:space="preserve"> мг</w:t>
            </w:r>
          </w:p>
        </w:tc>
      </w:tr>
      <w:tr w:rsidR="00564D93" w14:paraId="26DB2617"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686E7885" w14:textId="0BF5E1A4" w:rsidR="00564D93" w:rsidRDefault="00564D93" w:rsidP="00564D93">
            <w:pPr>
              <w:tabs>
                <w:tab w:val="left" w:pos="6804"/>
              </w:tabs>
              <w:ind w:left="313"/>
              <w:rPr>
                <w:color w:val="000000"/>
              </w:rPr>
            </w:pPr>
            <w:r w:rsidRPr="00F527EB">
              <w:rPr>
                <w:rFonts w:eastAsia="Calibri"/>
              </w:rPr>
              <w:t>Маннитол</w:t>
            </w:r>
          </w:p>
        </w:tc>
        <w:tc>
          <w:tcPr>
            <w:tcW w:w="1227" w:type="dxa"/>
            <w:tcBorders>
              <w:top w:val="single" w:sz="4" w:space="0" w:color="auto"/>
              <w:left w:val="single" w:sz="4" w:space="0" w:color="auto"/>
              <w:bottom w:val="single" w:sz="4" w:space="0" w:color="auto"/>
              <w:right w:val="single" w:sz="4" w:space="0" w:color="auto"/>
            </w:tcBorders>
            <w:vAlign w:val="center"/>
          </w:tcPr>
          <w:p w14:paraId="711271D6" w14:textId="6F5B0329" w:rsidR="00564D93" w:rsidRDefault="00564D93" w:rsidP="00564D93">
            <w:pPr>
              <w:jc w:val="center"/>
              <w:rPr>
                <w:color w:val="000000"/>
              </w:rPr>
            </w:pPr>
            <w:r w:rsidRPr="00F527EB">
              <w:rPr>
                <w:rFonts w:eastAsia="Calibri"/>
                <w:lang w:val="en-US"/>
              </w:rPr>
              <w:t>16</w:t>
            </w:r>
            <w:r w:rsidRPr="00F527EB">
              <w:rPr>
                <w:rFonts w:eastAsia="Calibri"/>
              </w:rPr>
              <w:t>,</w:t>
            </w:r>
            <w:r w:rsidRPr="00F527EB">
              <w:rPr>
                <w:rFonts w:eastAsia="Calibri"/>
                <w:lang w:val="en-US"/>
              </w:rPr>
              <w:t>10</w:t>
            </w:r>
            <w:r w:rsidRPr="00F527EB">
              <w:rPr>
                <w:rFonts w:eastAsia="Calibri"/>
              </w:rPr>
              <w:t xml:space="preserve">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6BA611AE" w14:textId="1EB84A04" w:rsidR="00564D93" w:rsidRDefault="00564D93" w:rsidP="00564D93">
            <w:pPr>
              <w:jc w:val="center"/>
              <w:rPr>
                <w:color w:val="000000"/>
                <w:lang w:val="en-US"/>
              </w:rPr>
            </w:pPr>
            <w:r w:rsidRPr="00F527EB">
              <w:rPr>
                <w:rFonts w:eastAsia="Calibri"/>
                <w:lang w:val="en-US"/>
              </w:rPr>
              <w:t>16</w:t>
            </w:r>
            <w:r w:rsidRPr="00F527EB">
              <w:rPr>
                <w:rFonts w:eastAsia="Calibri"/>
              </w:rPr>
              <w:t>,</w:t>
            </w:r>
            <w:r w:rsidRPr="00F527EB">
              <w:rPr>
                <w:rFonts w:eastAsia="Calibri"/>
                <w:lang w:val="en-US"/>
              </w:rPr>
              <w:t>10</w:t>
            </w:r>
            <w:r w:rsidRPr="00F527EB">
              <w:rPr>
                <w:rFonts w:eastAsia="Calibri"/>
              </w:rPr>
              <w:t xml:space="preserve"> мг</w:t>
            </w:r>
          </w:p>
        </w:tc>
        <w:tc>
          <w:tcPr>
            <w:tcW w:w="1302" w:type="dxa"/>
            <w:tcBorders>
              <w:top w:val="single" w:sz="4" w:space="0" w:color="auto"/>
              <w:left w:val="single" w:sz="4" w:space="0" w:color="auto"/>
              <w:bottom w:val="single" w:sz="4" w:space="0" w:color="auto"/>
              <w:right w:val="single" w:sz="4" w:space="0" w:color="auto"/>
            </w:tcBorders>
            <w:vAlign w:val="center"/>
          </w:tcPr>
          <w:p w14:paraId="5D0132A0" w14:textId="2D240D6E" w:rsidR="00564D93" w:rsidRDefault="00564D93" w:rsidP="00564D93">
            <w:pPr>
              <w:jc w:val="center"/>
              <w:rPr>
                <w:color w:val="000000"/>
                <w:lang w:val="en-US"/>
              </w:rPr>
            </w:pPr>
            <w:r>
              <w:rPr>
                <w:rFonts w:eastAsia="Calibri"/>
              </w:rPr>
              <w:t>8,75</w:t>
            </w:r>
            <w:r w:rsidRPr="00F527EB">
              <w:rPr>
                <w:rFonts w:eastAsia="Calibri"/>
              </w:rPr>
              <w:t xml:space="preserve">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2000C0E" w14:textId="4423C6CC" w:rsidR="00564D93" w:rsidRDefault="00564D93" w:rsidP="00564D93">
            <w:pPr>
              <w:jc w:val="center"/>
              <w:rPr>
                <w:color w:val="000000"/>
                <w:lang w:val="en-US"/>
              </w:rPr>
            </w:pPr>
            <w:r>
              <w:rPr>
                <w:rFonts w:eastAsia="Calibri"/>
              </w:rPr>
              <w:t>8,75</w:t>
            </w:r>
            <w:r w:rsidRPr="00F527EB">
              <w:rPr>
                <w:rFonts w:eastAsia="Calibri"/>
              </w:rPr>
              <w:t xml:space="preserve"> мг</w:t>
            </w:r>
          </w:p>
        </w:tc>
      </w:tr>
      <w:tr w:rsidR="00B900DC" w14:paraId="7F0B755B"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40511241" w14:textId="66F82BBA" w:rsidR="00B900DC" w:rsidRDefault="00B900DC" w:rsidP="00B900DC">
            <w:pPr>
              <w:tabs>
                <w:tab w:val="left" w:pos="6804"/>
              </w:tabs>
              <w:ind w:left="313"/>
              <w:rPr>
                <w:color w:val="000000"/>
              </w:rPr>
            </w:pPr>
            <w:r w:rsidRPr="00F527EB">
              <w:rPr>
                <w:lang w:eastAsia="x-none"/>
              </w:rPr>
              <w:lastRenderedPageBreak/>
              <w:t>Целлюлоза микрокристаллическая</w:t>
            </w:r>
            <w:r w:rsidRPr="00F527EB" w:rsidDel="00AD5A18">
              <w:rPr>
                <w:lang w:eastAsia="x-none"/>
              </w:rPr>
              <w:t xml:space="preserve"> </w:t>
            </w:r>
            <w:r w:rsidRPr="00F527EB">
              <w:rPr>
                <w:lang w:eastAsia="x-none"/>
              </w:rPr>
              <w:t>тип 101</w:t>
            </w:r>
            <w:r>
              <w:rPr>
                <w:lang w:eastAsia="x-none"/>
              </w:rPr>
              <w:t>*</w:t>
            </w:r>
          </w:p>
        </w:tc>
        <w:tc>
          <w:tcPr>
            <w:tcW w:w="1227" w:type="dxa"/>
            <w:tcBorders>
              <w:top w:val="single" w:sz="4" w:space="0" w:color="auto"/>
              <w:left w:val="single" w:sz="4" w:space="0" w:color="auto"/>
              <w:bottom w:val="single" w:sz="4" w:space="0" w:color="auto"/>
              <w:right w:val="single" w:sz="4" w:space="0" w:color="auto"/>
            </w:tcBorders>
            <w:vAlign w:val="center"/>
          </w:tcPr>
          <w:p w14:paraId="01360F8C" w14:textId="24EA5FEF" w:rsidR="00B900DC" w:rsidRDefault="00B900DC" w:rsidP="00B900DC">
            <w:pPr>
              <w:jc w:val="center"/>
              <w:rPr>
                <w:color w:val="000000"/>
                <w:lang w:val="en-US"/>
              </w:rPr>
            </w:pPr>
            <w:r w:rsidRPr="00F527EB">
              <w:rPr>
                <w:rFonts w:eastAsia="Calibri"/>
                <w:lang w:val="en-US"/>
              </w:rPr>
              <w:t>10</w:t>
            </w:r>
            <w:r w:rsidRPr="00F527EB">
              <w:rPr>
                <w:rFonts w:eastAsia="Calibri"/>
              </w:rPr>
              <w:t>,00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11FF2FB9" w14:textId="68EB8E1F" w:rsidR="00B900DC" w:rsidRPr="00B900DC" w:rsidRDefault="00B900DC" w:rsidP="00B900DC">
            <w:pPr>
              <w:jc w:val="center"/>
              <w:rPr>
                <w:color w:val="000000"/>
              </w:rPr>
            </w:pPr>
            <w:r>
              <w:rPr>
                <w:color w:val="000000"/>
              </w:rPr>
              <w:t>-</w:t>
            </w:r>
          </w:p>
        </w:tc>
        <w:tc>
          <w:tcPr>
            <w:tcW w:w="1302" w:type="dxa"/>
            <w:tcBorders>
              <w:top w:val="single" w:sz="4" w:space="0" w:color="auto"/>
              <w:left w:val="single" w:sz="4" w:space="0" w:color="auto"/>
              <w:bottom w:val="single" w:sz="4" w:space="0" w:color="auto"/>
              <w:right w:val="single" w:sz="4" w:space="0" w:color="auto"/>
            </w:tcBorders>
            <w:vAlign w:val="center"/>
          </w:tcPr>
          <w:p w14:paraId="05D69917" w14:textId="517DCB80" w:rsidR="00B900DC" w:rsidRDefault="00B900DC" w:rsidP="00B900DC">
            <w:pPr>
              <w:jc w:val="center"/>
              <w:rPr>
                <w:color w:val="000000"/>
                <w:lang w:val="en-US"/>
              </w:rPr>
            </w:pPr>
            <w:r w:rsidRPr="00F527EB">
              <w:rPr>
                <w:rFonts w:eastAsia="Calibri"/>
                <w:lang w:val="en-US"/>
              </w:rPr>
              <w:t>10</w:t>
            </w:r>
            <w:r w:rsidRPr="00F527EB">
              <w:rPr>
                <w:rFonts w:eastAsia="Calibri"/>
              </w:rPr>
              <w:t>,00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14BBADE9" w14:textId="4D781167" w:rsidR="00B900DC" w:rsidRPr="00B900DC" w:rsidRDefault="00B900DC" w:rsidP="00B900DC">
            <w:pPr>
              <w:jc w:val="center"/>
              <w:rPr>
                <w:color w:val="000000"/>
              </w:rPr>
            </w:pPr>
            <w:r>
              <w:rPr>
                <w:color w:val="000000"/>
              </w:rPr>
              <w:t>-</w:t>
            </w:r>
          </w:p>
        </w:tc>
      </w:tr>
      <w:tr w:rsidR="00B900DC" w14:paraId="3CABC9E6"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75A224F8" w14:textId="3A5B1802" w:rsidR="00B900DC" w:rsidRDefault="00B900DC" w:rsidP="00B900DC">
            <w:pPr>
              <w:tabs>
                <w:tab w:val="left" w:pos="6804"/>
              </w:tabs>
              <w:ind w:left="313"/>
              <w:rPr>
                <w:color w:val="000000"/>
              </w:rPr>
            </w:pPr>
            <w:r w:rsidRPr="00F527EB">
              <w:rPr>
                <w:lang w:eastAsia="x-none"/>
              </w:rPr>
              <w:t>Целлюлоза микрокристаллическая</w:t>
            </w:r>
            <w:r w:rsidRPr="00F527EB" w:rsidDel="00AD5A18">
              <w:rPr>
                <w:lang w:eastAsia="x-none"/>
              </w:rPr>
              <w:t xml:space="preserve"> </w:t>
            </w:r>
            <w:r w:rsidRPr="00F527EB">
              <w:rPr>
                <w:lang w:eastAsia="x-none"/>
              </w:rPr>
              <w:t>тип 102</w:t>
            </w:r>
            <w:r>
              <w:rPr>
                <w:lang w:eastAsia="x-none"/>
              </w:rPr>
              <w:t>*</w:t>
            </w:r>
          </w:p>
        </w:tc>
        <w:tc>
          <w:tcPr>
            <w:tcW w:w="1227" w:type="dxa"/>
            <w:tcBorders>
              <w:top w:val="single" w:sz="4" w:space="0" w:color="auto"/>
              <w:left w:val="single" w:sz="4" w:space="0" w:color="auto"/>
              <w:bottom w:val="single" w:sz="4" w:space="0" w:color="auto"/>
              <w:right w:val="single" w:sz="4" w:space="0" w:color="auto"/>
            </w:tcBorders>
            <w:vAlign w:val="center"/>
          </w:tcPr>
          <w:p w14:paraId="68713EE5" w14:textId="18C4D51E" w:rsidR="00B900DC" w:rsidRDefault="00B900DC" w:rsidP="00B900DC">
            <w:pPr>
              <w:jc w:val="center"/>
              <w:rPr>
                <w:color w:val="000000"/>
              </w:rPr>
            </w:pPr>
            <w:r w:rsidRPr="00F527EB">
              <w:rPr>
                <w:rFonts w:eastAsia="Calibri"/>
                <w:lang w:val="en-US"/>
              </w:rPr>
              <w:t>5</w:t>
            </w:r>
            <w:r w:rsidRPr="00F527EB">
              <w:rPr>
                <w:rFonts w:eastAsia="Calibri"/>
              </w:rPr>
              <w:t>,</w:t>
            </w:r>
            <w:r w:rsidRPr="00F527EB">
              <w:rPr>
                <w:rFonts w:eastAsia="Calibri"/>
                <w:lang w:val="en-US"/>
              </w:rPr>
              <w:t>0</w:t>
            </w:r>
            <w:r w:rsidRPr="00F527EB">
              <w:rPr>
                <w:rFonts w:eastAsia="Calibri"/>
              </w:rPr>
              <w:t>0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5B86BA52" w14:textId="5D608027" w:rsidR="00B900DC" w:rsidRDefault="00B900DC" w:rsidP="00B900DC">
            <w:pPr>
              <w:jc w:val="center"/>
              <w:rPr>
                <w:color w:val="000000"/>
              </w:rPr>
            </w:pPr>
            <w:r>
              <w:rPr>
                <w:color w:val="000000"/>
              </w:rPr>
              <w:t>-</w:t>
            </w:r>
          </w:p>
        </w:tc>
        <w:tc>
          <w:tcPr>
            <w:tcW w:w="1302" w:type="dxa"/>
            <w:tcBorders>
              <w:top w:val="single" w:sz="4" w:space="0" w:color="auto"/>
              <w:left w:val="single" w:sz="4" w:space="0" w:color="auto"/>
              <w:bottom w:val="single" w:sz="4" w:space="0" w:color="auto"/>
              <w:right w:val="single" w:sz="4" w:space="0" w:color="auto"/>
            </w:tcBorders>
            <w:vAlign w:val="center"/>
          </w:tcPr>
          <w:p w14:paraId="5AA6C18A" w14:textId="069BA5C4" w:rsidR="00B900DC" w:rsidRDefault="00B900DC" w:rsidP="00B900DC">
            <w:pPr>
              <w:jc w:val="center"/>
              <w:rPr>
                <w:color w:val="000000"/>
              </w:rPr>
            </w:pPr>
            <w:r w:rsidRPr="00F527EB">
              <w:rPr>
                <w:rFonts w:eastAsia="Calibri"/>
                <w:lang w:val="en-US"/>
              </w:rPr>
              <w:t>5</w:t>
            </w:r>
            <w:r w:rsidRPr="00F527EB">
              <w:rPr>
                <w:rFonts w:eastAsia="Calibri"/>
              </w:rPr>
              <w:t>,</w:t>
            </w:r>
            <w:r w:rsidRPr="00F527EB">
              <w:rPr>
                <w:rFonts w:eastAsia="Calibri"/>
                <w:lang w:val="en-US"/>
              </w:rPr>
              <w:t>0</w:t>
            </w:r>
            <w:r w:rsidRPr="00F527EB">
              <w:rPr>
                <w:rFonts w:eastAsia="Calibri"/>
              </w:rPr>
              <w:t>0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A5BBE99" w14:textId="5F82EEA8" w:rsidR="00B900DC" w:rsidRDefault="00B900DC" w:rsidP="00B900DC">
            <w:pPr>
              <w:jc w:val="center"/>
              <w:rPr>
                <w:color w:val="000000"/>
              </w:rPr>
            </w:pPr>
            <w:r>
              <w:rPr>
                <w:color w:val="000000"/>
              </w:rPr>
              <w:t>-</w:t>
            </w:r>
          </w:p>
        </w:tc>
      </w:tr>
      <w:tr w:rsidR="00201FA0" w14:paraId="7E91F79E" w14:textId="77777777" w:rsidTr="00B900DC">
        <w:tc>
          <w:tcPr>
            <w:tcW w:w="4157" w:type="dxa"/>
            <w:tcBorders>
              <w:top w:val="single" w:sz="4" w:space="0" w:color="auto"/>
              <w:left w:val="single" w:sz="4" w:space="0" w:color="auto"/>
              <w:bottom w:val="single" w:sz="4" w:space="0" w:color="auto"/>
              <w:right w:val="single" w:sz="4" w:space="0" w:color="auto"/>
            </w:tcBorders>
          </w:tcPr>
          <w:p w14:paraId="5278409F" w14:textId="1553FD0C" w:rsidR="00201FA0" w:rsidRPr="00F527EB" w:rsidRDefault="00201FA0" w:rsidP="00201FA0">
            <w:pPr>
              <w:tabs>
                <w:tab w:val="left" w:pos="6804"/>
              </w:tabs>
              <w:ind w:left="313"/>
              <w:rPr>
                <w:lang w:eastAsia="x-none"/>
              </w:rPr>
            </w:pPr>
            <w:r w:rsidRPr="00F527EB">
              <w:rPr>
                <w:lang w:eastAsia="x-none"/>
              </w:rPr>
              <w:t>Целлюлоза микрокристаллическая</w:t>
            </w:r>
            <w:r>
              <w:rPr>
                <w:lang w:eastAsia="x-none"/>
              </w:rPr>
              <w:t>*</w:t>
            </w:r>
          </w:p>
        </w:tc>
        <w:tc>
          <w:tcPr>
            <w:tcW w:w="1227" w:type="dxa"/>
            <w:tcBorders>
              <w:top w:val="single" w:sz="4" w:space="0" w:color="auto"/>
              <w:left w:val="single" w:sz="4" w:space="0" w:color="auto"/>
              <w:bottom w:val="single" w:sz="4" w:space="0" w:color="auto"/>
              <w:right w:val="single" w:sz="4" w:space="0" w:color="auto"/>
            </w:tcBorders>
            <w:vAlign w:val="center"/>
          </w:tcPr>
          <w:p w14:paraId="6A540739" w14:textId="7B61FFA4" w:rsidR="00201FA0" w:rsidRDefault="00B900DC" w:rsidP="00201FA0">
            <w:pPr>
              <w:jc w:val="center"/>
              <w:rPr>
                <w:color w:val="000000" w:themeColor="text1"/>
              </w:rPr>
            </w:pPr>
            <w:r>
              <w:rPr>
                <w:color w:val="000000" w:themeColor="text1"/>
              </w:rPr>
              <w:t>-</w:t>
            </w:r>
          </w:p>
        </w:tc>
        <w:tc>
          <w:tcPr>
            <w:tcW w:w="1311" w:type="dxa"/>
            <w:tcBorders>
              <w:top w:val="single" w:sz="4" w:space="0" w:color="auto"/>
              <w:left w:val="single" w:sz="4" w:space="0" w:color="auto"/>
              <w:bottom w:val="single" w:sz="4" w:space="0" w:color="auto"/>
              <w:right w:val="single" w:sz="4" w:space="0" w:color="auto"/>
            </w:tcBorders>
            <w:vAlign w:val="center"/>
          </w:tcPr>
          <w:p w14:paraId="34A61264" w14:textId="6CFE1845" w:rsidR="00201FA0" w:rsidRDefault="00B900DC" w:rsidP="00201FA0">
            <w:pPr>
              <w:jc w:val="center"/>
              <w:rPr>
                <w:color w:val="000000"/>
              </w:rPr>
            </w:pPr>
            <w:r>
              <w:rPr>
                <w:color w:val="000000"/>
              </w:rPr>
              <w:t>15,00 мг</w:t>
            </w:r>
          </w:p>
        </w:tc>
        <w:tc>
          <w:tcPr>
            <w:tcW w:w="1302" w:type="dxa"/>
            <w:tcBorders>
              <w:top w:val="single" w:sz="4" w:space="0" w:color="auto"/>
              <w:left w:val="single" w:sz="4" w:space="0" w:color="auto"/>
              <w:bottom w:val="single" w:sz="4" w:space="0" w:color="auto"/>
              <w:right w:val="single" w:sz="4" w:space="0" w:color="auto"/>
            </w:tcBorders>
            <w:vAlign w:val="center"/>
          </w:tcPr>
          <w:p w14:paraId="621C4365" w14:textId="74C363CA" w:rsidR="00201FA0" w:rsidRDefault="00B900DC" w:rsidP="00201FA0">
            <w:pPr>
              <w:jc w:val="center"/>
              <w:rPr>
                <w:color w:val="000000" w:themeColor="text1"/>
              </w:rPr>
            </w:pPr>
            <w:r>
              <w:rPr>
                <w:color w:val="000000" w:themeColor="text1"/>
              </w:rPr>
              <w:t>-</w:t>
            </w:r>
          </w:p>
        </w:tc>
        <w:tc>
          <w:tcPr>
            <w:tcW w:w="1346" w:type="dxa"/>
            <w:tcBorders>
              <w:top w:val="single" w:sz="4" w:space="0" w:color="auto"/>
              <w:left w:val="single" w:sz="4" w:space="0" w:color="auto"/>
              <w:bottom w:val="single" w:sz="4" w:space="0" w:color="auto"/>
              <w:right w:val="single" w:sz="4" w:space="0" w:color="auto"/>
            </w:tcBorders>
            <w:vAlign w:val="center"/>
          </w:tcPr>
          <w:p w14:paraId="715254F4" w14:textId="6640D837" w:rsidR="00201FA0" w:rsidRDefault="00564D93" w:rsidP="00201FA0">
            <w:pPr>
              <w:jc w:val="center"/>
              <w:rPr>
                <w:color w:val="000000"/>
              </w:rPr>
            </w:pPr>
            <w:r>
              <w:rPr>
                <w:color w:val="000000"/>
              </w:rPr>
              <w:t>15,00 мг</w:t>
            </w:r>
          </w:p>
        </w:tc>
      </w:tr>
      <w:tr w:rsidR="00564D93" w14:paraId="4E15116D"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256D5FFD" w14:textId="3A65C60D" w:rsidR="00564D93" w:rsidRDefault="00564D93" w:rsidP="00564D93">
            <w:pPr>
              <w:tabs>
                <w:tab w:val="left" w:pos="6804"/>
              </w:tabs>
              <w:ind w:left="313"/>
              <w:rPr>
                <w:color w:val="000000"/>
              </w:rPr>
            </w:pPr>
            <w:r w:rsidRPr="00F527EB">
              <w:t>Гипролоза с низкой степенью замещения</w:t>
            </w:r>
          </w:p>
        </w:tc>
        <w:tc>
          <w:tcPr>
            <w:tcW w:w="1227" w:type="dxa"/>
            <w:tcBorders>
              <w:top w:val="single" w:sz="4" w:space="0" w:color="auto"/>
              <w:left w:val="single" w:sz="4" w:space="0" w:color="auto"/>
              <w:bottom w:val="single" w:sz="4" w:space="0" w:color="auto"/>
              <w:right w:val="single" w:sz="4" w:space="0" w:color="auto"/>
            </w:tcBorders>
            <w:vAlign w:val="center"/>
          </w:tcPr>
          <w:p w14:paraId="700821CF" w14:textId="478B6034" w:rsidR="00564D93" w:rsidRDefault="00564D93" w:rsidP="00564D93">
            <w:pPr>
              <w:jc w:val="center"/>
              <w:rPr>
                <w:color w:val="000000"/>
              </w:rPr>
            </w:pPr>
            <w:r w:rsidRPr="00F527EB">
              <w:rPr>
                <w:rFonts w:eastAsia="Calibri"/>
                <w:lang w:val="en-US"/>
              </w:rPr>
              <w:t xml:space="preserve">25,00 </w:t>
            </w:r>
            <w:r w:rsidRPr="00F527EB">
              <w:rPr>
                <w:rFonts w:eastAsia="Calibri"/>
              </w:rPr>
              <w:t>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0305E52F" w14:textId="3B9EC586" w:rsidR="00564D93" w:rsidRDefault="00564D93" w:rsidP="00564D93">
            <w:pPr>
              <w:jc w:val="center"/>
              <w:rPr>
                <w:color w:val="000000"/>
              </w:rPr>
            </w:pPr>
            <w:r w:rsidRPr="00F527EB">
              <w:rPr>
                <w:rFonts w:eastAsia="Calibri"/>
                <w:lang w:val="en-US"/>
              </w:rPr>
              <w:t xml:space="preserve">25,00 </w:t>
            </w:r>
            <w:r w:rsidRPr="00F527EB">
              <w:rPr>
                <w:rFonts w:eastAsia="Calibri"/>
              </w:rPr>
              <w:t>мг</w:t>
            </w:r>
          </w:p>
        </w:tc>
        <w:tc>
          <w:tcPr>
            <w:tcW w:w="1302" w:type="dxa"/>
            <w:tcBorders>
              <w:top w:val="single" w:sz="4" w:space="0" w:color="auto"/>
              <w:left w:val="single" w:sz="4" w:space="0" w:color="auto"/>
              <w:bottom w:val="single" w:sz="4" w:space="0" w:color="auto"/>
              <w:right w:val="single" w:sz="4" w:space="0" w:color="auto"/>
            </w:tcBorders>
            <w:vAlign w:val="center"/>
          </w:tcPr>
          <w:p w14:paraId="1435ED9B" w14:textId="706AFDF7" w:rsidR="00564D93" w:rsidRDefault="00564D93" w:rsidP="00564D93">
            <w:pPr>
              <w:jc w:val="center"/>
              <w:rPr>
                <w:color w:val="000000"/>
              </w:rPr>
            </w:pPr>
            <w:r w:rsidRPr="00F527EB">
              <w:rPr>
                <w:rFonts w:eastAsia="Calibri"/>
                <w:lang w:val="en-US"/>
              </w:rPr>
              <w:t xml:space="preserve">25,00 </w:t>
            </w:r>
            <w:r w:rsidRPr="00F527EB">
              <w:rPr>
                <w:rFonts w:eastAsia="Calibri"/>
              </w:rPr>
              <w:t>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3E90942" w14:textId="4DF62697" w:rsidR="00564D93" w:rsidRDefault="00564D93" w:rsidP="00564D93">
            <w:pPr>
              <w:jc w:val="center"/>
              <w:rPr>
                <w:color w:val="000000"/>
              </w:rPr>
            </w:pPr>
            <w:r w:rsidRPr="00F527EB">
              <w:rPr>
                <w:rFonts w:eastAsia="Calibri"/>
                <w:lang w:val="en-US"/>
              </w:rPr>
              <w:t xml:space="preserve">25,00 </w:t>
            </w:r>
            <w:r w:rsidRPr="00F527EB">
              <w:rPr>
                <w:rFonts w:eastAsia="Calibri"/>
              </w:rPr>
              <w:t>мг</w:t>
            </w:r>
          </w:p>
        </w:tc>
      </w:tr>
      <w:tr w:rsidR="00564D93" w14:paraId="325A0297" w14:textId="77777777" w:rsidTr="00B900DC">
        <w:tc>
          <w:tcPr>
            <w:tcW w:w="4157" w:type="dxa"/>
            <w:tcBorders>
              <w:top w:val="single" w:sz="4" w:space="0" w:color="auto"/>
              <w:left w:val="single" w:sz="4" w:space="0" w:color="auto"/>
              <w:bottom w:val="single" w:sz="4" w:space="0" w:color="auto"/>
              <w:right w:val="single" w:sz="4" w:space="0" w:color="auto"/>
            </w:tcBorders>
            <w:hideMark/>
          </w:tcPr>
          <w:p w14:paraId="194A6488" w14:textId="55C4BBCE" w:rsidR="00564D93" w:rsidRDefault="00564D93" w:rsidP="00564D93">
            <w:pPr>
              <w:tabs>
                <w:tab w:val="left" w:pos="6804"/>
              </w:tabs>
              <w:ind w:left="313"/>
              <w:rPr>
                <w:color w:val="000000"/>
              </w:rPr>
            </w:pPr>
            <w:r w:rsidRPr="00F527EB">
              <w:t>Гипролоза</w:t>
            </w:r>
          </w:p>
        </w:tc>
        <w:tc>
          <w:tcPr>
            <w:tcW w:w="1227" w:type="dxa"/>
            <w:tcBorders>
              <w:top w:val="single" w:sz="4" w:space="0" w:color="auto"/>
              <w:left w:val="single" w:sz="4" w:space="0" w:color="auto"/>
              <w:bottom w:val="single" w:sz="4" w:space="0" w:color="auto"/>
              <w:right w:val="single" w:sz="4" w:space="0" w:color="auto"/>
            </w:tcBorders>
            <w:vAlign w:val="center"/>
          </w:tcPr>
          <w:p w14:paraId="55FF7864" w14:textId="3288A00A" w:rsidR="00564D93" w:rsidRDefault="00564D93" w:rsidP="00564D93">
            <w:pPr>
              <w:jc w:val="center"/>
              <w:rPr>
                <w:color w:val="000000"/>
              </w:rPr>
            </w:pPr>
            <w:r w:rsidRPr="00F527EB">
              <w:rPr>
                <w:rFonts w:eastAsia="Calibri"/>
              </w:rPr>
              <w:t>3,00 мг</w:t>
            </w:r>
          </w:p>
        </w:tc>
        <w:tc>
          <w:tcPr>
            <w:tcW w:w="1311" w:type="dxa"/>
            <w:tcBorders>
              <w:top w:val="single" w:sz="4" w:space="0" w:color="auto"/>
              <w:left w:val="single" w:sz="4" w:space="0" w:color="auto"/>
              <w:bottom w:val="single" w:sz="4" w:space="0" w:color="auto"/>
              <w:right w:val="single" w:sz="4" w:space="0" w:color="auto"/>
            </w:tcBorders>
            <w:vAlign w:val="center"/>
            <w:hideMark/>
          </w:tcPr>
          <w:p w14:paraId="44BA7D01" w14:textId="5A03B451" w:rsidR="00564D93" w:rsidRDefault="00564D93" w:rsidP="00564D93">
            <w:pPr>
              <w:jc w:val="center"/>
              <w:rPr>
                <w:color w:val="000000"/>
              </w:rPr>
            </w:pPr>
            <w:r w:rsidRPr="00F527EB">
              <w:rPr>
                <w:rFonts w:eastAsia="Calibri"/>
              </w:rPr>
              <w:t>3,00 мг</w:t>
            </w:r>
          </w:p>
        </w:tc>
        <w:tc>
          <w:tcPr>
            <w:tcW w:w="1302" w:type="dxa"/>
            <w:tcBorders>
              <w:top w:val="single" w:sz="4" w:space="0" w:color="auto"/>
              <w:left w:val="single" w:sz="4" w:space="0" w:color="auto"/>
              <w:bottom w:val="single" w:sz="4" w:space="0" w:color="auto"/>
              <w:right w:val="single" w:sz="4" w:space="0" w:color="auto"/>
            </w:tcBorders>
            <w:vAlign w:val="center"/>
          </w:tcPr>
          <w:p w14:paraId="415A5FB0" w14:textId="6883ED70" w:rsidR="00564D93" w:rsidRDefault="00564D93" w:rsidP="00564D93">
            <w:pPr>
              <w:jc w:val="center"/>
              <w:rPr>
                <w:color w:val="000000"/>
              </w:rPr>
            </w:pPr>
            <w:r w:rsidRPr="00F527EB">
              <w:rPr>
                <w:rFonts w:eastAsia="Calibri"/>
              </w:rPr>
              <w:t>3,00 мг</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315B1FD" w14:textId="06E895C9" w:rsidR="00564D93" w:rsidRDefault="00564D93" w:rsidP="00564D93">
            <w:pPr>
              <w:jc w:val="center"/>
              <w:rPr>
                <w:color w:val="000000"/>
              </w:rPr>
            </w:pPr>
            <w:r w:rsidRPr="00F527EB">
              <w:rPr>
                <w:rFonts w:eastAsia="Calibri"/>
              </w:rPr>
              <w:t>3,00 мг</w:t>
            </w:r>
          </w:p>
        </w:tc>
      </w:tr>
      <w:tr w:rsidR="00564D93" w14:paraId="0EC588E9" w14:textId="77777777" w:rsidTr="00B900DC">
        <w:tc>
          <w:tcPr>
            <w:tcW w:w="4157" w:type="dxa"/>
            <w:tcBorders>
              <w:top w:val="single" w:sz="4" w:space="0" w:color="auto"/>
              <w:left w:val="single" w:sz="4" w:space="0" w:color="auto"/>
              <w:bottom w:val="single" w:sz="4" w:space="0" w:color="auto"/>
              <w:right w:val="single" w:sz="4" w:space="0" w:color="auto"/>
            </w:tcBorders>
          </w:tcPr>
          <w:p w14:paraId="0068A7A7" w14:textId="220707FC" w:rsidR="00564D93" w:rsidRPr="00F527EB" w:rsidRDefault="00564D93" w:rsidP="00564D93">
            <w:pPr>
              <w:tabs>
                <w:tab w:val="left" w:pos="6804"/>
              </w:tabs>
              <w:ind w:left="313"/>
            </w:pPr>
            <w:r>
              <w:t>Тальк</w:t>
            </w:r>
          </w:p>
        </w:tc>
        <w:tc>
          <w:tcPr>
            <w:tcW w:w="1227" w:type="dxa"/>
            <w:tcBorders>
              <w:top w:val="single" w:sz="4" w:space="0" w:color="auto"/>
              <w:left w:val="single" w:sz="4" w:space="0" w:color="auto"/>
              <w:bottom w:val="single" w:sz="4" w:space="0" w:color="auto"/>
              <w:right w:val="single" w:sz="4" w:space="0" w:color="auto"/>
            </w:tcBorders>
            <w:vAlign w:val="center"/>
          </w:tcPr>
          <w:p w14:paraId="49F45D6D" w14:textId="3E7077F9" w:rsidR="00564D93" w:rsidRDefault="00564D93" w:rsidP="00564D93">
            <w:pPr>
              <w:jc w:val="center"/>
              <w:rPr>
                <w:color w:val="000000" w:themeColor="text1"/>
              </w:rPr>
            </w:pPr>
            <w:r w:rsidRPr="00F527EB">
              <w:rPr>
                <w:rFonts w:eastAsia="Calibri"/>
              </w:rPr>
              <w:t>3,00 мг</w:t>
            </w:r>
          </w:p>
        </w:tc>
        <w:tc>
          <w:tcPr>
            <w:tcW w:w="1311" w:type="dxa"/>
            <w:tcBorders>
              <w:top w:val="single" w:sz="4" w:space="0" w:color="auto"/>
              <w:left w:val="single" w:sz="4" w:space="0" w:color="auto"/>
              <w:bottom w:val="single" w:sz="4" w:space="0" w:color="auto"/>
              <w:right w:val="single" w:sz="4" w:space="0" w:color="auto"/>
            </w:tcBorders>
            <w:vAlign w:val="center"/>
          </w:tcPr>
          <w:p w14:paraId="3EB0FB70" w14:textId="5B296FF3" w:rsidR="00564D93" w:rsidRDefault="00564D93" w:rsidP="00564D93">
            <w:pPr>
              <w:jc w:val="center"/>
              <w:rPr>
                <w:color w:val="000000"/>
              </w:rPr>
            </w:pPr>
            <w:r w:rsidRPr="00F527EB">
              <w:rPr>
                <w:rFonts w:eastAsia="Calibri"/>
              </w:rPr>
              <w:t>3,00 мг</w:t>
            </w:r>
          </w:p>
        </w:tc>
        <w:tc>
          <w:tcPr>
            <w:tcW w:w="1302" w:type="dxa"/>
            <w:tcBorders>
              <w:top w:val="single" w:sz="4" w:space="0" w:color="auto"/>
              <w:left w:val="single" w:sz="4" w:space="0" w:color="auto"/>
              <w:bottom w:val="single" w:sz="4" w:space="0" w:color="auto"/>
              <w:right w:val="single" w:sz="4" w:space="0" w:color="auto"/>
            </w:tcBorders>
            <w:vAlign w:val="center"/>
          </w:tcPr>
          <w:p w14:paraId="26AABB93" w14:textId="2924DAAA" w:rsidR="00564D93" w:rsidRDefault="00564D93" w:rsidP="00564D93">
            <w:pPr>
              <w:jc w:val="center"/>
              <w:rPr>
                <w:color w:val="000000" w:themeColor="text1"/>
              </w:rPr>
            </w:pPr>
            <w:r w:rsidRPr="00F527EB">
              <w:rPr>
                <w:rFonts w:eastAsia="Calibri"/>
              </w:rPr>
              <w:t>3,00 мг</w:t>
            </w:r>
          </w:p>
        </w:tc>
        <w:tc>
          <w:tcPr>
            <w:tcW w:w="1346" w:type="dxa"/>
            <w:tcBorders>
              <w:top w:val="single" w:sz="4" w:space="0" w:color="auto"/>
              <w:left w:val="single" w:sz="4" w:space="0" w:color="auto"/>
              <w:bottom w:val="single" w:sz="4" w:space="0" w:color="auto"/>
              <w:right w:val="single" w:sz="4" w:space="0" w:color="auto"/>
            </w:tcBorders>
            <w:vAlign w:val="center"/>
          </w:tcPr>
          <w:p w14:paraId="7EEABF9B" w14:textId="23C6FCCA" w:rsidR="00564D93" w:rsidRDefault="00564D93" w:rsidP="00564D93">
            <w:pPr>
              <w:jc w:val="center"/>
              <w:rPr>
                <w:color w:val="000000"/>
              </w:rPr>
            </w:pPr>
            <w:r w:rsidRPr="00F527EB">
              <w:rPr>
                <w:rFonts w:eastAsia="Calibri"/>
              </w:rPr>
              <w:t>3,00 мг</w:t>
            </w:r>
          </w:p>
        </w:tc>
      </w:tr>
      <w:tr w:rsidR="00B900DC" w14:paraId="5B278DEB" w14:textId="77777777" w:rsidTr="00B900DC">
        <w:tc>
          <w:tcPr>
            <w:tcW w:w="4157" w:type="dxa"/>
            <w:tcBorders>
              <w:top w:val="single" w:sz="4" w:space="0" w:color="auto"/>
              <w:left w:val="single" w:sz="4" w:space="0" w:color="auto"/>
              <w:bottom w:val="single" w:sz="4" w:space="0" w:color="auto"/>
              <w:right w:val="single" w:sz="4" w:space="0" w:color="auto"/>
            </w:tcBorders>
          </w:tcPr>
          <w:p w14:paraId="454C3CF3" w14:textId="23565F93" w:rsidR="00B900DC" w:rsidRPr="00B900DC" w:rsidRDefault="00B900DC" w:rsidP="00B900DC">
            <w:pPr>
              <w:tabs>
                <w:tab w:val="left" w:pos="6804"/>
              </w:tabs>
              <w:rPr>
                <w:b/>
              </w:rPr>
            </w:pPr>
            <w:r w:rsidRPr="00B900DC">
              <w:rPr>
                <w:b/>
              </w:rPr>
              <w:t>Масса содержимого капсулы:</w:t>
            </w:r>
          </w:p>
        </w:tc>
        <w:tc>
          <w:tcPr>
            <w:tcW w:w="1227" w:type="dxa"/>
            <w:tcBorders>
              <w:top w:val="single" w:sz="4" w:space="0" w:color="auto"/>
              <w:left w:val="single" w:sz="4" w:space="0" w:color="auto"/>
              <w:bottom w:val="single" w:sz="4" w:space="0" w:color="auto"/>
              <w:right w:val="single" w:sz="4" w:space="0" w:color="auto"/>
            </w:tcBorders>
            <w:vAlign w:val="center"/>
          </w:tcPr>
          <w:p w14:paraId="18CB1CDB" w14:textId="53FF41A8" w:rsidR="00B900DC" w:rsidRPr="00564D93" w:rsidRDefault="00B900DC" w:rsidP="00B900DC">
            <w:pPr>
              <w:jc w:val="center"/>
              <w:rPr>
                <w:rFonts w:eastAsia="Calibri"/>
                <w:b/>
              </w:rPr>
            </w:pPr>
            <w:r w:rsidRPr="00564D93">
              <w:rPr>
                <w:rFonts w:eastAsia="Calibri"/>
                <w:b/>
              </w:rPr>
              <w:t>100,00 мг</w:t>
            </w:r>
          </w:p>
        </w:tc>
        <w:tc>
          <w:tcPr>
            <w:tcW w:w="1311" w:type="dxa"/>
            <w:tcBorders>
              <w:top w:val="single" w:sz="4" w:space="0" w:color="auto"/>
              <w:left w:val="single" w:sz="4" w:space="0" w:color="auto"/>
              <w:bottom w:val="single" w:sz="4" w:space="0" w:color="auto"/>
              <w:right w:val="single" w:sz="4" w:space="0" w:color="auto"/>
            </w:tcBorders>
            <w:vAlign w:val="center"/>
          </w:tcPr>
          <w:p w14:paraId="431ECA96" w14:textId="5FB8A607" w:rsidR="00B900DC" w:rsidRPr="00564D93" w:rsidRDefault="00B900DC" w:rsidP="00B900DC">
            <w:pPr>
              <w:jc w:val="center"/>
              <w:rPr>
                <w:b/>
                <w:color w:val="000000"/>
              </w:rPr>
            </w:pPr>
            <w:r w:rsidRPr="00564D93">
              <w:rPr>
                <w:rFonts w:eastAsia="Calibri"/>
                <w:b/>
              </w:rPr>
              <w:t>100,00 мг</w:t>
            </w:r>
          </w:p>
        </w:tc>
        <w:tc>
          <w:tcPr>
            <w:tcW w:w="1302" w:type="dxa"/>
            <w:tcBorders>
              <w:top w:val="single" w:sz="4" w:space="0" w:color="auto"/>
              <w:left w:val="single" w:sz="4" w:space="0" w:color="auto"/>
              <w:bottom w:val="single" w:sz="4" w:space="0" w:color="auto"/>
              <w:right w:val="single" w:sz="4" w:space="0" w:color="auto"/>
            </w:tcBorders>
            <w:vAlign w:val="center"/>
          </w:tcPr>
          <w:p w14:paraId="0F4EABD8" w14:textId="1CDC140F" w:rsidR="00B900DC" w:rsidRPr="00564D93" w:rsidRDefault="00B900DC" w:rsidP="00B900DC">
            <w:pPr>
              <w:jc w:val="center"/>
              <w:rPr>
                <w:b/>
                <w:color w:val="000000" w:themeColor="text1"/>
              </w:rPr>
            </w:pPr>
            <w:r w:rsidRPr="00564D93">
              <w:rPr>
                <w:rFonts w:eastAsia="Calibri"/>
                <w:b/>
              </w:rPr>
              <w:t>100,00 мг</w:t>
            </w:r>
          </w:p>
        </w:tc>
        <w:tc>
          <w:tcPr>
            <w:tcW w:w="1346" w:type="dxa"/>
            <w:tcBorders>
              <w:top w:val="single" w:sz="4" w:space="0" w:color="auto"/>
              <w:left w:val="single" w:sz="4" w:space="0" w:color="auto"/>
              <w:bottom w:val="single" w:sz="4" w:space="0" w:color="auto"/>
              <w:right w:val="single" w:sz="4" w:space="0" w:color="auto"/>
            </w:tcBorders>
            <w:vAlign w:val="center"/>
          </w:tcPr>
          <w:p w14:paraId="58233EA8" w14:textId="058D4863" w:rsidR="00B900DC" w:rsidRPr="00564D93" w:rsidRDefault="00B900DC" w:rsidP="00B900DC">
            <w:pPr>
              <w:jc w:val="center"/>
              <w:rPr>
                <w:b/>
                <w:color w:val="000000"/>
              </w:rPr>
            </w:pPr>
            <w:r w:rsidRPr="00564D93">
              <w:rPr>
                <w:rFonts w:eastAsia="Calibri"/>
                <w:b/>
              </w:rPr>
              <w:t>100,00 мг</w:t>
            </w:r>
          </w:p>
        </w:tc>
      </w:tr>
      <w:tr w:rsidR="00B900DC" w14:paraId="19A8CDCE" w14:textId="77777777" w:rsidTr="00015E92">
        <w:tc>
          <w:tcPr>
            <w:tcW w:w="9343" w:type="dxa"/>
            <w:gridSpan w:val="5"/>
            <w:tcBorders>
              <w:top w:val="single" w:sz="4" w:space="0" w:color="auto"/>
              <w:left w:val="single" w:sz="4" w:space="0" w:color="auto"/>
              <w:bottom w:val="single" w:sz="4" w:space="0" w:color="auto"/>
              <w:right w:val="single" w:sz="4" w:space="0" w:color="auto"/>
            </w:tcBorders>
            <w:vAlign w:val="center"/>
            <w:hideMark/>
          </w:tcPr>
          <w:p w14:paraId="4E0B1170" w14:textId="064412FA" w:rsidR="00B900DC" w:rsidRDefault="00B900DC" w:rsidP="00B900DC">
            <w:pPr>
              <w:rPr>
                <w:color w:val="000000"/>
              </w:rPr>
            </w:pPr>
            <w:r>
              <w:rPr>
                <w:i/>
                <w:color w:val="000000"/>
              </w:rPr>
              <w:t>Капсула:</w:t>
            </w:r>
          </w:p>
        </w:tc>
      </w:tr>
      <w:tr w:rsidR="00201FA0" w14:paraId="32CB5949" w14:textId="77777777" w:rsidTr="00B900DC">
        <w:tc>
          <w:tcPr>
            <w:tcW w:w="4157" w:type="dxa"/>
            <w:tcBorders>
              <w:top w:val="single" w:sz="4" w:space="0" w:color="auto"/>
              <w:left w:val="single" w:sz="4" w:space="0" w:color="auto"/>
              <w:bottom w:val="single" w:sz="4" w:space="0" w:color="auto"/>
              <w:right w:val="single" w:sz="4" w:space="0" w:color="auto"/>
            </w:tcBorders>
            <w:vAlign w:val="center"/>
            <w:hideMark/>
          </w:tcPr>
          <w:p w14:paraId="37F8C4D3" w14:textId="77777777" w:rsidR="00B900DC" w:rsidRPr="00B900DC" w:rsidRDefault="00B900DC" w:rsidP="00B900DC">
            <w:pPr>
              <w:spacing w:line="259" w:lineRule="auto"/>
            </w:pPr>
            <w:r w:rsidRPr="00B900DC">
              <w:t>Оболочка из гипромелозы</w:t>
            </w:r>
          </w:p>
          <w:p w14:paraId="7BEC22B0" w14:textId="5DA3AE4A" w:rsidR="00201FA0" w:rsidRDefault="00B900DC" w:rsidP="00B900DC">
            <w:pPr>
              <w:tabs>
                <w:tab w:val="left" w:pos="6804"/>
              </w:tabs>
              <w:rPr>
                <w:rFonts w:eastAsia="Times New Roman"/>
                <w:lang w:eastAsia="en-US"/>
              </w:rPr>
            </w:pPr>
            <w:r w:rsidRPr="00B900DC">
              <w:t>Состав : гипромелоза, титана диоксид, железа  оксид желтый, железа оксид красный, чернила (шеллак, краситель оксид железа черный (Е172), калия гидроксид, пропиленгликоль).</w:t>
            </w:r>
          </w:p>
        </w:tc>
        <w:tc>
          <w:tcPr>
            <w:tcW w:w="1227" w:type="dxa"/>
            <w:tcBorders>
              <w:top w:val="single" w:sz="4" w:space="0" w:color="auto"/>
              <w:left w:val="single" w:sz="4" w:space="0" w:color="auto"/>
              <w:bottom w:val="single" w:sz="4" w:space="0" w:color="auto"/>
              <w:right w:val="single" w:sz="4" w:space="0" w:color="auto"/>
            </w:tcBorders>
            <w:vAlign w:val="center"/>
          </w:tcPr>
          <w:p w14:paraId="2CFBA563" w14:textId="77777777" w:rsidR="00201FA0" w:rsidRDefault="00201FA0" w:rsidP="00201FA0">
            <w:pPr>
              <w:jc w:val="center"/>
              <w:rPr>
                <w:color w:val="000000"/>
              </w:rPr>
            </w:pPr>
            <w:r>
              <w:rPr>
                <w:color w:val="000000"/>
              </w:rPr>
              <w:t>-</w:t>
            </w:r>
          </w:p>
        </w:tc>
        <w:tc>
          <w:tcPr>
            <w:tcW w:w="1311" w:type="dxa"/>
            <w:tcBorders>
              <w:top w:val="single" w:sz="4" w:space="0" w:color="auto"/>
              <w:left w:val="single" w:sz="4" w:space="0" w:color="auto"/>
              <w:bottom w:val="single" w:sz="4" w:space="0" w:color="auto"/>
              <w:right w:val="single" w:sz="4" w:space="0" w:color="auto"/>
            </w:tcBorders>
            <w:vAlign w:val="center"/>
            <w:hideMark/>
          </w:tcPr>
          <w:p w14:paraId="4D048CB9" w14:textId="31BAFE2C" w:rsidR="00201FA0" w:rsidRDefault="00B900DC" w:rsidP="00201FA0">
            <w:pPr>
              <w:jc w:val="center"/>
              <w:rPr>
                <w:color w:val="000000"/>
              </w:rPr>
            </w:pPr>
            <w:r>
              <w:rPr>
                <w:rFonts w:eastAsia="Calibri"/>
              </w:rPr>
              <w:t>3</w:t>
            </w:r>
            <w:r w:rsidRPr="00F527EB">
              <w:rPr>
                <w:rFonts w:eastAsia="Calibri"/>
                <w:lang w:val="en-US"/>
              </w:rPr>
              <w:t xml:space="preserve">7,00 </w:t>
            </w:r>
            <w:r w:rsidRPr="00F527EB">
              <w:rPr>
                <w:rFonts w:eastAsia="Calibri"/>
              </w:rPr>
              <w:t>мг</w:t>
            </w:r>
          </w:p>
        </w:tc>
        <w:tc>
          <w:tcPr>
            <w:tcW w:w="1302" w:type="dxa"/>
            <w:tcBorders>
              <w:top w:val="single" w:sz="4" w:space="0" w:color="auto"/>
              <w:left w:val="single" w:sz="4" w:space="0" w:color="auto"/>
              <w:bottom w:val="single" w:sz="4" w:space="0" w:color="auto"/>
              <w:right w:val="single" w:sz="4" w:space="0" w:color="auto"/>
            </w:tcBorders>
            <w:vAlign w:val="center"/>
          </w:tcPr>
          <w:p w14:paraId="4297732B" w14:textId="77777777" w:rsidR="00201FA0" w:rsidRDefault="00201FA0" w:rsidP="00201FA0">
            <w:pPr>
              <w:jc w:val="center"/>
              <w:rPr>
                <w:color w:val="000000"/>
              </w:rPr>
            </w:pPr>
            <w:r>
              <w:rPr>
                <w:color w:val="000000"/>
              </w:rPr>
              <w:t>-</w:t>
            </w:r>
          </w:p>
        </w:tc>
        <w:tc>
          <w:tcPr>
            <w:tcW w:w="1346" w:type="dxa"/>
            <w:tcBorders>
              <w:top w:val="single" w:sz="4" w:space="0" w:color="auto"/>
              <w:left w:val="single" w:sz="4" w:space="0" w:color="auto"/>
              <w:bottom w:val="single" w:sz="4" w:space="0" w:color="auto"/>
              <w:right w:val="single" w:sz="4" w:space="0" w:color="auto"/>
            </w:tcBorders>
            <w:vAlign w:val="center"/>
            <w:hideMark/>
          </w:tcPr>
          <w:p w14:paraId="472A09EB" w14:textId="533D8C99" w:rsidR="00201FA0" w:rsidRDefault="00564D93" w:rsidP="00201FA0">
            <w:pPr>
              <w:jc w:val="center"/>
              <w:rPr>
                <w:color w:val="000000"/>
              </w:rPr>
            </w:pPr>
            <w:r>
              <w:rPr>
                <w:rFonts w:eastAsia="Calibri"/>
              </w:rPr>
              <w:t>3</w:t>
            </w:r>
            <w:r w:rsidR="00B900DC" w:rsidRPr="00F527EB">
              <w:rPr>
                <w:rFonts w:eastAsia="Calibri"/>
                <w:lang w:val="en-US"/>
              </w:rPr>
              <w:t xml:space="preserve">7,00 </w:t>
            </w:r>
            <w:r w:rsidR="00B900DC" w:rsidRPr="00F527EB">
              <w:rPr>
                <w:rFonts w:eastAsia="Calibri"/>
              </w:rPr>
              <w:t>мг</w:t>
            </w:r>
          </w:p>
        </w:tc>
      </w:tr>
      <w:tr w:rsidR="00201FA0" w14:paraId="601B19DA" w14:textId="77777777" w:rsidTr="00B900DC">
        <w:tc>
          <w:tcPr>
            <w:tcW w:w="4157" w:type="dxa"/>
            <w:tcBorders>
              <w:top w:val="single" w:sz="4" w:space="0" w:color="auto"/>
              <w:left w:val="single" w:sz="4" w:space="0" w:color="auto"/>
              <w:bottom w:val="single" w:sz="4" w:space="0" w:color="auto"/>
              <w:right w:val="single" w:sz="4" w:space="0" w:color="auto"/>
            </w:tcBorders>
            <w:vAlign w:val="center"/>
          </w:tcPr>
          <w:p w14:paraId="0A5DC0F4" w14:textId="77777777" w:rsidR="00B900DC" w:rsidRPr="00B900DC" w:rsidRDefault="00B900DC" w:rsidP="00B900DC">
            <w:pPr>
              <w:rPr>
                <w:rFonts w:eastAsia="Calibri"/>
              </w:rPr>
            </w:pPr>
            <w:r w:rsidRPr="00B900DC">
              <w:rPr>
                <w:lang w:eastAsia="ru-RU"/>
              </w:rPr>
              <w:t>Капсула гипромеллозная № 3:</w:t>
            </w:r>
          </w:p>
          <w:p w14:paraId="49C00FE1" w14:textId="77777777" w:rsidR="00B900DC" w:rsidRPr="00F527EB" w:rsidRDefault="00B900DC" w:rsidP="00B900DC">
            <w:pPr>
              <w:rPr>
                <w:rFonts w:eastAsia="Calibri"/>
              </w:rPr>
            </w:pPr>
            <w:r w:rsidRPr="00F527EB">
              <w:rPr>
                <w:lang w:eastAsia="ru-RU"/>
              </w:rPr>
              <w:t>[Корпус: титана диоксид – 1,9184 %;</w:t>
            </w:r>
            <w:r w:rsidRPr="00F527EB">
              <w:rPr>
                <w:rFonts w:eastAsia="Calibri"/>
              </w:rPr>
              <w:t xml:space="preserve"> </w:t>
            </w:r>
            <w:r w:rsidRPr="00F527EB">
              <w:rPr>
                <w:lang w:eastAsia="ru-RU"/>
              </w:rPr>
              <w:t>гипромеллоза до 100 %]</w:t>
            </w:r>
          </w:p>
          <w:p w14:paraId="3E2D01FD" w14:textId="682E1044" w:rsidR="00201FA0" w:rsidRDefault="00B900DC" w:rsidP="00B900DC">
            <w:pPr>
              <w:tabs>
                <w:tab w:val="left" w:pos="6804"/>
              </w:tabs>
              <w:rPr>
                <w:color w:val="000000"/>
                <w:lang w:eastAsia="ru-RU"/>
              </w:rPr>
            </w:pPr>
            <w:r w:rsidRPr="00F527EB">
              <w:rPr>
                <w:lang w:eastAsia="ru-RU"/>
              </w:rPr>
              <w:t>[Крышка: титана диоксид – 1,9184 %;</w:t>
            </w:r>
            <w:r w:rsidRPr="00F527EB">
              <w:rPr>
                <w:rFonts w:eastAsia="Calibri"/>
              </w:rPr>
              <w:t xml:space="preserve"> </w:t>
            </w:r>
            <w:r w:rsidRPr="00F527EB">
              <w:rPr>
                <w:lang w:eastAsia="ru-RU"/>
              </w:rPr>
              <w:t>гипромеллоза до 100 %]</w:t>
            </w:r>
          </w:p>
        </w:tc>
        <w:tc>
          <w:tcPr>
            <w:tcW w:w="1227" w:type="dxa"/>
            <w:tcBorders>
              <w:top w:val="single" w:sz="4" w:space="0" w:color="auto"/>
              <w:left w:val="single" w:sz="4" w:space="0" w:color="auto"/>
              <w:bottom w:val="single" w:sz="4" w:space="0" w:color="auto"/>
              <w:right w:val="single" w:sz="4" w:space="0" w:color="auto"/>
            </w:tcBorders>
            <w:vAlign w:val="center"/>
          </w:tcPr>
          <w:p w14:paraId="5FB210CA" w14:textId="48BB3D05" w:rsidR="00201FA0" w:rsidRDefault="00B900DC" w:rsidP="00201FA0">
            <w:pPr>
              <w:jc w:val="center"/>
              <w:rPr>
                <w:color w:val="000000"/>
              </w:rPr>
            </w:pPr>
            <w:r w:rsidRPr="00F527EB">
              <w:rPr>
                <w:rFonts w:eastAsia="Calibri"/>
                <w:lang w:val="en-US"/>
              </w:rPr>
              <w:t xml:space="preserve">47,00 </w:t>
            </w:r>
            <w:r w:rsidRPr="00F527EB">
              <w:rPr>
                <w:rFonts w:eastAsia="Calibri"/>
              </w:rPr>
              <w:t>мг</w:t>
            </w:r>
          </w:p>
        </w:tc>
        <w:tc>
          <w:tcPr>
            <w:tcW w:w="1311" w:type="dxa"/>
            <w:tcBorders>
              <w:top w:val="single" w:sz="4" w:space="0" w:color="auto"/>
              <w:left w:val="single" w:sz="4" w:space="0" w:color="auto"/>
              <w:bottom w:val="single" w:sz="4" w:space="0" w:color="auto"/>
              <w:right w:val="single" w:sz="4" w:space="0" w:color="auto"/>
            </w:tcBorders>
            <w:vAlign w:val="center"/>
          </w:tcPr>
          <w:p w14:paraId="4D3AF2F8" w14:textId="77777777" w:rsidR="00201FA0" w:rsidRDefault="00201FA0" w:rsidP="00201FA0">
            <w:pPr>
              <w:jc w:val="center"/>
              <w:rPr>
                <w:color w:val="000000"/>
              </w:rPr>
            </w:pPr>
            <w:r>
              <w:rPr>
                <w:color w:val="000000"/>
              </w:rPr>
              <w:t>-</w:t>
            </w:r>
          </w:p>
        </w:tc>
        <w:tc>
          <w:tcPr>
            <w:tcW w:w="1302" w:type="dxa"/>
            <w:tcBorders>
              <w:top w:val="single" w:sz="4" w:space="0" w:color="auto"/>
              <w:left w:val="single" w:sz="4" w:space="0" w:color="auto"/>
              <w:bottom w:val="single" w:sz="4" w:space="0" w:color="auto"/>
              <w:right w:val="single" w:sz="4" w:space="0" w:color="auto"/>
            </w:tcBorders>
            <w:vAlign w:val="center"/>
          </w:tcPr>
          <w:p w14:paraId="6987E8E9" w14:textId="37D7A6F3" w:rsidR="00201FA0" w:rsidRDefault="00B900DC" w:rsidP="00201FA0">
            <w:pPr>
              <w:jc w:val="center"/>
              <w:rPr>
                <w:color w:val="000000"/>
              </w:rPr>
            </w:pPr>
            <w:r w:rsidRPr="00F527EB">
              <w:rPr>
                <w:rFonts w:eastAsia="Calibri"/>
                <w:lang w:val="en-US"/>
              </w:rPr>
              <w:t xml:space="preserve">47,00 </w:t>
            </w:r>
            <w:r w:rsidRPr="00F527EB">
              <w:rPr>
                <w:rFonts w:eastAsia="Calibri"/>
              </w:rPr>
              <w:t>мг</w:t>
            </w:r>
          </w:p>
        </w:tc>
        <w:tc>
          <w:tcPr>
            <w:tcW w:w="1346" w:type="dxa"/>
            <w:tcBorders>
              <w:top w:val="single" w:sz="4" w:space="0" w:color="auto"/>
              <w:left w:val="single" w:sz="4" w:space="0" w:color="auto"/>
              <w:bottom w:val="single" w:sz="4" w:space="0" w:color="auto"/>
              <w:right w:val="single" w:sz="4" w:space="0" w:color="auto"/>
            </w:tcBorders>
            <w:vAlign w:val="center"/>
          </w:tcPr>
          <w:p w14:paraId="1DFF242A" w14:textId="77777777" w:rsidR="00201FA0" w:rsidRDefault="00201FA0" w:rsidP="00201FA0">
            <w:pPr>
              <w:jc w:val="center"/>
              <w:rPr>
                <w:color w:val="000000"/>
              </w:rPr>
            </w:pPr>
            <w:r>
              <w:rPr>
                <w:color w:val="000000"/>
              </w:rPr>
              <w:t>-</w:t>
            </w:r>
          </w:p>
        </w:tc>
      </w:tr>
      <w:tr w:rsidR="00B900DC" w14:paraId="3F333A38" w14:textId="77777777" w:rsidTr="00B900DC">
        <w:tc>
          <w:tcPr>
            <w:tcW w:w="4157" w:type="dxa"/>
            <w:tcBorders>
              <w:top w:val="single" w:sz="4" w:space="0" w:color="auto"/>
              <w:left w:val="single" w:sz="4" w:space="0" w:color="auto"/>
              <w:bottom w:val="single" w:sz="4" w:space="0" w:color="auto"/>
              <w:right w:val="single" w:sz="4" w:space="0" w:color="auto"/>
            </w:tcBorders>
          </w:tcPr>
          <w:p w14:paraId="14EA914A" w14:textId="6233CF96" w:rsidR="00B900DC" w:rsidRPr="00F47FED" w:rsidRDefault="00B900DC" w:rsidP="00B900DC">
            <w:pPr>
              <w:tabs>
                <w:tab w:val="left" w:pos="6804"/>
              </w:tabs>
              <w:rPr>
                <w:rFonts w:eastAsia="Times New Roman"/>
                <w:color w:val="000000" w:themeColor="text1"/>
                <w:szCs w:val="22"/>
                <w:lang w:eastAsia="ru-RU"/>
              </w:rPr>
            </w:pPr>
            <w:r w:rsidRPr="00F527EB">
              <w:rPr>
                <w:b/>
              </w:rPr>
              <w:t>Масса капсулы:</w:t>
            </w:r>
          </w:p>
        </w:tc>
        <w:tc>
          <w:tcPr>
            <w:tcW w:w="1227" w:type="dxa"/>
            <w:tcBorders>
              <w:top w:val="single" w:sz="4" w:space="0" w:color="auto"/>
              <w:left w:val="single" w:sz="4" w:space="0" w:color="auto"/>
              <w:bottom w:val="single" w:sz="4" w:space="0" w:color="auto"/>
              <w:right w:val="single" w:sz="4" w:space="0" w:color="auto"/>
            </w:tcBorders>
            <w:vAlign w:val="center"/>
          </w:tcPr>
          <w:p w14:paraId="05D46F1F" w14:textId="78AF8694" w:rsidR="00B900DC" w:rsidRDefault="00B900DC" w:rsidP="00B900DC">
            <w:pPr>
              <w:jc w:val="center"/>
              <w:rPr>
                <w:color w:val="000000"/>
              </w:rPr>
            </w:pPr>
            <w:r w:rsidRPr="00F527EB">
              <w:rPr>
                <w:b/>
                <w:lang w:val="en-US"/>
              </w:rPr>
              <w:t>147</w:t>
            </w:r>
            <w:r w:rsidRPr="00F527EB">
              <w:rPr>
                <w:b/>
              </w:rPr>
              <w:t>,00 мг</w:t>
            </w:r>
          </w:p>
        </w:tc>
        <w:tc>
          <w:tcPr>
            <w:tcW w:w="1311" w:type="dxa"/>
            <w:tcBorders>
              <w:top w:val="single" w:sz="4" w:space="0" w:color="auto"/>
              <w:left w:val="single" w:sz="4" w:space="0" w:color="auto"/>
              <w:bottom w:val="single" w:sz="4" w:space="0" w:color="auto"/>
              <w:right w:val="single" w:sz="4" w:space="0" w:color="auto"/>
            </w:tcBorders>
            <w:vAlign w:val="center"/>
          </w:tcPr>
          <w:p w14:paraId="41B7A452" w14:textId="514B5A05" w:rsidR="00B900DC" w:rsidRDefault="00564D93" w:rsidP="00564D93">
            <w:pPr>
              <w:jc w:val="center"/>
              <w:rPr>
                <w:color w:val="000000"/>
              </w:rPr>
            </w:pPr>
            <w:r w:rsidRPr="00F527EB">
              <w:rPr>
                <w:b/>
                <w:lang w:val="en-US"/>
              </w:rPr>
              <w:t>1</w:t>
            </w:r>
            <w:r>
              <w:rPr>
                <w:b/>
              </w:rPr>
              <w:t>3</w:t>
            </w:r>
            <w:r w:rsidRPr="00F527EB">
              <w:rPr>
                <w:b/>
                <w:lang w:val="en-US"/>
              </w:rPr>
              <w:t>7</w:t>
            </w:r>
            <w:r w:rsidRPr="00F527EB">
              <w:rPr>
                <w:b/>
              </w:rPr>
              <w:t>,00 мг</w:t>
            </w:r>
          </w:p>
        </w:tc>
        <w:tc>
          <w:tcPr>
            <w:tcW w:w="1302" w:type="dxa"/>
            <w:tcBorders>
              <w:top w:val="single" w:sz="4" w:space="0" w:color="auto"/>
              <w:left w:val="single" w:sz="4" w:space="0" w:color="auto"/>
              <w:bottom w:val="single" w:sz="4" w:space="0" w:color="auto"/>
              <w:right w:val="single" w:sz="4" w:space="0" w:color="auto"/>
            </w:tcBorders>
            <w:vAlign w:val="center"/>
          </w:tcPr>
          <w:p w14:paraId="3D27B023" w14:textId="7123F731" w:rsidR="00B900DC" w:rsidRDefault="00B900DC" w:rsidP="00B900DC">
            <w:pPr>
              <w:jc w:val="center"/>
              <w:rPr>
                <w:color w:val="000000"/>
              </w:rPr>
            </w:pPr>
            <w:r w:rsidRPr="00F527EB">
              <w:rPr>
                <w:b/>
                <w:lang w:val="en-US"/>
              </w:rPr>
              <w:t>147</w:t>
            </w:r>
            <w:r w:rsidRPr="00F527EB">
              <w:rPr>
                <w:b/>
              </w:rPr>
              <w:t>,00 мг</w:t>
            </w:r>
          </w:p>
        </w:tc>
        <w:tc>
          <w:tcPr>
            <w:tcW w:w="1346" w:type="dxa"/>
            <w:tcBorders>
              <w:top w:val="single" w:sz="4" w:space="0" w:color="auto"/>
              <w:left w:val="single" w:sz="4" w:space="0" w:color="auto"/>
              <w:bottom w:val="single" w:sz="4" w:space="0" w:color="auto"/>
              <w:right w:val="single" w:sz="4" w:space="0" w:color="auto"/>
            </w:tcBorders>
            <w:vAlign w:val="center"/>
          </w:tcPr>
          <w:p w14:paraId="369CFA18" w14:textId="4CAD679C" w:rsidR="00B900DC" w:rsidRDefault="00564D93" w:rsidP="00564D93">
            <w:pPr>
              <w:jc w:val="center"/>
              <w:rPr>
                <w:color w:val="000000"/>
              </w:rPr>
            </w:pPr>
            <w:r w:rsidRPr="00F527EB">
              <w:rPr>
                <w:b/>
                <w:lang w:val="en-US"/>
              </w:rPr>
              <w:t>1</w:t>
            </w:r>
            <w:r>
              <w:rPr>
                <w:b/>
              </w:rPr>
              <w:t>3</w:t>
            </w:r>
            <w:r w:rsidRPr="00F527EB">
              <w:rPr>
                <w:b/>
                <w:lang w:val="en-US"/>
              </w:rPr>
              <w:t>7</w:t>
            </w:r>
            <w:r w:rsidRPr="00F527EB">
              <w:rPr>
                <w:b/>
              </w:rPr>
              <w:t>,00 мг</w:t>
            </w:r>
          </w:p>
        </w:tc>
      </w:tr>
      <w:tr w:rsidR="00201FA0" w14:paraId="66844F6E" w14:textId="77777777" w:rsidTr="00201FA0">
        <w:tc>
          <w:tcPr>
            <w:tcW w:w="9343" w:type="dxa"/>
            <w:gridSpan w:val="5"/>
            <w:tcBorders>
              <w:top w:val="single" w:sz="4" w:space="0" w:color="auto"/>
              <w:left w:val="single" w:sz="4" w:space="0" w:color="auto"/>
              <w:bottom w:val="single" w:sz="4" w:space="0" w:color="auto"/>
              <w:right w:val="single" w:sz="4" w:space="0" w:color="auto"/>
            </w:tcBorders>
            <w:vAlign w:val="center"/>
          </w:tcPr>
          <w:p w14:paraId="538F0095" w14:textId="3F736226" w:rsidR="00201FA0" w:rsidRPr="00094E98" w:rsidRDefault="00201FA0" w:rsidP="00201FA0">
            <w:pPr>
              <w:rPr>
                <w:b/>
                <w:color w:val="000000"/>
                <w:sz w:val="20"/>
                <w:szCs w:val="20"/>
              </w:rPr>
            </w:pPr>
            <w:r w:rsidRPr="00EF78D6">
              <w:rPr>
                <w:b/>
                <w:color w:val="000000"/>
                <w:sz w:val="20"/>
                <w:szCs w:val="20"/>
              </w:rPr>
              <w:t>Примечание:</w:t>
            </w:r>
          </w:p>
          <w:p w14:paraId="68A3947C" w14:textId="6AF47616" w:rsidR="00201FA0" w:rsidRPr="00201FA0" w:rsidRDefault="00965355" w:rsidP="00965355">
            <w:pPr>
              <w:rPr>
                <w:color w:val="000000"/>
              </w:rPr>
            </w:pPr>
            <w:r>
              <w:rPr>
                <w:color w:val="000000"/>
                <w:sz w:val="20"/>
                <w:szCs w:val="20"/>
              </w:rPr>
              <w:t>*</w:t>
            </w:r>
            <w:r w:rsidR="00201FA0" w:rsidRPr="00EF78D6">
              <w:rPr>
                <w:color w:val="000000"/>
                <w:sz w:val="20"/>
                <w:szCs w:val="20"/>
              </w:rPr>
              <w:t>В составе референтного препарата Ленвима</w:t>
            </w:r>
            <w:r w:rsidR="00201FA0" w:rsidRPr="00EF78D6">
              <w:rPr>
                <w:color w:val="000000"/>
                <w:sz w:val="20"/>
                <w:szCs w:val="20"/>
                <w:vertAlign w:val="superscript"/>
              </w:rPr>
              <w:t>®</w:t>
            </w:r>
            <w:r w:rsidR="00201FA0" w:rsidRPr="00EF78D6">
              <w:rPr>
                <w:color w:val="000000"/>
                <w:sz w:val="20"/>
                <w:szCs w:val="20"/>
              </w:rPr>
              <w:t xml:space="preserve"> не указан тип целлюлозы микрокристаллической, входящей в состав капсулы, в то время как в составе исследуемого препарата </w:t>
            </w:r>
            <w:r w:rsidR="00201FA0" w:rsidRPr="00EF78D6">
              <w:rPr>
                <w:rFonts w:eastAsiaTheme="minorHAnsi"/>
                <w:color w:val="000000" w:themeColor="text1"/>
                <w:sz w:val="20"/>
                <w:szCs w:val="20"/>
                <w:lang w:eastAsia="en-US"/>
              </w:rPr>
              <w:t>DT-</w:t>
            </w:r>
            <w:r w:rsidR="00201FA0" w:rsidRPr="00EF78D6">
              <w:rPr>
                <w:rFonts w:eastAsiaTheme="minorHAnsi"/>
                <w:color w:val="000000" w:themeColor="text1"/>
                <w:sz w:val="20"/>
                <w:szCs w:val="20"/>
                <w:lang w:val="en-US" w:eastAsia="en-US"/>
              </w:rPr>
              <w:t>LNV</w:t>
            </w:r>
            <w:r w:rsidR="00201FA0" w:rsidRPr="00EF78D6">
              <w:rPr>
                <w:rFonts w:eastAsiaTheme="minorHAnsi"/>
                <w:color w:val="000000" w:themeColor="text1"/>
                <w:sz w:val="20"/>
                <w:szCs w:val="20"/>
                <w:lang w:eastAsia="en-US"/>
              </w:rPr>
              <w:t xml:space="preserve"> присутствуют два типа целлюлозы микрокристаллической. </w:t>
            </w:r>
            <w:r w:rsidR="00EF78D6" w:rsidRPr="00EF78D6">
              <w:rPr>
                <w:rFonts w:eastAsiaTheme="minorHAnsi"/>
                <w:color w:val="000000" w:themeColor="text1"/>
                <w:sz w:val="20"/>
                <w:szCs w:val="20"/>
                <w:lang w:eastAsia="en-US"/>
              </w:rPr>
              <w:t xml:space="preserve">При этом </w:t>
            </w:r>
            <w:r>
              <w:rPr>
                <w:rFonts w:eastAsiaTheme="minorHAnsi"/>
                <w:color w:val="000000" w:themeColor="text1"/>
                <w:sz w:val="20"/>
                <w:szCs w:val="20"/>
                <w:lang w:eastAsia="en-US"/>
              </w:rPr>
              <w:t>общее</w:t>
            </w:r>
            <w:r w:rsidR="00EF78D6" w:rsidRPr="00EF78D6">
              <w:rPr>
                <w:rFonts w:eastAsiaTheme="minorHAnsi"/>
                <w:color w:val="000000" w:themeColor="text1"/>
                <w:sz w:val="20"/>
                <w:szCs w:val="20"/>
                <w:lang w:eastAsia="en-US"/>
              </w:rPr>
              <w:t xml:space="preserve"> к</w:t>
            </w:r>
            <w:r w:rsidR="00201FA0" w:rsidRPr="00EF78D6">
              <w:rPr>
                <w:rFonts w:eastAsiaTheme="minorHAnsi"/>
                <w:color w:val="000000" w:themeColor="text1"/>
                <w:sz w:val="20"/>
                <w:szCs w:val="20"/>
                <w:lang w:eastAsia="en-US"/>
              </w:rPr>
              <w:t>оличественн</w:t>
            </w:r>
            <w:r w:rsidR="00EF78D6" w:rsidRPr="00EF78D6">
              <w:rPr>
                <w:rFonts w:eastAsiaTheme="minorHAnsi"/>
                <w:color w:val="000000" w:themeColor="text1"/>
                <w:sz w:val="20"/>
                <w:szCs w:val="20"/>
                <w:lang w:eastAsia="en-US"/>
              </w:rPr>
              <w:t>ое</w:t>
            </w:r>
            <w:r w:rsidR="00201FA0" w:rsidRPr="00EF78D6">
              <w:rPr>
                <w:rFonts w:eastAsiaTheme="minorHAnsi"/>
                <w:color w:val="000000" w:themeColor="text1"/>
                <w:sz w:val="20"/>
                <w:szCs w:val="20"/>
                <w:lang w:eastAsia="en-US"/>
              </w:rPr>
              <w:t xml:space="preserve"> </w:t>
            </w:r>
            <w:r w:rsidR="00EF78D6" w:rsidRPr="00EF78D6">
              <w:rPr>
                <w:rFonts w:eastAsiaTheme="minorHAnsi"/>
                <w:color w:val="000000" w:themeColor="text1"/>
                <w:sz w:val="20"/>
                <w:szCs w:val="20"/>
                <w:lang w:eastAsia="en-US"/>
              </w:rPr>
              <w:t>содержание</w:t>
            </w:r>
            <w:r w:rsidR="00201FA0" w:rsidRPr="00EF78D6">
              <w:rPr>
                <w:color w:val="000000"/>
                <w:sz w:val="20"/>
                <w:szCs w:val="20"/>
              </w:rPr>
              <w:t xml:space="preserve"> </w:t>
            </w:r>
            <w:r w:rsidR="00EF78D6" w:rsidRPr="00EF78D6">
              <w:rPr>
                <w:color w:val="000000"/>
                <w:sz w:val="20"/>
                <w:szCs w:val="20"/>
              </w:rPr>
              <w:t xml:space="preserve">двух типов целлюлозы микрокристаллической в составе исследуемого препарата полностью соответствует количественному содержанию </w:t>
            </w:r>
            <w:r w:rsidR="00201FA0" w:rsidRPr="00EF78D6">
              <w:rPr>
                <w:color w:val="000000"/>
                <w:sz w:val="20"/>
                <w:szCs w:val="20"/>
              </w:rPr>
              <w:t>целлюлозы микрокристаллической в составе референтного препарата</w:t>
            </w:r>
            <w:r w:rsidR="00EF78D6" w:rsidRPr="00EF78D6">
              <w:rPr>
                <w:color w:val="000000"/>
                <w:sz w:val="20"/>
                <w:szCs w:val="20"/>
              </w:rPr>
              <w:t>.</w:t>
            </w:r>
            <w:r w:rsidR="00201FA0">
              <w:rPr>
                <w:color w:val="000000"/>
              </w:rPr>
              <w:t xml:space="preserve"> </w:t>
            </w:r>
          </w:p>
        </w:tc>
      </w:tr>
      <w:bookmarkEnd w:id="62"/>
    </w:tbl>
    <w:p w14:paraId="057614CC" w14:textId="77777777" w:rsidR="005F4BB6" w:rsidRDefault="005F4BB6" w:rsidP="00564D93">
      <w:pPr>
        <w:rPr>
          <w:bCs/>
          <w:color w:val="FF0000"/>
          <w:lang w:eastAsia="ru-RU"/>
        </w:rPr>
      </w:pPr>
    </w:p>
    <w:p w14:paraId="1B5D29BB" w14:textId="673E9628" w:rsidR="00544FFA" w:rsidRPr="005F4BB6" w:rsidRDefault="005F4BB6" w:rsidP="00564D93">
      <w:pPr>
        <w:rPr>
          <w:b/>
          <w:bCs/>
          <w:lang w:eastAsia="ru-RU"/>
        </w:rPr>
      </w:pPr>
      <w:r w:rsidRPr="005F4BB6">
        <w:rPr>
          <w:b/>
          <w:bCs/>
          <w:lang w:eastAsia="ru-RU"/>
        </w:rPr>
        <w:t xml:space="preserve">Тест сравнительной кинетики растворения препарата </w:t>
      </w:r>
      <w:r w:rsidRPr="005F4BB6">
        <w:rPr>
          <w:b/>
          <w:bCs/>
          <w:lang w:val="en-US" w:eastAsia="ru-RU"/>
        </w:rPr>
        <w:t>D</w:t>
      </w:r>
      <w:r w:rsidRPr="005F4BB6">
        <w:rPr>
          <w:b/>
          <w:lang w:val="en-US"/>
        </w:rPr>
        <w:t>T</w:t>
      </w:r>
      <w:r w:rsidRPr="005F4BB6">
        <w:rPr>
          <w:b/>
        </w:rPr>
        <w:t>-</w:t>
      </w:r>
      <w:r w:rsidRPr="005F4BB6">
        <w:rPr>
          <w:b/>
          <w:lang w:val="en-US"/>
        </w:rPr>
        <w:t>LNV</w:t>
      </w:r>
      <w:r w:rsidRPr="005F4BB6">
        <w:rPr>
          <w:b/>
          <w:bCs/>
          <w:lang w:eastAsia="ru-RU"/>
        </w:rPr>
        <w:t xml:space="preserve"> в сравнении с препаратом Ленвима</w:t>
      </w:r>
      <w:r w:rsidRPr="005F4BB6">
        <w:rPr>
          <w:b/>
          <w:vertAlign w:val="superscript"/>
          <w:lang w:eastAsia="ru-RU"/>
        </w:rPr>
        <w:t xml:space="preserve">® </w:t>
      </w:r>
      <w:r w:rsidRPr="005F4BB6">
        <w:rPr>
          <w:b/>
          <w:lang w:eastAsia="ru-RU"/>
        </w:rPr>
        <w:t>для дозировки 4 мг</w:t>
      </w:r>
      <w:r>
        <w:rPr>
          <w:b/>
          <w:bCs/>
          <w:lang w:eastAsia="ru-RU"/>
        </w:rPr>
        <w:t xml:space="preserve"> </w:t>
      </w:r>
    </w:p>
    <w:p w14:paraId="3F636597" w14:textId="77777777" w:rsidR="005F4BB6" w:rsidRDefault="005F4BB6" w:rsidP="004633D0">
      <w:pPr>
        <w:ind w:firstLine="709"/>
        <w:rPr>
          <w:color w:val="000000" w:themeColor="text1"/>
        </w:rPr>
      </w:pPr>
    </w:p>
    <w:p w14:paraId="0DA82DE9" w14:textId="2A59501E" w:rsidR="004633D0" w:rsidRDefault="004633D0" w:rsidP="004633D0">
      <w:pPr>
        <w:ind w:firstLine="709"/>
        <w:rPr>
          <w:rFonts w:eastAsia="Calibri"/>
          <w:lang w:eastAsia="en-US"/>
        </w:rPr>
      </w:pPr>
      <w:r w:rsidRPr="003E68EC">
        <w:rPr>
          <w:color w:val="000000" w:themeColor="text1"/>
        </w:rPr>
        <w:t xml:space="preserve">Для доказательства эквивалентности препарата </w:t>
      </w:r>
      <w:r w:rsidRPr="002B180A">
        <w:rPr>
          <w:bCs/>
          <w:lang w:val="en-US" w:eastAsia="ru-RU"/>
        </w:rPr>
        <w:t>D</w:t>
      </w:r>
      <w:r w:rsidRPr="002B180A">
        <w:rPr>
          <w:lang w:val="en-US"/>
        </w:rPr>
        <w:t>T</w:t>
      </w:r>
      <w:r w:rsidRPr="002B180A">
        <w:t>-</w:t>
      </w:r>
      <w:r>
        <w:rPr>
          <w:lang w:val="en-US"/>
        </w:rPr>
        <w:t>LNV</w:t>
      </w:r>
      <w:r w:rsidRPr="003E68EC">
        <w:rPr>
          <w:color w:val="000000" w:themeColor="text1"/>
        </w:rPr>
        <w:t xml:space="preserve"> были проведены исследования сравнительной кинетики растворения в сравнении с референтным препаратом </w:t>
      </w:r>
      <w:r w:rsidRPr="002B180A">
        <w:rPr>
          <w:bCs/>
          <w:lang w:eastAsia="ru-RU"/>
        </w:rPr>
        <w:t>Ленвима</w:t>
      </w:r>
      <w:r w:rsidRPr="002B180A">
        <w:rPr>
          <w:vertAlign w:val="superscript"/>
          <w:lang w:eastAsia="ru-RU"/>
        </w:rPr>
        <w:t xml:space="preserve"> ®</w:t>
      </w:r>
      <w:r w:rsidRPr="002B180A">
        <w:rPr>
          <w:rFonts w:eastAsia="Calibri"/>
        </w:rPr>
        <w:t xml:space="preserve"> </w:t>
      </w:r>
      <w:r w:rsidRPr="002B180A">
        <w:t>(</w:t>
      </w:r>
      <w:r w:rsidRPr="002B180A">
        <w:rPr>
          <w:bCs/>
          <w:lang w:eastAsia="ru-RU"/>
        </w:rPr>
        <w:t>Эйсай Юроп Лимитед, Соединенное Королевство</w:t>
      </w:r>
      <w:r w:rsidRPr="002B180A">
        <w:t>)</w:t>
      </w:r>
      <w:r w:rsidRPr="00D050C7">
        <w:t xml:space="preserve"> </w:t>
      </w:r>
      <w:r w:rsidRPr="003E68EC">
        <w:rPr>
          <w:rFonts w:eastAsiaTheme="minorHAnsi"/>
          <w:color w:val="000000" w:themeColor="text1"/>
          <w:lang w:eastAsia="en-US"/>
        </w:rPr>
        <w:t xml:space="preserve">в дозировке </w:t>
      </w:r>
      <w:r w:rsidRPr="00D050C7">
        <w:rPr>
          <w:rFonts w:eastAsiaTheme="minorHAnsi"/>
          <w:color w:val="000000" w:themeColor="text1"/>
          <w:lang w:eastAsia="en-US"/>
        </w:rPr>
        <w:t>4</w:t>
      </w:r>
      <w:r w:rsidRPr="003E68EC">
        <w:rPr>
          <w:rFonts w:eastAsiaTheme="minorHAnsi"/>
          <w:color w:val="000000" w:themeColor="text1"/>
          <w:lang w:eastAsia="en-US"/>
        </w:rPr>
        <w:t xml:space="preserve"> мг. </w:t>
      </w:r>
      <w:r w:rsidRPr="003E68EC">
        <w:rPr>
          <w:rFonts w:eastAsia="Calibri"/>
          <w:lang w:eastAsia="en-US"/>
        </w:rPr>
        <w:t xml:space="preserve">Исследование проводили </w:t>
      </w:r>
      <w:r>
        <w:rPr>
          <w:rFonts w:eastAsia="Calibri"/>
          <w:lang w:eastAsia="en-US"/>
        </w:rPr>
        <w:t xml:space="preserve">на аппарате «Лопастная мешалка» при скорости вращения 50 об/мин при температуре </w:t>
      </w:r>
      <w:r w:rsidRPr="003E68EC">
        <w:rPr>
          <w:rFonts w:eastAsia="Calibri"/>
          <w:lang w:eastAsia="en-US"/>
        </w:rPr>
        <w:t xml:space="preserve">37 ± 0,5 </w:t>
      </w:r>
      <w:r w:rsidRPr="003E68EC">
        <w:rPr>
          <w:rFonts w:eastAsia="Calibri"/>
          <w:vertAlign w:val="superscript"/>
          <w:lang w:eastAsia="en-US"/>
        </w:rPr>
        <w:t>о</w:t>
      </w:r>
      <w:r w:rsidRPr="003E68EC">
        <w:rPr>
          <w:rFonts w:eastAsia="Calibri"/>
          <w:lang w:eastAsia="en-US"/>
        </w:rPr>
        <w:t>С</w:t>
      </w:r>
      <w:r>
        <w:rPr>
          <w:rFonts w:eastAsia="Calibri"/>
          <w:lang w:eastAsia="en-US"/>
        </w:rPr>
        <w:t>. Объем среды растворения – 900 мл. Испытания проводили с использованием трех сред растворения:</w:t>
      </w:r>
    </w:p>
    <w:p w14:paraId="07F5FAF2" w14:textId="5EA2B3A7" w:rsidR="004633D0" w:rsidRDefault="00943E1B" w:rsidP="004633D0">
      <w:pPr>
        <w:pStyle w:val="af3"/>
        <w:numPr>
          <w:ilvl w:val="0"/>
          <w:numId w:val="38"/>
        </w:numPr>
        <w:rPr>
          <w:rFonts w:eastAsia="Calibri"/>
          <w:lang w:eastAsia="en-US"/>
        </w:rPr>
      </w:pPr>
      <w:r>
        <w:rPr>
          <w:rFonts w:eastAsia="Calibri"/>
          <w:lang w:eastAsia="en-US"/>
        </w:rPr>
        <w:t>0,1 М раствор хлороводородной кислоты</w:t>
      </w:r>
      <w:r w:rsidR="004633D0" w:rsidRPr="00D050C7">
        <w:rPr>
          <w:rFonts w:eastAsia="Calibri"/>
          <w:lang w:eastAsia="en-US"/>
        </w:rPr>
        <w:t xml:space="preserve"> </w:t>
      </w:r>
      <w:r w:rsidR="004633D0">
        <w:rPr>
          <w:rFonts w:eastAsia="Calibri"/>
          <w:lang w:eastAsia="en-US"/>
        </w:rPr>
        <w:t>(среда по проекту НД).;</w:t>
      </w:r>
    </w:p>
    <w:p w14:paraId="02A8CB58" w14:textId="77777777" w:rsidR="004633D0" w:rsidRDefault="004633D0" w:rsidP="004633D0">
      <w:pPr>
        <w:pStyle w:val="af3"/>
        <w:numPr>
          <w:ilvl w:val="0"/>
          <w:numId w:val="38"/>
        </w:numPr>
        <w:rPr>
          <w:rFonts w:eastAsia="Calibri"/>
          <w:lang w:eastAsia="en-US"/>
        </w:rPr>
      </w:pPr>
      <w:r>
        <w:rPr>
          <w:rFonts w:eastAsia="Calibri"/>
          <w:lang w:eastAsia="en-US"/>
        </w:rPr>
        <w:t xml:space="preserve">Ацетатный буферный раствор с </w:t>
      </w:r>
      <w:r>
        <w:rPr>
          <w:rFonts w:eastAsia="Calibri"/>
          <w:lang w:val="en-GB" w:eastAsia="en-US"/>
        </w:rPr>
        <w:t>pH</w:t>
      </w:r>
      <w:r w:rsidRPr="00285388">
        <w:rPr>
          <w:rFonts w:eastAsia="Calibri"/>
          <w:lang w:eastAsia="en-US"/>
        </w:rPr>
        <w:t xml:space="preserve"> </w:t>
      </w:r>
      <w:r>
        <w:rPr>
          <w:rFonts w:eastAsia="Calibri"/>
          <w:lang w:eastAsia="en-US"/>
        </w:rPr>
        <w:t>4,5</w:t>
      </w:r>
    </w:p>
    <w:p w14:paraId="208D8FA4" w14:textId="5FD70F34" w:rsidR="004633D0" w:rsidRPr="00757496" w:rsidRDefault="004633D0" w:rsidP="004633D0">
      <w:pPr>
        <w:pStyle w:val="af3"/>
        <w:numPr>
          <w:ilvl w:val="0"/>
          <w:numId w:val="38"/>
        </w:numPr>
        <w:rPr>
          <w:rFonts w:eastAsia="Calibri"/>
          <w:lang w:eastAsia="en-US"/>
        </w:rPr>
      </w:pPr>
      <w:r>
        <w:rPr>
          <w:rFonts w:eastAsia="Calibri"/>
          <w:lang w:eastAsia="en-US"/>
        </w:rPr>
        <w:t xml:space="preserve">Фосфатный буферный раствор с </w:t>
      </w:r>
      <w:r>
        <w:rPr>
          <w:rFonts w:eastAsia="Calibri"/>
          <w:lang w:val="en-GB" w:eastAsia="en-US"/>
        </w:rPr>
        <w:t>pH</w:t>
      </w:r>
      <w:r w:rsidRPr="00285388">
        <w:rPr>
          <w:rFonts w:eastAsia="Calibri"/>
          <w:lang w:eastAsia="en-US"/>
        </w:rPr>
        <w:t xml:space="preserve"> 6</w:t>
      </w:r>
      <w:r>
        <w:rPr>
          <w:rFonts w:eastAsia="Calibri"/>
          <w:lang w:eastAsia="en-US"/>
        </w:rPr>
        <w:t xml:space="preserve">,8 </w:t>
      </w:r>
    </w:p>
    <w:p w14:paraId="71CC418C" w14:textId="398A47DF" w:rsidR="004633D0" w:rsidRPr="00943E1B" w:rsidRDefault="004633D0" w:rsidP="004633D0">
      <w:pPr>
        <w:ind w:firstLine="709"/>
        <w:rPr>
          <w:rFonts w:eastAsia="Calibri"/>
          <w:lang w:eastAsia="en-US"/>
        </w:rPr>
      </w:pPr>
      <w:r w:rsidRPr="007D0F3E">
        <w:rPr>
          <w:rFonts w:eastAsia="Calibri"/>
          <w:lang w:eastAsia="en-US"/>
        </w:rPr>
        <w:t xml:space="preserve">Временные точки отбора проб: 10 мин, 15 мин, 20 мин, 30 мин и 45 мин. Количественное определение высвободившихся </w:t>
      </w:r>
      <w:r w:rsidR="00504969">
        <w:rPr>
          <w:rFonts w:eastAsia="Calibri"/>
          <w:lang w:eastAsia="en-US"/>
        </w:rPr>
        <w:t>ленватиниб</w:t>
      </w:r>
      <w:r>
        <w:rPr>
          <w:rFonts w:eastAsia="Calibri"/>
          <w:lang w:eastAsia="en-US"/>
        </w:rPr>
        <w:t xml:space="preserve">а </w:t>
      </w:r>
      <w:r w:rsidRPr="007D0F3E">
        <w:rPr>
          <w:rFonts w:eastAsia="Calibri"/>
          <w:lang w:eastAsia="en-US"/>
        </w:rPr>
        <w:t xml:space="preserve">проводили методом </w:t>
      </w:r>
      <w:r w:rsidR="00943E1B">
        <w:rPr>
          <w:rFonts w:eastAsia="Calibri"/>
          <w:lang w:eastAsia="en-US"/>
        </w:rPr>
        <w:t>УФ-</w:t>
      </w:r>
      <w:r w:rsidR="00943E1B">
        <w:rPr>
          <w:rFonts w:eastAsia="Calibri"/>
          <w:lang w:eastAsia="en-US"/>
        </w:rPr>
        <w:lastRenderedPageBreak/>
        <w:t>спектрофотометрии</w:t>
      </w:r>
      <w:r w:rsidRPr="007D0F3E">
        <w:rPr>
          <w:rFonts w:eastAsia="Calibri"/>
          <w:lang w:eastAsia="en-US"/>
        </w:rPr>
        <w:t xml:space="preserve"> в соответствии с </w:t>
      </w:r>
      <w:r w:rsidRPr="00943E1B">
        <w:rPr>
          <w:rFonts w:eastAsia="Calibri"/>
          <w:lang w:eastAsia="en-US"/>
        </w:rPr>
        <w:t xml:space="preserve">требованиями ФЕАЭС </w:t>
      </w:r>
      <w:r w:rsidR="00943E1B" w:rsidRPr="00943E1B">
        <w:rPr>
          <w:i/>
          <w:spacing w:val="-6"/>
        </w:rPr>
        <w:t>2.1.2.24 «Абсорбционная спектрофотометрия в ультрафиолетовой и видимой областях».</w:t>
      </w:r>
    </w:p>
    <w:p w14:paraId="0A54B2E0" w14:textId="67ADC44D" w:rsidR="001F073E" w:rsidRDefault="004633D0" w:rsidP="000971D1">
      <w:pPr>
        <w:ind w:firstLine="851"/>
        <w:rPr>
          <w:b/>
        </w:rPr>
      </w:pPr>
      <w:r w:rsidRPr="003E68EC">
        <w:rPr>
          <w:color w:val="000000" w:themeColor="text1"/>
        </w:rPr>
        <w:t xml:space="preserve">Результаты теста сравнительной кинетики растворения (ТСКР) </w:t>
      </w:r>
      <w:r w:rsidR="00943E1B">
        <w:rPr>
          <w:color w:val="000000" w:themeColor="text1"/>
        </w:rPr>
        <w:t xml:space="preserve">для дозировки 4 мг </w:t>
      </w:r>
      <w:r w:rsidRPr="003E68EC">
        <w:rPr>
          <w:color w:val="000000" w:themeColor="text1"/>
        </w:rPr>
        <w:t>приведены в таблиц</w:t>
      </w:r>
      <w:r w:rsidR="00E93B67">
        <w:rPr>
          <w:color w:val="000000" w:themeColor="text1"/>
        </w:rPr>
        <w:t>ах</w:t>
      </w:r>
      <w:r w:rsidRPr="003E68EC">
        <w:rPr>
          <w:color w:val="000000" w:themeColor="text1"/>
        </w:rPr>
        <w:t xml:space="preserve"> 2-3</w:t>
      </w:r>
      <w:r w:rsidR="00F0519A">
        <w:rPr>
          <w:color w:val="000000" w:themeColor="text1"/>
        </w:rPr>
        <w:t xml:space="preserve"> </w:t>
      </w:r>
      <w:r w:rsidR="00E93B67" w:rsidRPr="003E68EC">
        <w:rPr>
          <w:color w:val="000000" w:themeColor="text1"/>
        </w:rPr>
        <w:t>–</w:t>
      </w:r>
      <w:r w:rsidR="00F0519A">
        <w:rPr>
          <w:color w:val="000000" w:themeColor="text1"/>
        </w:rPr>
        <w:t xml:space="preserve"> 2-7</w:t>
      </w:r>
      <w:r w:rsidRPr="003E68EC">
        <w:rPr>
          <w:color w:val="000000" w:themeColor="text1"/>
        </w:rPr>
        <w:t xml:space="preserve"> и на рисунках 2-</w:t>
      </w:r>
      <w:r w:rsidR="00C87C41">
        <w:rPr>
          <w:color w:val="000000" w:themeColor="text1"/>
        </w:rPr>
        <w:t>3</w:t>
      </w:r>
      <w:r w:rsidRPr="003E68EC">
        <w:rPr>
          <w:color w:val="000000" w:themeColor="text1"/>
        </w:rPr>
        <w:t xml:space="preserve"> – 2-</w:t>
      </w:r>
      <w:r w:rsidR="00C87C41">
        <w:rPr>
          <w:color w:val="000000" w:themeColor="text1"/>
        </w:rPr>
        <w:t>5</w:t>
      </w:r>
      <w:r w:rsidRPr="003E68EC">
        <w:rPr>
          <w:color w:val="000000" w:themeColor="text1"/>
        </w:rPr>
        <w:t>.</w:t>
      </w:r>
    </w:p>
    <w:p w14:paraId="56F9F09D" w14:textId="1C6873D1" w:rsidR="001F073E" w:rsidRPr="003E68EC" w:rsidRDefault="001F073E" w:rsidP="001F073E">
      <w:pPr>
        <w:rPr>
          <w:color w:val="000000" w:themeColor="text1"/>
        </w:rPr>
      </w:pPr>
      <w:r w:rsidRPr="003E68EC">
        <w:rPr>
          <w:b/>
        </w:rPr>
        <w:t>Таблица 2-3.</w:t>
      </w:r>
      <w:r w:rsidRPr="003E68EC">
        <w:t xml:space="preserve"> </w:t>
      </w:r>
      <w:r w:rsidRPr="003E68EC">
        <w:rPr>
          <w:color w:val="000000" w:themeColor="text1"/>
        </w:rPr>
        <w:t>Результаты теста сравнительной кинетики</w:t>
      </w:r>
      <w:r w:rsidRPr="00D050C7">
        <w:rPr>
          <w:color w:val="000000" w:themeColor="text1"/>
        </w:rPr>
        <w:t xml:space="preserve"> </w:t>
      </w:r>
      <w:r w:rsidRPr="003E68EC">
        <w:rPr>
          <w:color w:val="000000" w:themeColor="text1"/>
        </w:rPr>
        <w:t xml:space="preserve">растворения препарата </w:t>
      </w:r>
      <w:r w:rsidRPr="002B180A">
        <w:rPr>
          <w:bCs/>
          <w:lang w:val="en-US" w:eastAsia="ru-RU"/>
        </w:rPr>
        <w:t>D</w:t>
      </w:r>
      <w:r w:rsidRPr="002B180A">
        <w:rPr>
          <w:lang w:val="en-US"/>
        </w:rPr>
        <w:t>T</w:t>
      </w:r>
      <w:r w:rsidRPr="002B180A">
        <w:t>-</w:t>
      </w:r>
      <w:r>
        <w:rPr>
          <w:lang w:val="en-US"/>
        </w:rPr>
        <w:t>LNV</w:t>
      </w:r>
      <w:r w:rsidRPr="003E68EC">
        <w:rPr>
          <w:color w:val="000000" w:themeColor="text1"/>
        </w:rPr>
        <w:t xml:space="preserve">, </w:t>
      </w:r>
      <w:r w:rsidR="00E93B67">
        <w:rPr>
          <w:color w:val="000000" w:themeColor="text1"/>
        </w:rPr>
        <w:t>капсулы</w:t>
      </w:r>
      <w:r w:rsidRPr="003E68EC">
        <w:rPr>
          <w:color w:val="000000" w:themeColor="text1"/>
        </w:rPr>
        <w:t xml:space="preserve">, </w:t>
      </w:r>
      <w:r>
        <w:rPr>
          <w:color w:val="000000" w:themeColor="text1"/>
        </w:rPr>
        <w:t>4</w:t>
      </w:r>
      <w:r w:rsidRPr="003E68EC">
        <w:rPr>
          <w:color w:val="000000" w:themeColor="text1"/>
        </w:rPr>
        <w:t xml:space="preserve"> мг</w:t>
      </w:r>
      <w:r w:rsidR="00E93B67">
        <w:rPr>
          <w:color w:val="000000" w:themeColor="text1"/>
        </w:rPr>
        <w:t>,</w:t>
      </w:r>
      <w:r w:rsidRPr="003E68EC">
        <w:rPr>
          <w:color w:val="000000" w:themeColor="text1"/>
        </w:rPr>
        <w:t xml:space="preserve"> в сравнении с препаратом </w:t>
      </w:r>
      <w:r w:rsidRPr="002B180A">
        <w:rPr>
          <w:bCs/>
          <w:lang w:eastAsia="ru-RU"/>
        </w:rPr>
        <w:t>Ленвима</w:t>
      </w:r>
      <w:r w:rsidRPr="002B180A">
        <w:rPr>
          <w:vertAlign w:val="superscript"/>
          <w:lang w:eastAsia="ru-RU"/>
        </w:rPr>
        <w:t>®</w:t>
      </w:r>
      <w:r w:rsidR="00E93B67">
        <w:rPr>
          <w:lang w:eastAsia="ru-RU"/>
        </w:rPr>
        <w:t>,</w:t>
      </w:r>
      <w:r w:rsidR="00E93B67">
        <w:rPr>
          <w:vertAlign w:val="superscript"/>
          <w:lang w:eastAsia="ru-RU"/>
        </w:rPr>
        <w:t xml:space="preserve"> </w:t>
      </w:r>
      <w:r>
        <w:rPr>
          <w:color w:val="000000" w:themeColor="text1"/>
        </w:rPr>
        <w:t>капсулы</w:t>
      </w:r>
      <w:r w:rsidRPr="003E68EC">
        <w:rPr>
          <w:color w:val="000000" w:themeColor="text1"/>
        </w:rPr>
        <w:t xml:space="preserve">, </w:t>
      </w:r>
      <w:r>
        <w:rPr>
          <w:color w:val="000000" w:themeColor="text1"/>
        </w:rPr>
        <w:t xml:space="preserve">4 </w:t>
      </w:r>
      <w:r w:rsidRPr="003E68EC">
        <w:rPr>
          <w:color w:val="000000" w:themeColor="text1"/>
        </w:rPr>
        <w:t>мг.</w:t>
      </w:r>
    </w:p>
    <w:tbl>
      <w:tblPr>
        <w:tblW w:w="9446" w:type="dxa"/>
        <w:tblInd w:w="-10" w:type="dxa"/>
        <w:tblLayout w:type="fixed"/>
        <w:tblLook w:val="04A0" w:firstRow="1" w:lastRow="0" w:firstColumn="1" w:lastColumn="0" w:noHBand="0" w:noVBand="1"/>
      </w:tblPr>
      <w:tblGrid>
        <w:gridCol w:w="3186"/>
        <w:gridCol w:w="933"/>
        <w:gridCol w:w="2663"/>
        <w:gridCol w:w="2664"/>
      </w:tblGrid>
      <w:tr w:rsidR="001F073E" w:rsidRPr="001F073E" w14:paraId="57CED6AE" w14:textId="77777777" w:rsidTr="00E93B67">
        <w:trPr>
          <w:trHeight w:val="58"/>
        </w:trPr>
        <w:tc>
          <w:tcPr>
            <w:tcW w:w="3186" w:type="dxa"/>
            <w:vMerge w:val="restart"/>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hideMark/>
          </w:tcPr>
          <w:p w14:paraId="13C4F107" w14:textId="77777777" w:rsidR="001F073E" w:rsidRPr="00D050C7" w:rsidRDefault="001F073E" w:rsidP="00D050C7">
            <w:pPr>
              <w:jc w:val="center"/>
              <w:rPr>
                <w:b/>
                <w:bCs/>
                <w:color w:val="000000"/>
              </w:rPr>
            </w:pPr>
            <w:r w:rsidRPr="00D050C7">
              <w:rPr>
                <w:b/>
                <w:bCs/>
                <w:color w:val="000000"/>
              </w:rPr>
              <w:t>Среда</w:t>
            </w:r>
          </w:p>
          <w:p w14:paraId="055F6034" w14:textId="77777777" w:rsidR="001F073E" w:rsidRPr="00D050C7" w:rsidRDefault="001F073E" w:rsidP="00D050C7">
            <w:pPr>
              <w:jc w:val="center"/>
              <w:rPr>
                <w:b/>
                <w:bCs/>
                <w:color w:val="000000"/>
              </w:rPr>
            </w:pPr>
            <w:r w:rsidRPr="00D050C7">
              <w:rPr>
                <w:b/>
                <w:bCs/>
                <w:color w:val="000000"/>
              </w:rPr>
              <w:t>растворения</w:t>
            </w:r>
          </w:p>
        </w:tc>
        <w:tc>
          <w:tcPr>
            <w:tcW w:w="933" w:type="dxa"/>
            <w:vMerge w:val="restart"/>
            <w:tcBorders>
              <w:top w:val="single" w:sz="8" w:space="0" w:color="000000"/>
              <w:left w:val="single" w:sz="8" w:space="0" w:color="auto"/>
              <w:bottom w:val="single" w:sz="8" w:space="0" w:color="000000"/>
              <w:right w:val="single" w:sz="8" w:space="0" w:color="auto"/>
            </w:tcBorders>
            <w:shd w:val="clear" w:color="auto" w:fill="D9D9D9" w:themeFill="background1" w:themeFillShade="D9"/>
            <w:vAlign w:val="center"/>
            <w:hideMark/>
          </w:tcPr>
          <w:p w14:paraId="36FA6962" w14:textId="77777777" w:rsidR="001F073E" w:rsidRPr="00D050C7" w:rsidRDefault="001F073E" w:rsidP="00D050C7">
            <w:pPr>
              <w:ind w:left="-113" w:right="-113"/>
              <w:jc w:val="center"/>
              <w:rPr>
                <w:b/>
                <w:bCs/>
                <w:color w:val="000000"/>
              </w:rPr>
            </w:pPr>
            <w:r w:rsidRPr="00D050C7">
              <w:rPr>
                <w:b/>
                <w:bCs/>
                <w:color w:val="000000"/>
              </w:rPr>
              <w:t>Время,</w:t>
            </w:r>
          </w:p>
          <w:p w14:paraId="3FA99ACF" w14:textId="77777777" w:rsidR="001F073E" w:rsidRPr="00D050C7" w:rsidRDefault="001F073E" w:rsidP="00D050C7">
            <w:pPr>
              <w:ind w:left="-113" w:right="-113"/>
              <w:jc w:val="center"/>
              <w:rPr>
                <w:b/>
                <w:bCs/>
                <w:color w:val="000000"/>
              </w:rPr>
            </w:pPr>
            <w:r w:rsidRPr="00D050C7">
              <w:rPr>
                <w:b/>
                <w:bCs/>
                <w:color w:val="000000"/>
              </w:rPr>
              <w:t>мин</w:t>
            </w:r>
          </w:p>
        </w:tc>
        <w:tc>
          <w:tcPr>
            <w:tcW w:w="5327" w:type="dxa"/>
            <w:gridSpan w:val="2"/>
            <w:tcBorders>
              <w:top w:val="single" w:sz="8" w:space="0" w:color="000000"/>
              <w:left w:val="nil"/>
              <w:bottom w:val="single" w:sz="4" w:space="0" w:color="auto"/>
              <w:right w:val="single" w:sz="4" w:space="0" w:color="000000"/>
            </w:tcBorders>
            <w:shd w:val="clear" w:color="auto" w:fill="D9D9D9" w:themeFill="background1" w:themeFillShade="D9"/>
            <w:vAlign w:val="center"/>
            <w:hideMark/>
          </w:tcPr>
          <w:p w14:paraId="68A4D89B" w14:textId="77777777" w:rsidR="001F073E" w:rsidRPr="00D050C7" w:rsidRDefault="001F073E" w:rsidP="00D050C7">
            <w:pPr>
              <w:jc w:val="center"/>
              <w:rPr>
                <w:b/>
                <w:bCs/>
                <w:color w:val="000000"/>
              </w:rPr>
            </w:pPr>
            <w:r w:rsidRPr="00D050C7">
              <w:rPr>
                <w:b/>
                <w:bCs/>
                <w:color w:val="000000"/>
              </w:rPr>
              <w:t>Количество высвободившегося</w:t>
            </w:r>
          </w:p>
          <w:p w14:paraId="1716913F" w14:textId="1319CF84" w:rsidR="001F073E" w:rsidRPr="00D050C7" w:rsidRDefault="0083662A" w:rsidP="00D050C7">
            <w:pPr>
              <w:jc w:val="center"/>
              <w:rPr>
                <w:b/>
                <w:bCs/>
                <w:color w:val="000000"/>
              </w:rPr>
            </w:pPr>
            <w:r>
              <w:rPr>
                <w:b/>
                <w:bCs/>
                <w:color w:val="000000"/>
              </w:rPr>
              <w:t>действующего вещества</w:t>
            </w:r>
            <w:r w:rsidR="001F073E" w:rsidRPr="00D050C7">
              <w:rPr>
                <w:b/>
                <w:bCs/>
                <w:color w:val="000000"/>
              </w:rPr>
              <w:t>, %</w:t>
            </w:r>
          </w:p>
        </w:tc>
      </w:tr>
      <w:tr w:rsidR="001F073E" w:rsidRPr="001F073E" w14:paraId="21EBB63B" w14:textId="77777777" w:rsidTr="000971D1">
        <w:trPr>
          <w:trHeight w:val="645"/>
        </w:trPr>
        <w:tc>
          <w:tcPr>
            <w:tcW w:w="3186" w:type="dxa"/>
            <w:vMerge/>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tcPr>
          <w:p w14:paraId="350EC547" w14:textId="77777777" w:rsidR="001F073E" w:rsidRPr="00D050C7" w:rsidRDefault="001F073E" w:rsidP="00D050C7">
            <w:pPr>
              <w:jc w:val="center"/>
              <w:rPr>
                <w:b/>
                <w:bCs/>
                <w:color w:val="000000"/>
              </w:rPr>
            </w:pPr>
          </w:p>
        </w:tc>
        <w:tc>
          <w:tcPr>
            <w:tcW w:w="933" w:type="dxa"/>
            <w:vMerge/>
            <w:tcBorders>
              <w:top w:val="single" w:sz="8" w:space="0" w:color="000000"/>
              <w:left w:val="single" w:sz="8" w:space="0" w:color="auto"/>
              <w:bottom w:val="single" w:sz="8" w:space="0" w:color="000000"/>
              <w:right w:val="single" w:sz="4" w:space="0" w:color="auto"/>
            </w:tcBorders>
            <w:shd w:val="clear" w:color="auto" w:fill="D9D9D9" w:themeFill="background1" w:themeFillShade="D9"/>
            <w:vAlign w:val="center"/>
          </w:tcPr>
          <w:p w14:paraId="12B2F622" w14:textId="77777777" w:rsidR="001F073E" w:rsidRPr="00D050C7" w:rsidRDefault="001F073E" w:rsidP="00D050C7">
            <w:pPr>
              <w:ind w:left="-113" w:right="-113"/>
              <w:jc w:val="center"/>
              <w:rPr>
                <w:b/>
                <w:bCs/>
                <w:color w:val="000000"/>
              </w:rPr>
            </w:pPr>
          </w:p>
        </w:tc>
        <w:tc>
          <w:tcPr>
            <w:tcW w:w="2663"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14:paraId="769938CF" w14:textId="60E8DE53" w:rsidR="001F073E" w:rsidRPr="00E93B67" w:rsidRDefault="00E93B67" w:rsidP="00D050C7">
            <w:pPr>
              <w:jc w:val="center"/>
              <w:rPr>
                <w:b/>
                <w:bCs/>
                <w:color w:val="000000"/>
              </w:rPr>
            </w:pPr>
            <w:r w:rsidRPr="00E93B67">
              <w:rPr>
                <w:b/>
                <w:bCs/>
                <w:color w:val="000000"/>
                <w:lang w:val="en-US"/>
              </w:rPr>
              <w:t>DT</w:t>
            </w:r>
            <w:r w:rsidRPr="00E93B67">
              <w:rPr>
                <w:b/>
                <w:bCs/>
                <w:color w:val="000000"/>
              </w:rPr>
              <w:t>-</w:t>
            </w:r>
            <w:r w:rsidRPr="00E93B67">
              <w:rPr>
                <w:b/>
                <w:bCs/>
                <w:color w:val="000000"/>
                <w:lang w:val="en-US"/>
              </w:rPr>
              <w:t>LNV</w:t>
            </w:r>
            <w:r w:rsidRPr="00E93B67">
              <w:rPr>
                <w:b/>
                <w:bCs/>
                <w:color w:val="000000"/>
              </w:rPr>
              <w:t>,</w:t>
            </w:r>
          </w:p>
          <w:p w14:paraId="6F2561D2" w14:textId="042A519F" w:rsidR="001F073E" w:rsidRPr="00E93B67" w:rsidRDefault="001F073E" w:rsidP="00D050C7">
            <w:pPr>
              <w:jc w:val="center"/>
              <w:rPr>
                <w:b/>
                <w:bCs/>
                <w:color w:val="000000"/>
              </w:rPr>
            </w:pPr>
            <w:r w:rsidRPr="00E93B67">
              <w:rPr>
                <w:b/>
                <w:bCs/>
                <w:color w:val="000000"/>
              </w:rPr>
              <w:t>капсулы</w:t>
            </w:r>
            <w:r w:rsidR="00E93B67" w:rsidRPr="00E93B67">
              <w:rPr>
                <w:b/>
                <w:bCs/>
                <w:color w:val="000000"/>
              </w:rPr>
              <w:t>, 4 мг,</w:t>
            </w:r>
          </w:p>
          <w:p w14:paraId="0826A29D" w14:textId="06C20412" w:rsidR="001F073E" w:rsidRPr="00E93B67" w:rsidRDefault="001F073E" w:rsidP="00E93B67">
            <w:pPr>
              <w:jc w:val="center"/>
              <w:rPr>
                <w:b/>
                <w:bCs/>
                <w:color w:val="000000"/>
              </w:rPr>
            </w:pPr>
            <w:r w:rsidRPr="00E93B67">
              <w:rPr>
                <w:b/>
              </w:rPr>
              <w:t>с</w:t>
            </w:r>
            <w:r w:rsidR="00E93B67">
              <w:rPr>
                <w:b/>
              </w:rPr>
              <w:t>ерия</w:t>
            </w:r>
            <w:r w:rsidRPr="00E93B67">
              <w:rPr>
                <w:b/>
              </w:rPr>
              <w:t xml:space="preserve"> 011222</w:t>
            </w:r>
          </w:p>
        </w:tc>
        <w:tc>
          <w:tcPr>
            <w:tcW w:w="266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0D1D3BE" w14:textId="77777777" w:rsidR="00E93B67" w:rsidRDefault="001F073E" w:rsidP="00E93B67">
            <w:pPr>
              <w:jc w:val="center"/>
              <w:rPr>
                <w:b/>
              </w:rPr>
            </w:pPr>
            <w:r w:rsidRPr="00E93B67">
              <w:rPr>
                <w:b/>
              </w:rPr>
              <w:t>Ленвима</w:t>
            </w:r>
            <w:r w:rsidR="00E93B67" w:rsidRPr="00E93B67">
              <w:rPr>
                <w:b/>
                <w:vertAlign w:val="superscript"/>
                <w:lang w:val="en-US"/>
              </w:rPr>
              <w:t>®</w:t>
            </w:r>
            <w:r w:rsidR="00E93B67" w:rsidRPr="00E93B67">
              <w:rPr>
                <w:b/>
                <w:lang w:val="en-US"/>
              </w:rPr>
              <w:t>,</w:t>
            </w:r>
            <w:r w:rsidR="00E93B67" w:rsidRPr="00E93B67">
              <w:rPr>
                <w:b/>
              </w:rPr>
              <w:t xml:space="preserve"> </w:t>
            </w:r>
          </w:p>
          <w:p w14:paraId="6AD20C1B" w14:textId="77777777" w:rsidR="00E93B67" w:rsidRDefault="00E93B67" w:rsidP="00E93B67">
            <w:pPr>
              <w:jc w:val="center"/>
              <w:rPr>
                <w:b/>
              </w:rPr>
            </w:pPr>
            <w:r w:rsidRPr="00E93B67">
              <w:rPr>
                <w:b/>
              </w:rPr>
              <w:t>капсулы, 4 мг</w:t>
            </w:r>
            <w:r w:rsidR="001F073E" w:rsidRPr="00E93B67">
              <w:rPr>
                <w:b/>
              </w:rPr>
              <w:t xml:space="preserve">, </w:t>
            </w:r>
          </w:p>
          <w:p w14:paraId="4D39151C" w14:textId="24D71875" w:rsidR="001F073E" w:rsidRPr="00E93B67" w:rsidRDefault="001F073E" w:rsidP="00E93B67">
            <w:pPr>
              <w:jc w:val="center"/>
              <w:rPr>
                <w:b/>
                <w:bCs/>
                <w:color w:val="000000"/>
              </w:rPr>
            </w:pPr>
            <w:r w:rsidRPr="00E93B67">
              <w:rPr>
                <w:b/>
              </w:rPr>
              <w:t>с</w:t>
            </w:r>
            <w:r w:rsidR="00E93B67">
              <w:rPr>
                <w:b/>
              </w:rPr>
              <w:t>ерия</w:t>
            </w:r>
            <w:r w:rsidRPr="00E93B67">
              <w:rPr>
                <w:b/>
              </w:rPr>
              <w:t xml:space="preserve"> </w:t>
            </w:r>
            <w:r w:rsidRPr="00E93B67">
              <w:rPr>
                <w:rFonts w:eastAsiaTheme="minorHAnsi"/>
                <w:b/>
                <w:lang w:eastAsia="en-US"/>
              </w:rPr>
              <w:t>134208</w:t>
            </w:r>
          </w:p>
        </w:tc>
      </w:tr>
      <w:tr w:rsidR="001F073E" w:rsidRPr="001F073E" w14:paraId="433BE10C" w14:textId="77777777" w:rsidTr="00E93B67">
        <w:trPr>
          <w:trHeight w:val="58"/>
        </w:trPr>
        <w:tc>
          <w:tcPr>
            <w:tcW w:w="3186" w:type="dxa"/>
            <w:tcBorders>
              <w:top w:val="single" w:sz="8" w:space="0" w:color="000000"/>
              <w:left w:val="single" w:sz="8" w:space="0" w:color="000000"/>
              <w:bottom w:val="single" w:sz="8" w:space="0" w:color="000000"/>
              <w:right w:val="single" w:sz="8" w:space="0" w:color="auto"/>
            </w:tcBorders>
            <w:vAlign w:val="center"/>
          </w:tcPr>
          <w:p w14:paraId="6ABAADDA" w14:textId="77777777" w:rsidR="001F073E" w:rsidRPr="00D050C7" w:rsidRDefault="001F073E" w:rsidP="00D050C7">
            <w:pPr>
              <w:jc w:val="center"/>
              <w:rPr>
                <w:color w:val="000000"/>
              </w:rPr>
            </w:pPr>
            <w:r w:rsidRPr="00D050C7">
              <w:t>0,1 М раствор хлороводородной кислоты (среда по проекту НД)</w:t>
            </w:r>
          </w:p>
        </w:tc>
        <w:tc>
          <w:tcPr>
            <w:tcW w:w="933" w:type="dxa"/>
            <w:tcBorders>
              <w:top w:val="single" w:sz="8" w:space="0" w:color="000000"/>
              <w:left w:val="single" w:sz="8" w:space="0" w:color="auto"/>
              <w:bottom w:val="single" w:sz="8" w:space="0" w:color="000000"/>
              <w:right w:val="single" w:sz="8" w:space="0" w:color="auto"/>
            </w:tcBorders>
            <w:vAlign w:val="center"/>
          </w:tcPr>
          <w:p w14:paraId="16AC7BC9" w14:textId="77777777" w:rsidR="001F073E" w:rsidRPr="00D050C7" w:rsidRDefault="001F073E" w:rsidP="00D050C7">
            <w:pPr>
              <w:ind w:left="-113" w:right="-113"/>
              <w:jc w:val="center"/>
              <w:rPr>
                <w:color w:val="000000"/>
              </w:rPr>
            </w:pPr>
            <w:r w:rsidRPr="00D050C7">
              <w:rPr>
                <w:color w:val="000000"/>
              </w:rPr>
              <w:t>10</w:t>
            </w:r>
          </w:p>
          <w:p w14:paraId="72157D99" w14:textId="77777777" w:rsidR="001F073E" w:rsidRPr="00D050C7" w:rsidRDefault="001F073E" w:rsidP="00D050C7">
            <w:pPr>
              <w:ind w:left="-113" w:right="-113"/>
              <w:jc w:val="center"/>
              <w:rPr>
                <w:color w:val="000000"/>
              </w:rPr>
            </w:pPr>
            <w:r w:rsidRPr="00D050C7">
              <w:rPr>
                <w:color w:val="000000"/>
              </w:rPr>
              <w:t>15</w:t>
            </w:r>
          </w:p>
          <w:p w14:paraId="3D803D89" w14:textId="77777777" w:rsidR="001F073E" w:rsidRPr="00D050C7" w:rsidRDefault="001F073E" w:rsidP="00D050C7">
            <w:pPr>
              <w:ind w:left="-113" w:right="-113"/>
              <w:jc w:val="center"/>
              <w:rPr>
                <w:color w:val="000000"/>
              </w:rPr>
            </w:pPr>
            <w:r w:rsidRPr="00D050C7">
              <w:rPr>
                <w:color w:val="000000"/>
              </w:rPr>
              <w:t>20</w:t>
            </w:r>
          </w:p>
          <w:p w14:paraId="7BC57A6C" w14:textId="77777777" w:rsidR="001F073E" w:rsidRPr="00D050C7" w:rsidRDefault="001F073E" w:rsidP="00D050C7">
            <w:pPr>
              <w:ind w:left="-113" w:right="-113"/>
              <w:jc w:val="center"/>
              <w:rPr>
                <w:color w:val="000000"/>
              </w:rPr>
            </w:pPr>
            <w:r w:rsidRPr="00D050C7">
              <w:rPr>
                <w:color w:val="000000"/>
              </w:rPr>
              <w:t>30</w:t>
            </w:r>
          </w:p>
          <w:p w14:paraId="61F67047" w14:textId="77777777" w:rsidR="001F073E" w:rsidRPr="00D050C7" w:rsidRDefault="001F073E" w:rsidP="00D050C7">
            <w:pPr>
              <w:ind w:left="-113" w:right="-113"/>
              <w:jc w:val="center"/>
              <w:rPr>
                <w:color w:val="000000"/>
              </w:rPr>
            </w:pPr>
            <w:r w:rsidRPr="00D050C7">
              <w:rPr>
                <w:color w:val="000000"/>
              </w:rPr>
              <w:t>45</w:t>
            </w:r>
          </w:p>
        </w:tc>
        <w:tc>
          <w:tcPr>
            <w:tcW w:w="2663" w:type="dxa"/>
            <w:tcBorders>
              <w:top w:val="single" w:sz="4" w:space="0" w:color="auto"/>
              <w:left w:val="single" w:sz="8" w:space="0" w:color="auto"/>
              <w:bottom w:val="single" w:sz="8" w:space="0" w:color="000000"/>
              <w:right w:val="single" w:sz="8" w:space="0" w:color="auto"/>
            </w:tcBorders>
            <w:vAlign w:val="center"/>
          </w:tcPr>
          <w:p w14:paraId="463E3520" w14:textId="77777777" w:rsidR="001F073E" w:rsidRPr="00D050C7" w:rsidRDefault="001F073E" w:rsidP="00D050C7">
            <w:pPr>
              <w:jc w:val="center"/>
              <w:rPr>
                <w:color w:val="000000"/>
                <w:lang w:val="en-US"/>
              </w:rPr>
            </w:pPr>
            <w:r w:rsidRPr="00D050C7">
              <w:rPr>
                <w:color w:val="000000"/>
                <w:lang w:val="en-US"/>
              </w:rPr>
              <w:t>65</w:t>
            </w:r>
          </w:p>
          <w:p w14:paraId="5B88E497" w14:textId="77777777" w:rsidR="001F073E" w:rsidRPr="00D050C7" w:rsidRDefault="001F073E" w:rsidP="00D050C7">
            <w:pPr>
              <w:jc w:val="center"/>
              <w:rPr>
                <w:color w:val="000000"/>
                <w:lang w:val="en-US"/>
              </w:rPr>
            </w:pPr>
            <w:r w:rsidRPr="00D050C7">
              <w:rPr>
                <w:color w:val="000000"/>
                <w:lang w:val="en-US"/>
              </w:rPr>
              <w:t>82</w:t>
            </w:r>
          </w:p>
          <w:p w14:paraId="2DB65823" w14:textId="77777777" w:rsidR="001F073E" w:rsidRPr="00D050C7" w:rsidRDefault="001F073E" w:rsidP="00D050C7">
            <w:pPr>
              <w:jc w:val="center"/>
              <w:rPr>
                <w:color w:val="000000"/>
                <w:lang w:val="en-US"/>
              </w:rPr>
            </w:pPr>
            <w:r w:rsidRPr="00D050C7">
              <w:rPr>
                <w:color w:val="000000"/>
                <w:lang w:val="en-US"/>
              </w:rPr>
              <w:t>89</w:t>
            </w:r>
          </w:p>
          <w:p w14:paraId="4760040A" w14:textId="77777777" w:rsidR="001F073E" w:rsidRPr="00D050C7" w:rsidRDefault="001F073E" w:rsidP="00D050C7">
            <w:pPr>
              <w:jc w:val="center"/>
              <w:rPr>
                <w:color w:val="000000"/>
                <w:lang w:val="en-US"/>
              </w:rPr>
            </w:pPr>
            <w:r w:rsidRPr="00D050C7">
              <w:rPr>
                <w:color w:val="000000"/>
                <w:lang w:val="en-US"/>
              </w:rPr>
              <w:t>95</w:t>
            </w:r>
          </w:p>
          <w:p w14:paraId="4987DEDB" w14:textId="77777777" w:rsidR="001F073E" w:rsidRPr="00D050C7" w:rsidRDefault="001F073E" w:rsidP="00D050C7">
            <w:pPr>
              <w:jc w:val="center"/>
              <w:rPr>
                <w:color w:val="000000"/>
                <w:lang w:val="en-US"/>
              </w:rPr>
            </w:pPr>
            <w:r w:rsidRPr="00D050C7">
              <w:rPr>
                <w:color w:val="000000"/>
                <w:lang w:val="en-US"/>
              </w:rPr>
              <w:t>99</w:t>
            </w:r>
          </w:p>
        </w:tc>
        <w:tc>
          <w:tcPr>
            <w:tcW w:w="2664" w:type="dxa"/>
            <w:tcBorders>
              <w:top w:val="single" w:sz="4" w:space="0" w:color="auto"/>
              <w:left w:val="single" w:sz="8" w:space="0" w:color="auto"/>
              <w:bottom w:val="single" w:sz="8" w:space="0" w:color="000000"/>
              <w:right w:val="single" w:sz="8" w:space="0" w:color="auto"/>
            </w:tcBorders>
            <w:vAlign w:val="center"/>
          </w:tcPr>
          <w:p w14:paraId="7C7D4E9F" w14:textId="77777777" w:rsidR="001F073E" w:rsidRPr="00D050C7" w:rsidRDefault="001F073E" w:rsidP="00D050C7">
            <w:pPr>
              <w:jc w:val="center"/>
              <w:rPr>
                <w:color w:val="000000"/>
                <w:lang w:val="en-US"/>
              </w:rPr>
            </w:pPr>
            <w:r w:rsidRPr="00D050C7">
              <w:rPr>
                <w:color w:val="000000"/>
                <w:lang w:val="en-US"/>
              </w:rPr>
              <w:t>78</w:t>
            </w:r>
          </w:p>
          <w:p w14:paraId="6E3E2C82" w14:textId="77777777" w:rsidR="001F073E" w:rsidRPr="00D050C7" w:rsidRDefault="001F073E" w:rsidP="00D050C7">
            <w:pPr>
              <w:jc w:val="center"/>
              <w:rPr>
                <w:color w:val="000000"/>
                <w:lang w:val="en-US"/>
              </w:rPr>
            </w:pPr>
            <w:r w:rsidRPr="00D050C7">
              <w:rPr>
                <w:color w:val="000000"/>
                <w:lang w:val="en-US"/>
              </w:rPr>
              <w:t>89</w:t>
            </w:r>
          </w:p>
          <w:p w14:paraId="623E7614" w14:textId="77777777" w:rsidR="001F073E" w:rsidRPr="00D050C7" w:rsidRDefault="001F073E" w:rsidP="00D050C7">
            <w:pPr>
              <w:jc w:val="center"/>
              <w:rPr>
                <w:color w:val="000000"/>
                <w:lang w:val="en-US"/>
              </w:rPr>
            </w:pPr>
            <w:r w:rsidRPr="00D050C7">
              <w:rPr>
                <w:color w:val="000000"/>
                <w:lang w:val="en-US"/>
              </w:rPr>
              <w:t>96</w:t>
            </w:r>
          </w:p>
          <w:p w14:paraId="1144CB0A" w14:textId="77777777" w:rsidR="001F073E" w:rsidRPr="00D050C7" w:rsidRDefault="001F073E" w:rsidP="00D050C7">
            <w:pPr>
              <w:jc w:val="center"/>
              <w:rPr>
                <w:color w:val="000000"/>
                <w:lang w:val="en-US"/>
              </w:rPr>
            </w:pPr>
            <w:r w:rsidRPr="00D050C7">
              <w:rPr>
                <w:color w:val="000000"/>
                <w:lang w:val="en-US"/>
              </w:rPr>
              <w:t>98</w:t>
            </w:r>
          </w:p>
          <w:p w14:paraId="172DF615" w14:textId="77777777" w:rsidR="001F073E" w:rsidRPr="00D050C7" w:rsidRDefault="001F073E" w:rsidP="00D050C7">
            <w:pPr>
              <w:jc w:val="center"/>
              <w:rPr>
                <w:color w:val="000000"/>
                <w:lang w:val="en-US"/>
              </w:rPr>
            </w:pPr>
            <w:r w:rsidRPr="00D050C7">
              <w:rPr>
                <w:color w:val="000000"/>
                <w:lang w:val="en-US"/>
              </w:rPr>
              <w:t>99</w:t>
            </w:r>
          </w:p>
        </w:tc>
      </w:tr>
      <w:tr w:rsidR="00E93B67" w:rsidRPr="001F073E" w14:paraId="38E862D7" w14:textId="77777777" w:rsidTr="005F593D">
        <w:trPr>
          <w:trHeight w:val="331"/>
        </w:trPr>
        <w:tc>
          <w:tcPr>
            <w:tcW w:w="4119" w:type="dxa"/>
            <w:gridSpan w:val="2"/>
            <w:tcBorders>
              <w:top w:val="single" w:sz="8" w:space="0" w:color="000000"/>
              <w:left w:val="single" w:sz="8" w:space="0" w:color="000000"/>
              <w:bottom w:val="single" w:sz="8" w:space="0" w:color="000000"/>
              <w:right w:val="single" w:sz="8" w:space="0" w:color="auto"/>
            </w:tcBorders>
            <w:shd w:val="clear" w:color="auto" w:fill="auto"/>
            <w:vAlign w:val="center"/>
          </w:tcPr>
          <w:p w14:paraId="781E3D0F" w14:textId="77777777" w:rsidR="00E93B67" w:rsidRPr="00D050C7" w:rsidRDefault="00E93B67" w:rsidP="00D050C7">
            <w:pPr>
              <w:ind w:left="-113" w:right="-113"/>
              <w:jc w:val="center"/>
              <w:rPr>
                <w:b/>
                <w:i/>
                <w:color w:val="000000"/>
              </w:rPr>
            </w:pPr>
            <w:r w:rsidRPr="00D050C7">
              <w:rPr>
                <w:b/>
                <w:i/>
                <w:color w:val="000000"/>
              </w:rPr>
              <w:t>Фактор подобия f2</w:t>
            </w:r>
          </w:p>
        </w:tc>
        <w:tc>
          <w:tcPr>
            <w:tcW w:w="5327" w:type="dxa"/>
            <w:gridSpan w:val="2"/>
            <w:tcBorders>
              <w:top w:val="nil"/>
              <w:left w:val="single" w:sz="8" w:space="0" w:color="auto"/>
              <w:bottom w:val="single" w:sz="8" w:space="0" w:color="000000"/>
              <w:right w:val="single" w:sz="8" w:space="0" w:color="auto"/>
            </w:tcBorders>
            <w:vAlign w:val="center"/>
          </w:tcPr>
          <w:p w14:paraId="5A0CD230" w14:textId="55AB4239" w:rsidR="00E93B67" w:rsidRPr="00D050C7" w:rsidRDefault="00E93B67" w:rsidP="00D050C7">
            <w:pPr>
              <w:jc w:val="center"/>
              <w:rPr>
                <w:highlight w:val="yellow"/>
              </w:rPr>
            </w:pPr>
            <w:r w:rsidRPr="00D050C7">
              <w:rPr>
                <w:b/>
                <w:i/>
              </w:rPr>
              <w:t>51</w:t>
            </w:r>
          </w:p>
        </w:tc>
      </w:tr>
      <w:tr w:rsidR="001F073E" w:rsidRPr="001F073E" w14:paraId="3CC52E12" w14:textId="77777777" w:rsidTr="00E93B67">
        <w:trPr>
          <w:trHeight w:val="73"/>
        </w:trPr>
        <w:tc>
          <w:tcPr>
            <w:tcW w:w="3186" w:type="dxa"/>
            <w:tcBorders>
              <w:top w:val="single" w:sz="4" w:space="0" w:color="auto"/>
              <w:left w:val="single" w:sz="8" w:space="0" w:color="000000"/>
              <w:bottom w:val="single" w:sz="8" w:space="0" w:color="000000"/>
              <w:right w:val="single" w:sz="4" w:space="0" w:color="auto"/>
            </w:tcBorders>
            <w:shd w:val="clear" w:color="auto" w:fill="auto"/>
            <w:vAlign w:val="center"/>
          </w:tcPr>
          <w:p w14:paraId="46249F0F" w14:textId="77777777" w:rsidR="001F073E" w:rsidRPr="00D050C7" w:rsidRDefault="001F073E" w:rsidP="00D050C7">
            <w:pPr>
              <w:jc w:val="center"/>
            </w:pPr>
            <w:r w:rsidRPr="00D050C7">
              <w:t>Ацетатный буферный раствор рН 4,5</w:t>
            </w:r>
          </w:p>
        </w:tc>
        <w:tc>
          <w:tcPr>
            <w:tcW w:w="933" w:type="dxa"/>
            <w:tcBorders>
              <w:top w:val="single" w:sz="4" w:space="0" w:color="auto"/>
              <w:left w:val="single" w:sz="8" w:space="0" w:color="000000"/>
              <w:bottom w:val="single" w:sz="8" w:space="0" w:color="000000"/>
              <w:right w:val="single" w:sz="4" w:space="0" w:color="auto"/>
            </w:tcBorders>
            <w:shd w:val="clear" w:color="auto" w:fill="auto"/>
            <w:vAlign w:val="center"/>
          </w:tcPr>
          <w:p w14:paraId="05F6CAD5" w14:textId="77777777" w:rsidR="001F073E" w:rsidRPr="00D050C7" w:rsidRDefault="001F073E" w:rsidP="00D050C7">
            <w:pPr>
              <w:ind w:left="-113" w:right="-113"/>
              <w:jc w:val="center"/>
              <w:rPr>
                <w:color w:val="000000"/>
              </w:rPr>
            </w:pPr>
            <w:r w:rsidRPr="00D050C7">
              <w:rPr>
                <w:color w:val="000000"/>
              </w:rPr>
              <w:t>10</w:t>
            </w:r>
          </w:p>
          <w:p w14:paraId="67D012AF" w14:textId="77777777" w:rsidR="001F073E" w:rsidRPr="00D050C7" w:rsidRDefault="001F073E" w:rsidP="00D050C7">
            <w:pPr>
              <w:ind w:left="-113" w:right="-113"/>
              <w:jc w:val="center"/>
              <w:rPr>
                <w:color w:val="000000"/>
              </w:rPr>
            </w:pPr>
            <w:r w:rsidRPr="00D050C7">
              <w:rPr>
                <w:color w:val="000000"/>
              </w:rPr>
              <w:t>15</w:t>
            </w:r>
          </w:p>
          <w:p w14:paraId="3469C474" w14:textId="77777777" w:rsidR="001F073E" w:rsidRPr="00D050C7" w:rsidRDefault="001F073E" w:rsidP="00D050C7">
            <w:pPr>
              <w:ind w:left="-113" w:right="-113"/>
              <w:jc w:val="center"/>
              <w:rPr>
                <w:color w:val="000000"/>
              </w:rPr>
            </w:pPr>
            <w:r w:rsidRPr="00D050C7">
              <w:rPr>
                <w:color w:val="000000"/>
              </w:rPr>
              <w:t>20</w:t>
            </w:r>
          </w:p>
          <w:p w14:paraId="58A259CD" w14:textId="77777777" w:rsidR="001F073E" w:rsidRPr="00D050C7" w:rsidRDefault="001F073E" w:rsidP="00D050C7">
            <w:pPr>
              <w:ind w:left="-113" w:right="-113"/>
              <w:jc w:val="center"/>
              <w:rPr>
                <w:color w:val="000000"/>
              </w:rPr>
            </w:pPr>
            <w:r w:rsidRPr="00D050C7">
              <w:rPr>
                <w:color w:val="000000"/>
              </w:rPr>
              <w:t>30</w:t>
            </w:r>
          </w:p>
          <w:p w14:paraId="675BE822" w14:textId="77777777" w:rsidR="001F073E" w:rsidRPr="00D050C7" w:rsidRDefault="001F073E" w:rsidP="00D050C7">
            <w:pPr>
              <w:jc w:val="center"/>
              <w:rPr>
                <w:bCs/>
                <w:lang w:val="en-US"/>
              </w:rPr>
            </w:pPr>
            <w:r w:rsidRPr="00D050C7">
              <w:rPr>
                <w:color w:val="000000"/>
              </w:rPr>
              <w:t>45</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4BE55850" w14:textId="77777777" w:rsidR="001F073E" w:rsidRPr="00D050C7" w:rsidRDefault="001F073E" w:rsidP="00D050C7">
            <w:pPr>
              <w:jc w:val="center"/>
              <w:rPr>
                <w:bCs/>
                <w:lang w:val="en-US"/>
              </w:rPr>
            </w:pPr>
            <w:r w:rsidRPr="00D050C7">
              <w:rPr>
                <w:bCs/>
                <w:lang w:val="en-US"/>
              </w:rPr>
              <w:t>15</w:t>
            </w:r>
          </w:p>
          <w:p w14:paraId="3879C77C" w14:textId="77777777" w:rsidR="001F073E" w:rsidRPr="00D050C7" w:rsidRDefault="001F073E" w:rsidP="00D050C7">
            <w:pPr>
              <w:jc w:val="center"/>
              <w:rPr>
                <w:bCs/>
                <w:lang w:val="en-US"/>
              </w:rPr>
            </w:pPr>
            <w:r w:rsidRPr="00D050C7">
              <w:rPr>
                <w:bCs/>
                <w:lang w:val="en-US"/>
              </w:rPr>
              <w:t>26</w:t>
            </w:r>
          </w:p>
          <w:p w14:paraId="32E6B265" w14:textId="77777777" w:rsidR="001F073E" w:rsidRPr="00D050C7" w:rsidRDefault="001F073E" w:rsidP="00D050C7">
            <w:pPr>
              <w:jc w:val="center"/>
              <w:rPr>
                <w:bCs/>
                <w:lang w:val="en-US"/>
              </w:rPr>
            </w:pPr>
            <w:r w:rsidRPr="00D050C7">
              <w:rPr>
                <w:bCs/>
                <w:lang w:val="en-US"/>
              </w:rPr>
              <w:t>35</w:t>
            </w:r>
          </w:p>
          <w:p w14:paraId="57569811" w14:textId="77777777" w:rsidR="001F073E" w:rsidRPr="00D050C7" w:rsidRDefault="001F073E" w:rsidP="00D050C7">
            <w:pPr>
              <w:jc w:val="center"/>
              <w:rPr>
                <w:bCs/>
                <w:lang w:val="en-US"/>
              </w:rPr>
            </w:pPr>
            <w:r w:rsidRPr="00D050C7">
              <w:rPr>
                <w:bCs/>
                <w:lang w:val="en-US"/>
              </w:rPr>
              <w:t>44</w:t>
            </w:r>
          </w:p>
          <w:p w14:paraId="3014BA0A" w14:textId="77777777" w:rsidR="001F073E" w:rsidRPr="00D050C7" w:rsidRDefault="001F073E" w:rsidP="00D050C7">
            <w:pPr>
              <w:jc w:val="center"/>
              <w:rPr>
                <w:bCs/>
                <w:lang w:val="en-US"/>
              </w:rPr>
            </w:pPr>
            <w:r w:rsidRPr="00D050C7">
              <w:rPr>
                <w:bCs/>
                <w:lang w:val="en-US"/>
              </w:rPr>
              <w:t>55</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2631E0C2" w14:textId="77777777" w:rsidR="001F073E" w:rsidRPr="00D050C7" w:rsidRDefault="001F073E" w:rsidP="00D050C7">
            <w:pPr>
              <w:jc w:val="center"/>
              <w:rPr>
                <w:bCs/>
                <w:lang w:val="en-US"/>
              </w:rPr>
            </w:pPr>
            <w:r w:rsidRPr="00D050C7">
              <w:rPr>
                <w:bCs/>
                <w:lang w:val="en-US"/>
              </w:rPr>
              <w:t>21</w:t>
            </w:r>
          </w:p>
          <w:p w14:paraId="6288451F" w14:textId="77777777" w:rsidR="001F073E" w:rsidRPr="00D050C7" w:rsidRDefault="001F073E" w:rsidP="00D050C7">
            <w:pPr>
              <w:jc w:val="center"/>
              <w:rPr>
                <w:bCs/>
              </w:rPr>
            </w:pPr>
            <w:r w:rsidRPr="00D050C7">
              <w:rPr>
                <w:bCs/>
                <w:lang w:val="en-US"/>
              </w:rPr>
              <w:t>3</w:t>
            </w:r>
            <w:r w:rsidRPr="00D050C7">
              <w:rPr>
                <w:bCs/>
              </w:rPr>
              <w:t>5</w:t>
            </w:r>
          </w:p>
          <w:p w14:paraId="20D09D84" w14:textId="77777777" w:rsidR="001F073E" w:rsidRPr="00D050C7" w:rsidRDefault="001F073E" w:rsidP="00D050C7">
            <w:pPr>
              <w:jc w:val="center"/>
              <w:rPr>
                <w:bCs/>
                <w:lang w:val="en-US"/>
              </w:rPr>
            </w:pPr>
            <w:r w:rsidRPr="00D050C7">
              <w:rPr>
                <w:bCs/>
                <w:lang w:val="en-US"/>
              </w:rPr>
              <w:t>44</w:t>
            </w:r>
          </w:p>
          <w:p w14:paraId="7E378FF7" w14:textId="77777777" w:rsidR="001F073E" w:rsidRPr="00D050C7" w:rsidRDefault="001F073E" w:rsidP="00D050C7">
            <w:pPr>
              <w:jc w:val="center"/>
              <w:rPr>
                <w:bCs/>
                <w:lang w:val="en-US"/>
              </w:rPr>
            </w:pPr>
            <w:r w:rsidRPr="00D050C7">
              <w:rPr>
                <w:bCs/>
                <w:lang w:val="en-US"/>
              </w:rPr>
              <w:t>50</w:t>
            </w:r>
          </w:p>
          <w:p w14:paraId="349AEDB8" w14:textId="77777777" w:rsidR="001F073E" w:rsidRPr="00D050C7" w:rsidRDefault="001F073E" w:rsidP="00D050C7">
            <w:pPr>
              <w:jc w:val="center"/>
              <w:rPr>
                <w:bCs/>
                <w:highlight w:val="yellow"/>
                <w:lang w:val="en-US"/>
              </w:rPr>
            </w:pPr>
            <w:r w:rsidRPr="00D050C7">
              <w:rPr>
                <w:bCs/>
                <w:lang w:val="en-US"/>
              </w:rPr>
              <w:t>59</w:t>
            </w:r>
          </w:p>
        </w:tc>
      </w:tr>
      <w:tr w:rsidR="00E93B67" w:rsidRPr="001F073E" w14:paraId="1A7CCEA6" w14:textId="77777777" w:rsidTr="00015E92">
        <w:trPr>
          <w:trHeight w:val="96"/>
        </w:trPr>
        <w:tc>
          <w:tcPr>
            <w:tcW w:w="4119" w:type="dxa"/>
            <w:gridSpan w:val="2"/>
            <w:tcBorders>
              <w:top w:val="single" w:sz="4" w:space="0" w:color="auto"/>
              <w:left w:val="single" w:sz="8" w:space="0" w:color="000000"/>
              <w:bottom w:val="single" w:sz="8" w:space="0" w:color="000000"/>
              <w:right w:val="single" w:sz="4" w:space="0" w:color="auto"/>
            </w:tcBorders>
            <w:shd w:val="clear" w:color="auto" w:fill="auto"/>
            <w:vAlign w:val="center"/>
          </w:tcPr>
          <w:p w14:paraId="774B00F9" w14:textId="77777777" w:rsidR="00E93B67" w:rsidRPr="00D050C7" w:rsidRDefault="00E93B67" w:rsidP="00D050C7">
            <w:pPr>
              <w:jc w:val="center"/>
              <w:rPr>
                <w:bCs/>
                <w:lang w:val="en-US"/>
              </w:rPr>
            </w:pPr>
            <w:r w:rsidRPr="00D050C7">
              <w:rPr>
                <w:b/>
                <w:i/>
              </w:rPr>
              <w:t>Фактор подобия f2</w:t>
            </w:r>
          </w:p>
        </w:tc>
        <w:tc>
          <w:tcPr>
            <w:tcW w:w="53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4A9681" w14:textId="438768DE" w:rsidR="00E93B67" w:rsidRPr="00E93B67" w:rsidRDefault="00E93B67" w:rsidP="00E93B67">
            <w:pPr>
              <w:jc w:val="center"/>
              <w:rPr>
                <w:b/>
                <w:bCs/>
                <w:i/>
                <w:lang w:val="en-US"/>
              </w:rPr>
            </w:pPr>
            <w:r w:rsidRPr="00D050C7">
              <w:rPr>
                <w:b/>
                <w:bCs/>
                <w:i/>
                <w:lang w:val="en-US"/>
              </w:rPr>
              <w:t>57</w:t>
            </w:r>
          </w:p>
        </w:tc>
      </w:tr>
      <w:tr w:rsidR="001F073E" w:rsidRPr="001F073E" w14:paraId="49D15F55" w14:textId="77777777" w:rsidTr="00E93B67">
        <w:trPr>
          <w:trHeight w:val="73"/>
        </w:trPr>
        <w:tc>
          <w:tcPr>
            <w:tcW w:w="3186" w:type="dxa"/>
            <w:tcBorders>
              <w:top w:val="single" w:sz="4" w:space="0" w:color="auto"/>
              <w:left w:val="single" w:sz="8" w:space="0" w:color="000000"/>
              <w:bottom w:val="single" w:sz="8" w:space="0" w:color="000000"/>
              <w:right w:val="single" w:sz="4" w:space="0" w:color="auto"/>
            </w:tcBorders>
            <w:shd w:val="clear" w:color="auto" w:fill="auto"/>
            <w:vAlign w:val="center"/>
          </w:tcPr>
          <w:p w14:paraId="41106C7A" w14:textId="77777777" w:rsidR="001F073E" w:rsidRPr="00D050C7" w:rsidRDefault="001F073E" w:rsidP="00D050C7">
            <w:pPr>
              <w:jc w:val="center"/>
            </w:pPr>
            <w:r w:rsidRPr="00D050C7">
              <w:rPr>
                <w:color w:val="000000"/>
              </w:rPr>
              <w:t xml:space="preserve">Фосфатный буферный раствор рН 6,8 </w:t>
            </w:r>
          </w:p>
        </w:tc>
        <w:tc>
          <w:tcPr>
            <w:tcW w:w="933" w:type="dxa"/>
            <w:tcBorders>
              <w:top w:val="single" w:sz="4" w:space="0" w:color="auto"/>
              <w:left w:val="single" w:sz="8" w:space="0" w:color="000000"/>
              <w:bottom w:val="single" w:sz="8" w:space="0" w:color="000000"/>
              <w:right w:val="single" w:sz="4" w:space="0" w:color="auto"/>
            </w:tcBorders>
            <w:shd w:val="clear" w:color="auto" w:fill="auto"/>
            <w:vAlign w:val="center"/>
          </w:tcPr>
          <w:p w14:paraId="2E1E6AAC" w14:textId="77777777" w:rsidR="001F073E" w:rsidRPr="00D050C7" w:rsidRDefault="001F073E" w:rsidP="00D050C7">
            <w:pPr>
              <w:ind w:left="-113" w:right="-113"/>
              <w:jc w:val="center"/>
              <w:rPr>
                <w:color w:val="000000"/>
              </w:rPr>
            </w:pPr>
            <w:r w:rsidRPr="00D050C7">
              <w:rPr>
                <w:color w:val="000000"/>
              </w:rPr>
              <w:t>10</w:t>
            </w:r>
          </w:p>
          <w:p w14:paraId="5FEF26F8" w14:textId="77777777" w:rsidR="001F073E" w:rsidRPr="00D050C7" w:rsidRDefault="001F073E" w:rsidP="00D050C7">
            <w:pPr>
              <w:ind w:left="-113" w:right="-113"/>
              <w:jc w:val="center"/>
              <w:rPr>
                <w:color w:val="000000"/>
              </w:rPr>
            </w:pPr>
            <w:r w:rsidRPr="00D050C7">
              <w:rPr>
                <w:color w:val="000000"/>
              </w:rPr>
              <w:t>15</w:t>
            </w:r>
          </w:p>
          <w:p w14:paraId="74B6D3CE" w14:textId="77777777" w:rsidR="001F073E" w:rsidRPr="00D050C7" w:rsidRDefault="001F073E" w:rsidP="00D050C7">
            <w:pPr>
              <w:ind w:left="-113" w:right="-113"/>
              <w:jc w:val="center"/>
              <w:rPr>
                <w:color w:val="000000"/>
              </w:rPr>
            </w:pPr>
            <w:r w:rsidRPr="00D050C7">
              <w:rPr>
                <w:color w:val="000000"/>
              </w:rPr>
              <w:t>20</w:t>
            </w:r>
          </w:p>
          <w:p w14:paraId="24E86C44" w14:textId="77777777" w:rsidR="001F073E" w:rsidRPr="00D050C7" w:rsidRDefault="001F073E" w:rsidP="00D050C7">
            <w:pPr>
              <w:ind w:left="-113" w:right="-113"/>
              <w:jc w:val="center"/>
              <w:rPr>
                <w:color w:val="000000"/>
              </w:rPr>
            </w:pPr>
            <w:r w:rsidRPr="00D050C7">
              <w:rPr>
                <w:color w:val="000000"/>
              </w:rPr>
              <w:t>30</w:t>
            </w:r>
          </w:p>
          <w:p w14:paraId="038E2BDF" w14:textId="77777777" w:rsidR="001F073E" w:rsidRPr="00D050C7" w:rsidRDefault="001F073E" w:rsidP="00D050C7">
            <w:pPr>
              <w:jc w:val="center"/>
              <w:rPr>
                <w:bCs/>
                <w:lang w:val="en-US"/>
              </w:rPr>
            </w:pPr>
            <w:r w:rsidRPr="00D050C7">
              <w:rPr>
                <w:color w:val="000000"/>
              </w:rPr>
              <w:t>45</w:t>
            </w:r>
          </w:p>
        </w:tc>
        <w:tc>
          <w:tcPr>
            <w:tcW w:w="2663" w:type="dxa"/>
            <w:tcBorders>
              <w:top w:val="single" w:sz="4" w:space="0" w:color="auto"/>
              <w:left w:val="single" w:sz="4" w:space="0" w:color="auto"/>
              <w:bottom w:val="single" w:sz="4" w:space="0" w:color="auto"/>
              <w:right w:val="single" w:sz="4" w:space="0" w:color="auto"/>
            </w:tcBorders>
            <w:shd w:val="clear" w:color="auto" w:fill="auto"/>
            <w:vAlign w:val="center"/>
          </w:tcPr>
          <w:p w14:paraId="0035C236" w14:textId="77777777" w:rsidR="001F073E" w:rsidRPr="00D050C7" w:rsidRDefault="001F073E" w:rsidP="00D050C7">
            <w:pPr>
              <w:jc w:val="center"/>
              <w:rPr>
                <w:bCs/>
              </w:rPr>
            </w:pPr>
            <w:r w:rsidRPr="00D050C7">
              <w:rPr>
                <w:bCs/>
              </w:rPr>
              <w:t>3</w:t>
            </w:r>
          </w:p>
          <w:p w14:paraId="29684DF0" w14:textId="77777777" w:rsidR="001F073E" w:rsidRPr="00D050C7" w:rsidRDefault="001F073E" w:rsidP="00D050C7">
            <w:pPr>
              <w:jc w:val="center"/>
              <w:rPr>
                <w:bCs/>
                <w:lang w:val="en-US"/>
              </w:rPr>
            </w:pPr>
            <w:r w:rsidRPr="00D050C7">
              <w:rPr>
                <w:bCs/>
                <w:lang w:val="en-US"/>
              </w:rPr>
              <w:t>7</w:t>
            </w:r>
          </w:p>
          <w:p w14:paraId="2182AC22" w14:textId="77777777" w:rsidR="001F073E" w:rsidRPr="00D050C7" w:rsidRDefault="001F073E" w:rsidP="00D050C7">
            <w:pPr>
              <w:jc w:val="center"/>
              <w:rPr>
                <w:bCs/>
                <w:lang w:val="en-US"/>
              </w:rPr>
            </w:pPr>
            <w:r w:rsidRPr="00D050C7">
              <w:rPr>
                <w:bCs/>
                <w:lang w:val="en-US"/>
              </w:rPr>
              <w:t>9</w:t>
            </w:r>
          </w:p>
          <w:p w14:paraId="2D126234" w14:textId="77777777" w:rsidR="001F073E" w:rsidRPr="00D050C7" w:rsidRDefault="001F073E" w:rsidP="00D050C7">
            <w:pPr>
              <w:jc w:val="center"/>
              <w:rPr>
                <w:bCs/>
                <w:lang w:val="en-US"/>
              </w:rPr>
            </w:pPr>
            <w:r w:rsidRPr="00D050C7">
              <w:rPr>
                <w:bCs/>
                <w:lang w:val="en-US"/>
              </w:rPr>
              <w:t>12</w:t>
            </w:r>
          </w:p>
          <w:p w14:paraId="354E342A" w14:textId="77777777" w:rsidR="001F073E" w:rsidRPr="00D050C7" w:rsidRDefault="001F073E" w:rsidP="00D050C7">
            <w:pPr>
              <w:jc w:val="center"/>
              <w:rPr>
                <w:bCs/>
                <w:lang w:val="en-US"/>
              </w:rPr>
            </w:pPr>
            <w:r w:rsidRPr="00D050C7">
              <w:rPr>
                <w:bCs/>
                <w:lang w:val="en-US"/>
              </w:rPr>
              <w:t>14</w:t>
            </w:r>
          </w:p>
        </w:tc>
        <w:tc>
          <w:tcPr>
            <w:tcW w:w="2664" w:type="dxa"/>
            <w:tcBorders>
              <w:top w:val="single" w:sz="4" w:space="0" w:color="auto"/>
              <w:left w:val="single" w:sz="4" w:space="0" w:color="auto"/>
              <w:bottom w:val="single" w:sz="4" w:space="0" w:color="auto"/>
              <w:right w:val="single" w:sz="4" w:space="0" w:color="auto"/>
            </w:tcBorders>
            <w:shd w:val="clear" w:color="auto" w:fill="auto"/>
            <w:vAlign w:val="center"/>
          </w:tcPr>
          <w:p w14:paraId="14340FD8" w14:textId="77777777" w:rsidR="001F073E" w:rsidRPr="00D050C7" w:rsidRDefault="001F073E" w:rsidP="00D050C7">
            <w:pPr>
              <w:jc w:val="center"/>
              <w:rPr>
                <w:bCs/>
                <w:lang w:val="en-US"/>
              </w:rPr>
            </w:pPr>
            <w:r w:rsidRPr="00D050C7">
              <w:rPr>
                <w:bCs/>
                <w:lang w:val="en-US"/>
              </w:rPr>
              <w:t>5</w:t>
            </w:r>
          </w:p>
          <w:p w14:paraId="2C508A1E" w14:textId="77777777" w:rsidR="001F073E" w:rsidRPr="00D050C7" w:rsidRDefault="001F073E" w:rsidP="00D050C7">
            <w:pPr>
              <w:jc w:val="center"/>
              <w:rPr>
                <w:bCs/>
              </w:rPr>
            </w:pPr>
            <w:r w:rsidRPr="00D050C7">
              <w:rPr>
                <w:bCs/>
              </w:rPr>
              <w:t>8</w:t>
            </w:r>
          </w:p>
          <w:p w14:paraId="28CF60AA" w14:textId="77777777" w:rsidR="001F073E" w:rsidRPr="00D050C7" w:rsidRDefault="001F073E" w:rsidP="00D050C7">
            <w:pPr>
              <w:jc w:val="center"/>
              <w:rPr>
                <w:bCs/>
                <w:lang w:val="en-US"/>
              </w:rPr>
            </w:pPr>
            <w:r w:rsidRPr="00D050C7">
              <w:rPr>
                <w:bCs/>
                <w:lang w:val="en-US"/>
              </w:rPr>
              <w:t>10</w:t>
            </w:r>
          </w:p>
          <w:p w14:paraId="36BC2357" w14:textId="77777777" w:rsidR="001F073E" w:rsidRPr="00D050C7" w:rsidRDefault="001F073E" w:rsidP="00D050C7">
            <w:pPr>
              <w:jc w:val="center"/>
              <w:rPr>
                <w:bCs/>
                <w:lang w:val="en-US"/>
              </w:rPr>
            </w:pPr>
            <w:r w:rsidRPr="00D050C7">
              <w:rPr>
                <w:bCs/>
                <w:lang w:val="en-US"/>
              </w:rPr>
              <w:t>12</w:t>
            </w:r>
          </w:p>
          <w:p w14:paraId="6AA48251" w14:textId="77777777" w:rsidR="001F073E" w:rsidRPr="00D050C7" w:rsidRDefault="001F073E" w:rsidP="00D050C7">
            <w:pPr>
              <w:jc w:val="center"/>
              <w:rPr>
                <w:bCs/>
              </w:rPr>
            </w:pPr>
            <w:r w:rsidRPr="00D050C7">
              <w:rPr>
                <w:bCs/>
                <w:lang w:val="en-US"/>
              </w:rPr>
              <w:t>1</w:t>
            </w:r>
            <w:r w:rsidRPr="00D050C7">
              <w:rPr>
                <w:bCs/>
              </w:rPr>
              <w:t>4</w:t>
            </w:r>
          </w:p>
        </w:tc>
      </w:tr>
      <w:tr w:rsidR="005F593D" w:rsidRPr="001F073E" w14:paraId="540680AC" w14:textId="77777777" w:rsidTr="00015E92">
        <w:trPr>
          <w:trHeight w:val="106"/>
        </w:trPr>
        <w:tc>
          <w:tcPr>
            <w:tcW w:w="4119" w:type="dxa"/>
            <w:gridSpan w:val="2"/>
            <w:tcBorders>
              <w:top w:val="single" w:sz="4" w:space="0" w:color="auto"/>
              <w:left w:val="single" w:sz="8" w:space="0" w:color="000000"/>
              <w:bottom w:val="single" w:sz="8" w:space="0" w:color="000000"/>
              <w:right w:val="single" w:sz="4" w:space="0" w:color="auto"/>
            </w:tcBorders>
            <w:shd w:val="clear" w:color="auto" w:fill="auto"/>
            <w:vAlign w:val="center"/>
          </w:tcPr>
          <w:p w14:paraId="5794C996" w14:textId="77777777" w:rsidR="005F593D" w:rsidRPr="00D050C7" w:rsidRDefault="005F593D" w:rsidP="00D050C7">
            <w:pPr>
              <w:jc w:val="center"/>
              <w:rPr>
                <w:bCs/>
                <w:lang w:val="en-US"/>
              </w:rPr>
            </w:pPr>
            <w:r w:rsidRPr="00D050C7">
              <w:rPr>
                <w:b/>
                <w:i/>
              </w:rPr>
              <w:t>Фактор подобия f2</w:t>
            </w:r>
          </w:p>
        </w:tc>
        <w:tc>
          <w:tcPr>
            <w:tcW w:w="532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CB5EF3" w14:textId="1C21F652" w:rsidR="005F593D" w:rsidRPr="005F593D" w:rsidRDefault="005F593D" w:rsidP="005F593D">
            <w:pPr>
              <w:jc w:val="center"/>
              <w:rPr>
                <w:b/>
                <w:bCs/>
                <w:i/>
              </w:rPr>
            </w:pPr>
            <w:r w:rsidRPr="00D050C7">
              <w:rPr>
                <w:b/>
                <w:bCs/>
                <w:i/>
              </w:rPr>
              <w:t>-</w:t>
            </w:r>
          </w:p>
        </w:tc>
      </w:tr>
    </w:tbl>
    <w:p w14:paraId="7E6E38C1" w14:textId="4D90AE2C" w:rsidR="001F073E" w:rsidRPr="001F073E" w:rsidRDefault="001F073E" w:rsidP="004633D0">
      <w:pPr>
        <w:ind w:firstLine="851"/>
        <w:rPr>
          <w:bCs/>
          <w:color w:val="FF0000"/>
          <w:lang w:eastAsia="ru-RU"/>
        </w:rPr>
      </w:pPr>
    </w:p>
    <w:p w14:paraId="6DB67E72" w14:textId="48F77A21" w:rsidR="00703680" w:rsidRPr="00D050C7" w:rsidRDefault="00703680" w:rsidP="00E93B67">
      <w:pPr>
        <w:ind w:firstLine="709"/>
        <w:rPr>
          <w:u w:val="single"/>
        </w:rPr>
      </w:pPr>
      <w:r w:rsidRPr="00D050C7">
        <w:t xml:space="preserve">Кинетика растворения лекарственного средства считается эквивалентной, если значение фактора подобия </w:t>
      </w:r>
      <w:r w:rsidRPr="00D050C7">
        <w:rPr>
          <w:spacing w:val="-6"/>
          <w:lang w:val="en-US"/>
        </w:rPr>
        <w:t>f</w:t>
      </w:r>
      <w:r w:rsidRPr="00D050C7">
        <w:rPr>
          <w:spacing w:val="-6"/>
          <w:vertAlign w:val="subscript"/>
        </w:rPr>
        <w:t>2</w:t>
      </w:r>
      <w:r w:rsidRPr="00D050C7">
        <w:rPr>
          <w:spacing w:val="-6"/>
        </w:rPr>
        <w:t xml:space="preserve"> принадлежит интервалу от 50 до 100 при выполнении следующих условий:</w:t>
      </w:r>
    </w:p>
    <w:p w14:paraId="0D1DDD7E" w14:textId="3C716B18" w:rsidR="00703680" w:rsidRPr="00D050C7" w:rsidRDefault="00703680" w:rsidP="00E93B67">
      <w:pPr>
        <w:ind w:firstLine="709"/>
      </w:pPr>
      <w:r w:rsidRPr="00D050C7">
        <w:t>-</w:t>
      </w:r>
      <w:r w:rsidR="0005153E">
        <w:t xml:space="preserve"> </w:t>
      </w:r>
      <w:r w:rsidRPr="00D050C7">
        <w:t>минимальное количество временных точек – 3 (не считая нулевой точки отбора);</w:t>
      </w:r>
    </w:p>
    <w:p w14:paraId="4DC6EAD6" w14:textId="77777777" w:rsidR="00703680" w:rsidRPr="00D050C7" w:rsidRDefault="00703680" w:rsidP="00E93B67">
      <w:pPr>
        <w:ind w:firstLine="709"/>
      </w:pPr>
      <w:r w:rsidRPr="00D050C7">
        <w:t>- для обоих сравниваемых препаратов выбираются одинаковые временные точки;</w:t>
      </w:r>
    </w:p>
    <w:p w14:paraId="632BF931" w14:textId="77777777" w:rsidR="00703680" w:rsidRPr="00D050C7" w:rsidRDefault="00703680" w:rsidP="00E93B67">
      <w:pPr>
        <w:ind w:firstLine="709"/>
      </w:pPr>
      <w:r w:rsidRPr="00D050C7">
        <w:t>- в каждой временной точке должно быть не менее 12 групп сравнений;</w:t>
      </w:r>
    </w:p>
    <w:p w14:paraId="2903CAC2" w14:textId="77777777" w:rsidR="00703680" w:rsidRPr="00D050C7" w:rsidRDefault="00703680" w:rsidP="00E93B67">
      <w:pPr>
        <w:ind w:firstLine="709"/>
      </w:pPr>
      <w:r w:rsidRPr="00D050C7">
        <w:t>- для каждого из сравниваемых лекарственных препаратов допускается не более одного случая, когда среднее значение растворения превышает 85 %;</w:t>
      </w:r>
    </w:p>
    <w:p w14:paraId="118634EB" w14:textId="4B2D59DF" w:rsidR="00703680" w:rsidRPr="00D050C7" w:rsidRDefault="0005153E" w:rsidP="00E93B67">
      <w:pPr>
        <w:ind w:firstLine="709"/>
      </w:pPr>
      <w:r>
        <w:t>-</w:t>
      </w:r>
      <w:r w:rsidR="00703680" w:rsidRPr="00D050C7">
        <w:t xml:space="preserve"> относительное стандартное отклонение для любого из сравниваемых препаратов не должно превышать 20 % в первой временной точке и 10 % во всех последующих.</w:t>
      </w:r>
    </w:p>
    <w:p w14:paraId="64A8D6F0" w14:textId="28536D32" w:rsidR="00703680" w:rsidRPr="00D050C7" w:rsidRDefault="00703680" w:rsidP="00E93B67">
      <w:pPr>
        <w:pStyle w:val="aff"/>
        <w:spacing w:after="0"/>
        <w:ind w:firstLine="709"/>
      </w:pPr>
      <w:r w:rsidRPr="00D050C7">
        <w:rPr>
          <w:rFonts w:eastAsiaTheme="minorHAnsi"/>
          <w:lang w:eastAsia="en-US"/>
        </w:rPr>
        <w:t xml:space="preserve">Результаты исследования эквивалентности профилей </w:t>
      </w:r>
      <w:r w:rsidR="0005153E">
        <w:rPr>
          <w:rFonts w:eastAsiaTheme="minorHAnsi"/>
          <w:lang w:eastAsia="en-US"/>
        </w:rPr>
        <w:t xml:space="preserve">растворения </w:t>
      </w:r>
      <w:r w:rsidRPr="00D050C7">
        <w:rPr>
          <w:rFonts w:eastAsiaTheme="minorHAnsi"/>
          <w:lang w:eastAsia="en-US"/>
        </w:rPr>
        <w:t>в среде  фосфатный буферный раствор рН 6,8 не являются достоверными так как значения относительного стандартного отклонения (</w:t>
      </w:r>
      <w:r w:rsidR="000971D1">
        <w:rPr>
          <w:rFonts w:eastAsiaTheme="minorHAnsi"/>
          <w:lang w:eastAsia="en-US"/>
        </w:rPr>
        <w:t>ОСО</w:t>
      </w:r>
      <w:r w:rsidRPr="00D050C7">
        <w:rPr>
          <w:rFonts w:eastAsiaTheme="minorHAnsi"/>
          <w:lang w:eastAsia="en-US"/>
        </w:rPr>
        <w:t xml:space="preserve">, %) для референтного и исследуемого лекарственных препаратов не соответствуют </w:t>
      </w:r>
      <w:r w:rsidRPr="00D050C7">
        <w:t xml:space="preserve">требованиям </w:t>
      </w:r>
      <w:r w:rsidR="000971D1">
        <w:t>ЕАЭС</w:t>
      </w:r>
      <w:r w:rsidRPr="00D050C7">
        <w:t xml:space="preserve">. </w:t>
      </w:r>
    </w:p>
    <w:p w14:paraId="3C4A9E8A" w14:textId="77777777" w:rsidR="00703680" w:rsidRPr="00D050C7" w:rsidRDefault="00703680" w:rsidP="00E93B67">
      <w:pPr>
        <w:pStyle w:val="aff"/>
        <w:spacing w:after="0"/>
        <w:ind w:firstLine="709"/>
        <w:rPr>
          <w:bCs/>
        </w:rPr>
      </w:pPr>
      <w:r w:rsidRPr="00D050C7">
        <w:rPr>
          <w:bCs/>
        </w:rPr>
        <w:t xml:space="preserve">Для сравнительных тестов кинетики растворения исследуемого лекарственного препарата и референтного препарата в среде фосфатный буферный раствор рН 6,8 была проведена статистическая оценка результатов кинетики растворения. Для каждой </w:t>
      </w:r>
      <w:r w:rsidRPr="00D050C7">
        <w:rPr>
          <w:bCs/>
        </w:rPr>
        <w:lastRenderedPageBreak/>
        <w:t xml:space="preserve">временной точки был проведен статистический анализ данных по критерию Фишера и критерию Стьюдента, так как применение фактора подобия </w:t>
      </w:r>
      <w:r w:rsidRPr="00D050C7">
        <w:rPr>
          <w:bCs/>
          <w:i/>
          <w:lang w:val="en-US"/>
        </w:rPr>
        <w:t>f</w:t>
      </w:r>
      <w:r w:rsidRPr="00D050C7">
        <w:rPr>
          <w:bCs/>
          <w:i/>
          <w:vertAlign w:val="subscript"/>
        </w:rPr>
        <w:t>2</w:t>
      </w:r>
      <w:r w:rsidRPr="00D050C7">
        <w:rPr>
          <w:bCs/>
        </w:rPr>
        <w:t xml:space="preserve"> не приемлемо.</w:t>
      </w:r>
    </w:p>
    <w:p w14:paraId="17C7C18C" w14:textId="77777777" w:rsidR="00703680" w:rsidRDefault="00703680" w:rsidP="001742A1">
      <w:pPr>
        <w:pStyle w:val="aff"/>
        <w:spacing w:after="0"/>
        <w:rPr>
          <w:b/>
        </w:rPr>
      </w:pPr>
    </w:p>
    <w:p w14:paraId="6B57798C" w14:textId="77777777" w:rsidR="000971D1" w:rsidRDefault="000971D1" w:rsidP="00D050C7">
      <w:pPr>
        <w:pStyle w:val="aff"/>
        <w:spacing w:after="0"/>
        <w:rPr>
          <w:b/>
        </w:rPr>
        <w:sectPr w:rsidR="000971D1" w:rsidSect="00AB01E2">
          <w:pgSz w:w="11906" w:h="16838"/>
          <w:pgMar w:top="1134" w:right="849" w:bottom="1134" w:left="1701" w:header="708" w:footer="709" w:gutter="0"/>
          <w:cols w:space="708"/>
          <w:docGrid w:linePitch="360"/>
        </w:sectPr>
      </w:pPr>
    </w:p>
    <w:p w14:paraId="3C1FA3BD" w14:textId="122D3503" w:rsidR="00703680" w:rsidRPr="00D050C7" w:rsidRDefault="00703680" w:rsidP="00D050C7">
      <w:pPr>
        <w:pStyle w:val="aff"/>
        <w:spacing w:after="0"/>
        <w:rPr>
          <w:rFonts w:eastAsiaTheme="minorHAnsi"/>
          <w:lang w:eastAsia="en-US"/>
        </w:rPr>
      </w:pPr>
      <w:r w:rsidRPr="003E68EC">
        <w:rPr>
          <w:b/>
        </w:rPr>
        <w:lastRenderedPageBreak/>
        <w:t>Таблица 2-</w:t>
      </w:r>
      <w:r>
        <w:rPr>
          <w:b/>
          <w:lang w:val="en-GB"/>
        </w:rPr>
        <w:t>4</w:t>
      </w:r>
      <w:r w:rsidRPr="003E68EC">
        <w:rPr>
          <w:b/>
        </w:rPr>
        <w:t>.</w:t>
      </w:r>
      <w:r w:rsidRPr="003E68EC">
        <w:t xml:space="preserve"> </w:t>
      </w:r>
      <w:r w:rsidRPr="00D050C7">
        <w:t>Статистическая оценка результатов</w:t>
      </w:r>
      <w:r w:rsidR="00884D56">
        <w:t>.</w:t>
      </w:r>
    </w:p>
    <w:tbl>
      <w:tblPr>
        <w:tblStyle w:val="34"/>
        <w:tblW w:w="9351" w:type="dxa"/>
        <w:tblLayout w:type="fixed"/>
        <w:tblLook w:val="04A0" w:firstRow="1" w:lastRow="0" w:firstColumn="1" w:lastColumn="0" w:noHBand="0" w:noVBand="1"/>
      </w:tblPr>
      <w:tblGrid>
        <w:gridCol w:w="2263"/>
        <w:gridCol w:w="1386"/>
        <w:gridCol w:w="1387"/>
        <w:gridCol w:w="1386"/>
        <w:gridCol w:w="1387"/>
        <w:gridCol w:w="1542"/>
      </w:tblGrid>
      <w:tr w:rsidR="00703680" w:rsidRPr="00703680" w14:paraId="77DD9C1E" w14:textId="77777777" w:rsidTr="00E36A78">
        <w:trPr>
          <w:trHeight w:val="351"/>
        </w:trPr>
        <w:tc>
          <w:tcPr>
            <w:tcW w:w="2263" w:type="dxa"/>
            <w:vMerge w:val="restart"/>
            <w:textDirection w:val="btLr"/>
            <w:vAlign w:val="center"/>
          </w:tcPr>
          <w:p w14:paraId="24D958B6" w14:textId="77777777" w:rsidR="00703680" w:rsidRPr="00703680" w:rsidRDefault="00703680" w:rsidP="00703680">
            <w:pPr>
              <w:ind w:left="23"/>
              <w:jc w:val="center"/>
              <w:rPr>
                <w:bCs/>
              </w:rPr>
            </w:pPr>
            <w:r w:rsidRPr="00703680">
              <w:rPr>
                <w:b/>
              </w:rPr>
              <w:t xml:space="preserve">Среда растворения: </w:t>
            </w:r>
            <w:r w:rsidRPr="00703680">
              <w:t>фосфатный буферный раствор рН 6,8</w:t>
            </w:r>
          </w:p>
        </w:tc>
        <w:tc>
          <w:tcPr>
            <w:tcW w:w="7088" w:type="dxa"/>
            <w:gridSpan w:val="5"/>
            <w:shd w:val="clear" w:color="auto" w:fill="D9D9D9" w:themeFill="background1" w:themeFillShade="D9"/>
            <w:vAlign w:val="center"/>
          </w:tcPr>
          <w:p w14:paraId="412D09CC" w14:textId="1B6750E4" w:rsidR="00703680" w:rsidRPr="00703680" w:rsidRDefault="00E93B67" w:rsidP="00703680">
            <w:pPr>
              <w:jc w:val="center"/>
              <w:rPr>
                <w:b/>
                <w:bCs/>
              </w:rPr>
            </w:pPr>
            <w:r>
              <w:rPr>
                <w:b/>
                <w:lang w:val="en-US"/>
              </w:rPr>
              <w:t>DT-LNV,</w:t>
            </w:r>
            <w:r w:rsidR="00703680" w:rsidRPr="00703680">
              <w:rPr>
                <w:b/>
              </w:rPr>
              <w:t xml:space="preserve"> капсулы, </w:t>
            </w:r>
            <w:r w:rsidR="00703680" w:rsidRPr="00703680">
              <w:rPr>
                <w:b/>
                <w:lang w:val="en-US"/>
              </w:rPr>
              <w:t>4</w:t>
            </w:r>
            <w:r w:rsidR="00703680" w:rsidRPr="00703680">
              <w:rPr>
                <w:b/>
              </w:rPr>
              <w:t xml:space="preserve"> мг</w:t>
            </w:r>
          </w:p>
        </w:tc>
      </w:tr>
      <w:tr w:rsidR="00703680" w:rsidRPr="00703680" w14:paraId="7A34E5CA" w14:textId="77777777" w:rsidTr="00E36A78">
        <w:trPr>
          <w:trHeight w:val="141"/>
        </w:trPr>
        <w:tc>
          <w:tcPr>
            <w:tcW w:w="2263" w:type="dxa"/>
            <w:vMerge/>
            <w:vAlign w:val="center"/>
          </w:tcPr>
          <w:p w14:paraId="0BBB0FE8" w14:textId="77777777" w:rsidR="00703680" w:rsidRPr="00703680" w:rsidRDefault="00703680" w:rsidP="00D050C7">
            <w:pPr>
              <w:tabs>
                <w:tab w:val="left" w:pos="927"/>
              </w:tabs>
              <w:ind w:left="23"/>
              <w:rPr>
                <w:bCs/>
              </w:rPr>
            </w:pPr>
          </w:p>
        </w:tc>
        <w:tc>
          <w:tcPr>
            <w:tcW w:w="1386" w:type="dxa"/>
            <w:shd w:val="clear" w:color="auto" w:fill="D9D9D9" w:themeFill="background1" w:themeFillShade="D9"/>
            <w:vAlign w:val="center"/>
          </w:tcPr>
          <w:p w14:paraId="225DE511" w14:textId="77777777" w:rsidR="00703680" w:rsidRPr="00D050C7" w:rsidRDefault="00703680" w:rsidP="0005153E">
            <w:pPr>
              <w:ind w:left="-82" w:right="-115"/>
              <w:jc w:val="center"/>
              <w:rPr>
                <w:b/>
                <w:bCs/>
                <w:color w:val="000000"/>
              </w:rPr>
            </w:pPr>
            <w:r w:rsidRPr="00D050C7">
              <w:rPr>
                <w:b/>
                <w:bCs/>
                <w:color w:val="000000"/>
              </w:rPr>
              <w:t>10 мин</w:t>
            </w:r>
          </w:p>
        </w:tc>
        <w:tc>
          <w:tcPr>
            <w:tcW w:w="1387" w:type="dxa"/>
            <w:shd w:val="clear" w:color="auto" w:fill="D9D9D9" w:themeFill="background1" w:themeFillShade="D9"/>
            <w:vAlign w:val="center"/>
          </w:tcPr>
          <w:p w14:paraId="07296FFB" w14:textId="77777777" w:rsidR="00703680" w:rsidRPr="00D050C7" w:rsidRDefault="00703680" w:rsidP="0005153E">
            <w:pPr>
              <w:jc w:val="center"/>
              <w:rPr>
                <w:b/>
              </w:rPr>
            </w:pPr>
            <w:r w:rsidRPr="00D050C7">
              <w:rPr>
                <w:b/>
                <w:bCs/>
                <w:color w:val="000000"/>
              </w:rPr>
              <w:t>15 мин</w:t>
            </w:r>
          </w:p>
        </w:tc>
        <w:tc>
          <w:tcPr>
            <w:tcW w:w="1386" w:type="dxa"/>
            <w:shd w:val="clear" w:color="auto" w:fill="D9D9D9" w:themeFill="background1" w:themeFillShade="D9"/>
            <w:vAlign w:val="center"/>
          </w:tcPr>
          <w:p w14:paraId="5BB9A981" w14:textId="77777777" w:rsidR="00703680" w:rsidRPr="00D050C7" w:rsidRDefault="00703680" w:rsidP="0005153E">
            <w:pPr>
              <w:jc w:val="center"/>
              <w:rPr>
                <w:b/>
              </w:rPr>
            </w:pPr>
            <w:r w:rsidRPr="00D050C7">
              <w:rPr>
                <w:b/>
                <w:bCs/>
                <w:color w:val="000000"/>
              </w:rPr>
              <w:t>20 мин</w:t>
            </w:r>
          </w:p>
        </w:tc>
        <w:tc>
          <w:tcPr>
            <w:tcW w:w="1387" w:type="dxa"/>
            <w:shd w:val="clear" w:color="auto" w:fill="D9D9D9" w:themeFill="background1" w:themeFillShade="D9"/>
            <w:vAlign w:val="center"/>
          </w:tcPr>
          <w:p w14:paraId="7CA891FA" w14:textId="77777777" w:rsidR="00703680" w:rsidRPr="00D050C7" w:rsidRDefault="00703680" w:rsidP="0005153E">
            <w:pPr>
              <w:jc w:val="center"/>
              <w:rPr>
                <w:b/>
              </w:rPr>
            </w:pPr>
            <w:r w:rsidRPr="00D050C7">
              <w:rPr>
                <w:b/>
                <w:bCs/>
                <w:color w:val="000000"/>
              </w:rPr>
              <w:t>30 мин</w:t>
            </w:r>
          </w:p>
        </w:tc>
        <w:tc>
          <w:tcPr>
            <w:tcW w:w="1542" w:type="dxa"/>
            <w:shd w:val="clear" w:color="auto" w:fill="D9D9D9" w:themeFill="background1" w:themeFillShade="D9"/>
            <w:vAlign w:val="center"/>
          </w:tcPr>
          <w:p w14:paraId="69F51509" w14:textId="77777777" w:rsidR="00703680" w:rsidRPr="00D050C7" w:rsidRDefault="00703680" w:rsidP="0005153E">
            <w:pPr>
              <w:jc w:val="center"/>
              <w:rPr>
                <w:b/>
              </w:rPr>
            </w:pPr>
            <w:r w:rsidRPr="00D050C7">
              <w:rPr>
                <w:b/>
                <w:bCs/>
                <w:color w:val="000000"/>
              </w:rPr>
              <w:t>45 мин</w:t>
            </w:r>
          </w:p>
        </w:tc>
      </w:tr>
      <w:tr w:rsidR="00703680" w:rsidRPr="00703680" w14:paraId="7AFA275D" w14:textId="77777777" w:rsidTr="00E36A78">
        <w:trPr>
          <w:trHeight w:val="141"/>
        </w:trPr>
        <w:tc>
          <w:tcPr>
            <w:tcW w:w="2263" w:type="dxa"/>
            <w:vMerge/>
            <w:vAlign w:val="center"/>
          </w:tcPr>
          <w:p w14:paraId="5A606952" w14:textId="77777777" w:rsidR="00703680" w:rsidRPr="00703680" w:rsidRDefault="00703680" w:rsidP="00D050C7">
            <w:pPr>
              <w:tabs>
                <w:tab w:val="left" w:pos="927"/>
              </w:tabs>
              <w:ind w:left="23"/>
              <w:rPr>
                <w:bCs/>
              </w:rPr>
            </w:pPr>
          </w:p>
        </w:tc>
        <w:tc>
          <w:tcPr>
            <w:tcW w:w="1386" w:type="dxa"/>
            <w:vAlign w:val="center"/>
          </w:tcPr>
          <w:p w14:paraId="3FB56134" w14:textId="77777777" w:rsidR="00703680" w:rsidRPr="00703680" w:rsidRDefault="00703680" w:rsidP="00703680">
            <w:pPr>
              <w:jc w:val="center"/>
              <w:rPr>
                <w:color w:val="000000"/>
              </w:rPr>
            </w:pPr>
            <w:r w:rsidRPr="00D050C7">
              <w:rPr>
                <w:color w:val="000000"/>
              </w:rPr>
              <w:t>2</w:t>
            </w:r>
          </w:p>
        </w:tc>
        <w:tc>
          <w:tcPr>
            <w:tcW w:w="1387" w:type="dxa"/>
            <w:vAlign w:val="center"/>
          </w:tcPr>
          <w:p w14:paraId="2C5EEFBE" w14:textId="77777777" w:rsidR="00703680" w:rsidRPr="00703680" w:rsidRDefault="00703680" w:rsidP="00703680">
            <w:pPr>
              <w:jc w:val="center"/>
              <w:rPr>
                <w:color w:val="000000"/>
              </w:rPr>
            </w:pPr>
            <w:r w:rsidRPr="00D050C7">
              <w:rPr>
                <w:color w:val="000000"/>
              </w:rPr>
              <w:t>6</w:t>
            </w:r>
          </w:p>
        </w:tc>
        <w:tc>
          <w:tcPr>
            <w:tcW w:w="1386" w:type="dxa"/>
            <w:vAlign w:val="center"/>
          </w:tcPr>
          <w:p w14:paraId="51201C6C" w14:textId="77777777" w:rsidR="00703680" w:rsidRPr="00703680" w:rsidRDefault="00703680" w:rsidP="00703680">
            <w:pPr>
              <w:jc w:val="center"/>
              <w:rPr>
                <w:color w:val="000000"/>
              </w:rPr>
            </w:pPr>
            <w:r w:rsidRPr="00D050C7">
              <w:rPr>
                <w:color w:val="000000"/>
              </w:rPr>
              <w:t>8</w:t>
            </w:r>
          </w:p>
        </w:tc>
        <w:tc>
          <w:tcPr>
            <w:tcW w:w="1387" w:type="dxa"/>
            <w:vAlign w:val="center"/>
          </w:tcPr>
          <w:p w14:paraId="57EF3140" w14:textId="77777777" w:rsidR="00703680" w:rsidRPr="00703680" w:rsidRDefault="00703680" w:rsidP="00703680">
            <w:pPr>
              <w:jc w:val="center"/>
              <w:rPr>
                <w:color w:val="000000"/>
              </w:rPr>
            </w:pPr>
            <w:r w:rsidRPr="00D050C7">
              <w:rPr>
                <w:color w:val="000000"/>
              </w:rPr>
              <w:t>10</w:t>
            </w:r>
          </w:p>
        </w:tc>
        <w:tc>
          <w:tcPr>
            <w:tcW w:w="1542" w:type="dxa"/>
            <w:vAlign w:val="center"/>
          </w:tcPr>
          <w:p w14:paraId="0E41522C" w14:textId="77777777" w:rsidR="00703680" w:rsidRPr="00703680" w:rsidRDefault="00703680" w:rsidP="00703680">
            <w:pPr>
              <w:jc w:val="center"/>
              <w:rPr>
                <w:color w:val="000000"/>
              </w:rPr>
            </w:pPr>
            <w:r w:rsidRPr="00D050C7">
              <w:rPr>
                <w:color w:val="000000"/>
              </w:rPr>
              <w:t>15</w:t>
            </w:r>
          </w:p>
        </w:tc>
      </w:tr>
      <w:tr w:rsidR="00703680" w:rsidRPr="00703680" w14:paraId="1A1C0D9E" w14:textId="77777777" w:rsidTr="00E36A78">
        <w:trPr>
          <w:trHeight w:val="141"/>
        </w:trPr>
        <w:tc>
          <w:tcPr>
            <w:tcW w:w="2263" w:type="dxa"/>
            <w:vMerge/>
            <w:vAlign w:val="center"/>
          </w:tcPr>
          <w:p w14:paraId="69C522A1" w14:textId="77777777" w:rsidR="00703680" w:rsidRPr="00703680" w:rsidRDefault="00703680" w:rsidP="00D050C7">
            <w:pPr>
              <w:tabs>
                <w:tab w:val="left" w:pos="927"/>
              </w:tabs>
              <w:ind w:left="23"/>
              <w:rPr>
                <w:bCs/>
              </w:rPr>
            </w:pPr>
          </w:p>
        </w:tc>
        <w:tc>
          <w:tcPr>
            <w:tcW w:w="1386" w:type="dxa"/>
            <w:vAlign w:val="center"/>
          </w:tcPr>
          <w:p w14:paraId="4ACE6077" w14:textId="77777777" w:rsidR="00703680" w:rsidRPr="00703680" w:rsidRDefault="00703680" w:rsidP="00703680">
            <w:pPr>
              <w:jc w:val="center"/>
              <w:rPr>
                <w:color w:val="000000"/>
              </w:rPr>
            </w:pPr>
            <w:r w:rsidRPr="00D050C7">
              <w:rPr>
                <w:color w:val="000000"/>
              </w:rPr>
              <w:t>4</w:t>
            </w:r>
          </w:p>
        </w:tc>
        <w:tc>
          <w:tcPr>
            <w:tcW w:w="1387" w:type="dxa"/>
            <w:vAlign w:val="center"/>
          </w:tcPr>
          <w:p w14:paraId="6A57973C" w14:textId="77777777" w:rsidR="00703680" w:rsidRPr="00703680" w:rsidRDefault="00703680" w:rsidP="00703680">
            <w:pPr>
              <w:jc w:val="center"/>
              <w:rPr>
                <w:color w:val="000000"/>
              </w:rPr>
            </w:pPr>
            <w:r w:rsidRPr="00D050C7">
              <w:rPr>
                <w:color w:val="000000"/>
              </w:rPr>
              <w:t>9</w:t>
            </w:r>
          </w:p>
        </w:tc>
        <w:tc>
          <w:tcPr>
            <w:tcW w:w="1386" w:type="dxa"/>
            <w:vAlign w:val="center"/>
          </w:tcPr>
          <w:p w14:paraId="3D51C91D" w14:textId="77777777" w:rsidR="00703680" w:rsidRPr="00703680" w:rsidRDefault="00703680" w:rsidP="00703680">
            <w:pPr>
              <w:jc w:val="center"/>
              <w:rPr>
                <w:color w:val="000000"/>
              </w:rPr>
            </w:pPr>
            <w:r w:rsidRPr="00D050C7">
              <w:rPr>
                <w:color w:val="000000"/>
              </w:rPr>
              <w:t>10</w:t>
            </w:r>
          </w:p>
        </w:tc>
        <w:tc>
          <w:tcPr>
            <w:tcW w:w="1387" w:type="dxa"/>
            <w:vAlign w:val="center"/>
          </w:tcPr>
          <w:p w14:paraId="059D4218" w14:textId="77777777" w:rsidR="00703680" w:rsidRPr="00703680" w:rsidRDefault="00703680" w:rsidP="00703680">
            <w:pPr>
              <w:jc w:val="center"/>
              <w:rPr>
                <w:color w:val="000000"/>
              </w:rPr>
            </w:pPr>
            <w:r w:rsidRPr="00D050C7">
              <w:rPr>
                <w:color w:val="000000"/>
              </w:rPr>
              <w:t>14</w:t>
            </w:r>
          </w:p>
        </w:tc>
        <w:tc>
          <w:tcPr>
            <w:tcW w:w="1542" w:type="dxa"/>
            <w:vAlign w:val="center"/>
          </w:tcPr>
          <w:p w14:paraId="7CFD3D0D" w14:textId="77777777" w:rsidR="00703680" w:rsidRPr="00703680" w:rsidRDefault="00703680" w:rsidP="00703680">
            <w:pPr>
              <w:jc w:val="center"/>
              <w:rPr>
                <w:color w:val="000000"/>
              </w:rPr>
            </w:pPr>
            <w:r w:rsidRPr="00D050C7">
              <w:rPr>
                <w:color w:val="000000"/>
              </w:rPr>
              <w:t>16</w:t>
            </w:r>
          </w:p>
        </w:tc>
      </w:tr>
      <w:tr w:rsidR="00703680" w:rsidRPr="00703680" w14:paraId="15AD7668" w14:textId="77777777" w:rsidTr="00E36A78">
        <w:trPr>
          <w:trHeight w:val="141"/>
        </w:trPr>
        <w:tc>
          <w:tcPr>
            <w:tcW w:w="2263" w:type="dxa"/>
            <w:vMerge/>
            <w:vAlign w:val="center"/>
          </w:tcPr>
          <w:p w14:paraId="41431D79" w14:textId="77777777" w:rsidR="00703680" w:rsidRPr="00703680" w:rsidRDefault="00703680" w:rsidP="00D050C7">
            <w:pPr>
              <w:tabs>
                <w:tab w:val="left" w:pos="927"/>
              </w:tabs>
              <w:ind w:left="23"/>
              <w:rPr>
                <w:bCs/>
              </w:rPr>
            </w:pPr>
          </w:p>
        </w:tc>
        <w:tc>
          <w:tcPr>
            <w:tcW w:w="1386" w:type="dxa"/>
            <w:vAlign w:val="center"/>
          </w:tcPr>
          <w:p w14:paraId="46CE71D7" w14:textId="77777777" w:rsidR="00703680" w:rsidRPr="00703680" w:rsidRDefault="00703680" w:rsidP="00703680">
            <w:pPr>
              <w:jc w:val="center"/>
              <w:rPr>
                <w:color w:val="000000"/>
              </w:rPr>
            </w:pPr>
            <w:r w:rsidRPr="00D050C7">
              <w:rPr>
                <w:color w:val="000000"/>
              </w:rPr>
              <w:t>3</w:t>
            </w:r>
          </w:p>
        </w:tc>
        <w:tc>
          <w:tcPr>
            <w:tcW w:w="1387" w:type="dxa"/>
            <w:vAlign w:val="center"/>
          </w:tcPr>
          <w:p w14:paraId="78F2187F" w14:textId="77777777" w:rsidR="00703680" w:rsidRPr="00703680" w:rsidRDefault="00703680" w:rsidP="00703680">
            <w:pPr>
              <w:jc w:val="center"/>
              <w:rPr>
                <w:color w:val="000000"/>
              </w:rPr>
            </w:pPr>
            <w:r w:rsidRPr="00D050C7">
              <w:rPr>
                <w:color w:val="000000"/>
              </w:rPr>
              <w:t>6</w:t>
            </w:r>
          </w:p>
        </w:tc>
        <w:tc>
          <w:tcPr>
            <w:tcW w:w="1386" w:type="dxa"/>
            <w:vAlign w:val="center"/>
          </w:tcPr>
          <w:p w14:paraId="7AA2C6B4" w14:textId="77777777" w:rsidR="00703680" w:rsidRPr="00703680" w:rsidRDefault="00703680" w:rsidP="00703680">
            <w:pPr>
              <w:jc w:val="center"/>
              <w:rPr>
                <w:color w:val="000000"/>
              </w:rPr>
            </w:pPr>
            <w:r w:rsidRPr="00D050C7">
              <w:rPr>
                <w:color w:val="000000"/>
              </w:rPr>
              <w:t>8</w:t>
            </w:r>
          </w:p>
        </w:tc>
        <w:tc>
          <w:tcPr>
            <w:tcW w:w="1387" w:type="dxa"/>
            <w:vAlign w:val="center"/>
          </w:tcPr>
          <w:p w14:paraId="51ADF049" w14:textId="77777777" w:rsidR="00703680" w:rsidRPr="00703680" w:rsidRDefault="00703680" w:rsidP="00703680">
            <w:pPr>
              <w:jc w:val="center"/>
              <w:rPr>
                <w:color w:val="000000"/>
              </w:rPr>
            </w:pPr>
            <w:r w:rsidRPr="00D050C7">
              <w:rPr>
                <w:color w:val="000000"/>
              </w:rPr>
              <w:t>11</w:t>
            </w:r>
          </w:p>
        </w:tc>
        <w:tc>
          <w:tcPr>
            <w:tcW w:w="1542" w:type="dxa"/>
            <w:vAlign w:val="center"/>
          </w:tcPr>
          <w:p w14:paraId="18E7F4F7" w14:textId="77777777" w:rsidR="00703680" w:rsidRPr="00703680" w:rsidRDefault="00703680" w:rsidP="00703680">
            <w:pPr>
              <w:jc w:val="center"/>
              <w:rPr>
                <w:color w:val="000000"/>
              </w:rPr>
            </w:pPr>
            <w:r w:rsidRPr="00D050C7">
              <w:rPr>
                <w:color w:val="000000"/>
              </w:rPr>
              <w:t>13</w:t>
            </w:r>
          </w:p>
        </w:tc>
      </w:tr>
      <w:tr w:rsidR="00703680" w:rsidRPr="00703680" w14:paraId="270B16B6" w14:textId="77777777" w:rsidTr="00E36A78">
        <w:trPr>
          <w:trHeight w:val="141"/>
        </w:trPr>
        <w:tc>
          <w:tcPr>
            <w:tcW w:w="2263" w:type="dxa"/>
            <w:vMerge/>
            <w:vAlign w:val="center"/>
          </w:tcPr>
          <w:p w14:paraId="3AA442FB" w14:textId="77777777" w:rsidR="00703680" w:rsidRPr="00703680" w:rsidRDefault="00703680" w:rsidP="00D050C7">
            <w:pPr>
              <w:tabs>
                <w:tab w:val="left" w:pos="927"/>
              </w:tabs>
              <w:ind w:left="23"/>
              <w:rPr>
                <w:bCs/>
              </w:rPr>
            </w:pPr>
          </w:p>
        </w:tc>
        <w:tc>
          <w:tcPr>
            <w:tcW w:w="1386" w:type="dxa"/>
            <w:vAlign w:val="center"/>
          </w:tcPr>
          <w:p w14:paraId="4AAA70CC" w14:textId="77777777" w:rsidR="00703680" w:rsidRPr="00703680" w:rsidRDefault="00703680" w:rsidP="00703680">
            <w:pPr>
              <w:jc w:val="center"/>
              <w:rPr>
                <w:color w:val="000000"/>
              </w:rPr>
            </w:pPr>
            <w:r w:rsidRPr="00D050C7">
              <w:rPr>
                <w:color w:val="000000"/>
              </w:rPr>
              <w:t>2</w:t>
            </w:r>
          </w:p>
        </w:tc>
        <w:tc>
          <w:tcPr>
            <w:tcW w:w="1387" w:type="dxa"/>
            <w:vAlign w:val="center"/>
          </w:tcPr>
          <w:p w14:paraId="07B6253E" w14:textId="77777777" w:rsidR="00703680" w:rsidRPr="00703680" w:rsidRDefault="00703680" w:rsidP="00703680">
            <w:pPr>
              <w:jc w:val="center"/>
              <w:rPr>
                <w:color w:val="000000"/>
              </w:rPr>
            </w:pPr>
            <w:r w:rsidRPr="00D050C7">
              <w:rPr>
                <w:color w:val="000000"/>
              </w:rPr>
              <w:t>5</w:t>
            </w:r>
          </w:p>
        </w:tc>
        <w:tc>
          <w:tcPr>
            <w:tcW w:w="1386" w:type="dxa"/>
            <w:vAlign w:val="center"/>
          </w:tcPr>
          <w:p w14:paraId="71BF7AE9" w14:textId="77777777" w:rsidR="00703680" w:rsidRPr="00703680" w:rsidRDefault="00703680" w:rsidP="00703680">
            <w:pPr>
              <w:jc w:val="center"/>
              <w:rPr>
                <w:color w:val="000000"/>
              </w:rPr>
            </w:pPr>
            <w:r w:rsidRPr="00D050C7">
              <w:rPr>
                <w:color w:val="000000"/>
              </w:rPr>
              <w:t>6</w:t>
            </w:r>
          </w:p>
        </w:tc>
        <w:tc>
          <w:tcPr>
            <w:tcW w:w="1387" w:type="dxa"/>
            <w:vAlign w:val="center"/>
          </w:tcPr>
          <w:p w14:paraId="59DB301C" w14:textId="77777777" w:rsidR="00703680" w:rsidRPr="00703680" w:rsidRDefault="00703680" w:rsidP="00703680">
            <w:pPr>
              <w:jc w:val="center"/>
              <w:rPr>
                <w:color w:val="000000"/>
              </w:rPr>
            </w:pPr>
            <w:r w:rsidRPr="00D050C7">
              <w:rPr>
                <w:color w:val="000000"/>
              </w:rPr>
              <w:t>10</w:t>
            </w:r>
          </w:p>
        </w:tc>
        <w:tc>
          <w:tcPr>
            <w:tcW w:w="1542" w:type="dxa"/>
            <w:vAlign w:val="center"/>
          </w:tcPr>
          <w:p w14:paraId="48D17890" w14:textId="77777777" w:rsidR="00703680" w:rsidRPr="00703680" w:rsidRDefault="00703680" w:rsidP="00703680">
            <w:pPr>
              <w:jc w:val="center"/>
              <w:rPr>
                <w:color w:val="000000"/>
              </w:rPr>
            </w:pPr>
            <w:r w:rsidRPr="00D050C7">
              <w:rPr>
                <w:color w:val="000000"/>
              </w:rPr>
              <w:t>12</w:t>
            </w:r>
          </w:p>
        </w:tc>
      </w:tr>
      <w:tr w:rsidR="00703680" w:rsidRPr="00703680" w14:paraId="7D948220" w14:textId="77777777" w:rsidTr="00E36A78">
        <w:trPr>
          <w:trHeight w:val="141"/>
        </w:trPr>
        <w:tc>
          <w:tcPr>
            <w:tcW w:w="2263" w:type="dxa"/>
            <w:vMerge/>
            <w:vAlign w:val="center"/>
          </w:tcPr>
          <w:p w14:paraId="6F731B42" w14:textId="77777777" w:rsidR="00703680" w:rsidRPr="00703680" w:rsidRDefault="00703680" w:rsidP="00D050C7">
            <w:pPr>
              <w:tabs>
                <w:tab w:val="left" w:pos="927"/>
              </w:tabs>
              <w:ind w:left="23"/>
              <w:rPr>
                <w:bCs/>
              </w:rPr>
            </w:pPr>
          </w:p>
        </w:tc>
        <w:tc>
          <w:tcPr>
            <w:tcW w:w="1386" w:type="dxa"/>
            <w:vAlign w:val="center"/>
          </w:tcPr>
          <w:p w14:paraId="2DE99655" w14:textId="77777777" w:rsidR="00703680" w:rsidRPr="00703680" w:rsidRDefault="00703680" w:rsidP="00703680">
            <w:pPr>
              <w:jc w:val="center"/>
              <w:rPr>
                <w:color w:val="000000"/>
              </w:rPr>
            </w:pPr>
            <w:r w:rsidRPr="00D050C7">
              <w:rPr>
                <w:color w:val="000000"/>
              </w:rPr>
              <w:t>2</w:t>
            </w:r>
          </w:p>
        </w:tc>
        <w:tc>
          <w:tcPr>
            <w:tcW w:w="1387" w:type="dxa"/>
            <w:vAlign w:val="center"/>
          </w:tcPr>
          <w:p w14:paraId="75390F52" w14:textId="77777777" w:rsidR="00703680" w:rsidRPr="00703680" w:rsidRDefault="00703680" w:rsidP="00703680">
            <w:pPr>
              <w:jc w:val="center"/>
              <w:rPr>
                <w:color w:val="000000"/>
              </w:rPr>
            </w:pPr>
            <w:r w:rsidRPr="00D050C7">
              <w:rPr>
                <w:color w:val="000000"/>
              </w:rPr>
              <w:t>5</w:t>
            </w:r>
          </w:p>
        </w:tc>
        <w:tc>
          <w:tcPr>
            <w:tcW w:w="1386" w:type="dxa"/>
            <w:vAlign w:val="center"/>
          </w:tcPr>
          <w:p w14:paraId="290DB1D4" w14:textId="77777777" w:rsidR="00703680" w:rsidRPr="00703680" w:rsidRDefault="00703680" w:rsidP="00703680">
            <w:pPr>
              <w:jc w:val="center"/>
              <w:rPr>
                <w:color w:val="000000"/>
              </w:rPr>
            </w:pPr>
            <w:r w:rsidRPr="00D050C7">
              <w:rPr>
                <w:color w:val="000000"/>
              </w:rPr>
              <w:t>8</w:t>
            </w:r>
          </w:p>
        </w:tc>
        <w:tc>
          <w:tcPr>
            <w:tcW w:w="1387" w:type="dxa"/>
            <w:vAlign w:val="center"/>
          </w:tcPr>
          <w:p w14:paraId="0D6BE15E" w14:textId="77777777" w:rsidR="00703680" w:rsidRPr="00703680" w:rsidRDefault="00703680" w:rsidP="00703680">
            <w:pPr>
              <w:jc w:val="center"/>
              <w:rPr>
                <w:color w:val="000000"/>
              </w:rPr>
            </w:pPr>
            <w:r w:rsidRPr="00D050C7">
              <w:rPr>
                <w:color w:val="000000"/>
              </w:rPr>
              <w:t>11</w:t>
            </w:r>
          </w:p>
        </w:tc>
        <w:tc>
          <w:tcPr>
            <w:tcW w:w="1542" w:type="dxa"/>
            <w:vAlign w:val="center"/>
          </w:tcPr>
          <w:p w14:paraId="7EB19455" w14:textId="77777777" w:rsidR="00703680" w:rsidRPr="00703680" w:rsidRDefault="00703680" w:rsidP="00703680">
            <w:pPr>
              <w:jc w:val="center"/>
              <w:rPr>
                <w:color w:val="000000"/>
              </w:rPr>
            </w:pPr>
            <w:r w:rsidRPr="00D050C7">
              <w:rPr>
                <w:color w:val="000000"/>
              </w:rPr>
              <w:t>13</w:t>
            </w:r>
          </w:p>
        </w:tc>
      </w:tr>
      <w:tr w:rsidR="00703680" w:rsidRPr="00703680" w14:paraId="40CAB71D" w14:textId="77777777" w:rsidTr="00E36A78">
        <w:trPr>
          <w:trHeight w:val="141"/>
        </w:trPr>
        <w:tc>
          <w:tcPr>
            <w:tcW w:w="2263" w:type="dxa"/>
            <w:vMerge/>
            <w:vAlign w:val="center"/>
          </w:tcPr>
          <w:p w14:paraId="45511291" w14:textId="77777777" w:rsidR="00703680" w:rsidRPr="00703680" w:rsidRDefault="00703680" w:rsidP="00D050C7">
            <w:pPr>
              <w:tabs>
                <w:tab w:val="left" w:pos="927"/>
              </w:tabs>
              <w:ind w:left="23"/>
              <w:rPr>
                <w:bCs/>
              </w:rPr>
            </w:pPr>
          </w:p>
        </w:tc>
        <w:tc>
          <w:tcPr>
            <w:tcW w:w="1386" w:type="dxa"/>
            <w:vAlign w:val="center"/>
          </w:tcPr>
          <w:p w14:paraId="524211C7" w14:textId="77777777" w:rsidR="00703680" w:rsidRPr="00703680" w:rsidRDefault="00703680" w:rsidP="00703680">
            <w:pPr>
              <w:jc w:val="center"/>
              <w:rPr>
                <w:color w:val="000000"/>
              </w:rPr>
            </w:pPr>
            <w:r w:rsidRPr="00D050C7">
              <w:rPr>
                <w:color w:val="000000"/>
              </w:rPr>
              <w:t>1</w:t>
            </w:r>
          </w:p>
        </w:tc>
        <w:tc>
          <w:tcPr>
            <w:tcW w:w="1387" w:type="dxa"/>
            <w:vAlign w:val="center"/>
          </w:tcPr>
          <w:p w14:paraId="4BB0D59C" w14:textId="77777777" w:rsidR="00703680" w:rsidRPr="00703680" w:rsidRDefault="00703680" w:rsidP="00703680">
            <w:pPr>
              <w:jc w:val="center"/>
              <w:rPr>
                <w:color w:val="000000"/>
              </w:rPr>
            </w:pPr>
            <w:r w:rsidRPr="00D050C7">
              <w:rPr>
                <w:color w:val="000000"/>
              </w:rPr>
              <w:t>5</w:t>
            </w:r>
          </w:p>
        </w:tc>
        <w:tc>
          <w:tcPr>
            <w:tcW w:w="1386" w:type="dxa"/>
            <w:vAlign w:val="center"/>
          </w:tcPr>
          <w:p w14:paraId="59FFA51A" w14:textId="77777777" w:rsidR="00703680" w:rsidRPr="00703680" w:rsidRDefault="00703680" w:rsidP="00703680">
            <w:pPr>
              <w:jc w:val="center"/>
              <w:rPr>
                <w:color w:val="000000"/>
              </w:rPr>
            </w:pPr>
            <w:r w:rsidRPr="00D050C7">
              <w:rPr>
                <w:color w:val="000000"/>
              </w:rPr>
              <w:t>8</w:t>
            </w:r>
          </w:p>
        </w:tc>
        <w:tc>
          <w:tcPr>
            <w:tcW w:w="1387" w:type="dxa"/>
            <w:vAlign w:val="center"/>
          </w:tcPr>
          <w:p w14:paraId="3F6DB1B5" w14:textId="77777777" w:rsidR="00703680" w:rsidRPr="00703680" w:rsidRDefault="00703680" w:rsidP="00703680">
            <w:pPr>
              <w:jc w:val="center"/>
              <w:rPr>
                <w:color w:val="000000"/>
              </w:rPr>
            </w:pPr>
            <w:r w:rsidRPr="00D050C7">
              <w:rPr>
                <w:color w:val="000000"/>
              </w:rPr>
              <w:t>13</w:t>
            </w:r>
          </w:p>
        </w:tc>
        <w:tc>
          <w:tcPr>
            <w:tcW w:w="1542" w:type="dxa"/>
            <w:vAlign w:val="center"/>
          </w:tcPr>
          <w:p w14:paraId="6E474FBB" w14:textId="77777777" w:rsidR="00703680" w:rsidRPr="00703680" w:rsidRDefault="00703680" w:rsidP="00703680">
            <w:pPr>
              <w:jc w:val="center"/>
              <w:rPr>
                <w:color w:val="000000"/>
              </w:rPr>
            </w:pPr>
            <w:r w:rsidRPr="00D050C7">
              <w:rPr>
                <w:color w:val="000000"/>
              </w:rPr>
              <w:t>15</w:t>
            </w:r>
          </w:p>
        </w:tc>
      </w:tr>
      <w:tr w:rsidR="00703680" w:rsidRPr="00703680" w14:paraId="7B8BED5A" w14:textId="77777777" w:rsidTr="00E36A78">
        <w:trPr>
          <w:trHeight w:val="141"/>
        </w:trPr>
        <w:tc>
          <w:tcPr>
            <w:tcW w:w="2263" w:type="dxa"/>
            <w:vMerge/>
            <w:vAlign w:val="center"/>
          </w:tcPr>
          <w:p w14:paraId="3BDFA8E1" w14:textId="77777777" w:rsidR="00703680" w:rsidRPr="00703680" w:rsidRDefault="00703680" w:rsidP="00D050C7">
            <w:pPr>
              <w:tabs>
                <w:tab w:val="left" w:pos="927"/>
              </w:tabs>
              <w:ind w:left="23"/>
              <w:rPr>
                <w:bCs/>
              </w:rPr>
            </w:pPr>
          </w:p>
        </w:tc>
        <w:tc>
          <w:tcPr>
            <w:tcW w:w="1386" w:type="dxa"/>
            <w:vAlign w:val="center"/>
          </w:tcPr>
          <w:p w14:paraId="0E5E954F" w14:textId="77777777" w:rsidR="00703680" w:rsidRPr="00703680" w:rsidRDefault="00703680" w:rsidP="00703680">
            <w:pPr>
              <w:jc w:val="center"/>
              <w:rPr>
                <w:color w:val="000000"/>
              </w:rPr>
            </w:pPr>
            <w:r w:rsidRPr="00D050C7">
              <w:rPr>
                <w:color w:val="000000"/>
              </w:rPr>
              <w:t>4</w:t>
            </w:r>
          </w:p>
        </w:tc>
        <w:tc>
          <w:tcPr>
            <w:tcW w:w="1387" w:type="dxa"/>
            <w:vAlign w:val="center"/>
          </w:tcPr>
          <w:p w14:paraId="5D92BBCF" w14:textId="77777777" w:rsidR="00703680" w:rsidRPr="00703680" w:rsidRDefault="00703680" w:rsidP="00703680">
            <w:pPr>
              <w:jc w:val="center"/>
              <w:rPr>
                <w:color w:val="000000"/>
              </w:rPr>
            </w:pPr>
            <w:r w:rsidRPr="00D050C7">
              <w:rPr>
                <w:color w:val="000000"/>
              </w:rPr>
              <w:t>8</w:t>
            </w:r>
          </w:p>
        </w:tc>
        <w:tc>
          <w:tcPr>
            <w:tcW w:w="1386" w:type="dxa"/>
            <w:vAlign w:val="center"/>
          </w:tcPr>
          <w:p w14:paraId="613BD24F" w14:textId="77777777" w:rsidR="00703680" w:rsidRPr="00703680" w:rsidRDefault="00703680" w:rsidP="00703680">
            <w:pPr>
              <w:jc w:val="center"/>
              <w:rPr>
                <w:color w:val="000000"/>
              </w:rPr>
            </w:pPr>
            <w:r w:rsidRPr="00D050C7">
              <w:rPr>
                <w:color w:val="000000"/>
              </w:rPr>
              <w:t>10</w:t>
            </w:r>
          </w:p>
        </w:tc>
        <w:tc>
          <w:tcPr>
            <w:tcW w:w="1387" w:type="dxa"/>
            <w:vAlign w:val="center"/>
          </w:tcPr>
          <w:p w14:paraId="4EFFFFEF" w14:textId="77777777" w:rsidR="00703680" w:rsidRPr="00703680" w:rsidRDefault="00703680" w:rsidP="00703680">
            <w:pPr>
              <w:jc w:val="center"/>
              <w:rPr>
                <w:color w:val="000000"/>
              </w:rPr>
            </w:pPr>
            <w:r w:rsidRPr="00D050C7">
              <w:rPr>
                <w:color w:val="000000"/>
              </w:rPr>
              <w:t>14</w:t>
            </w:r>
          </w:p>
        </w:tc>
        <w:tc>
          <w:tcPr>
            <w:tcW w:w="1542" w:type="dxa"/>
            <w:vAlign w:val="center"/>
          </w:tcPr>
          <w:p w14:paraId="4E0A487E" w14:textId="77777777" w:rsidR="00703680" w:rsidRPr="00703680" w:rsidRDefault="00703680" w:rsidP="00703680">
            <w:pPr>
              <w:jc w:val="center"/>
              <w:rPr>
                <w:color w:val="000000"/>
              </w:rPr>
            </w:pPr>
            <w:r w:rsidRPr="00D050C7">
              <w:rPr>
                <w:color w:val="000000"/>
              </w:rPr>
              <w:t>16</w:t>
            </w:r>
          </w:p>
        </w:tc>
      </w:tr>
      <w:tr w:rsidR="00703680" w:rsidRPr="00703680" w14:paraId="58559A8B" w14:textId="77777777" w:rsidTr="00E36A78">
        <w:trPr>
          <w:trHeight w:val="141"/>
        </w:trPr>
        <w:tc>
          <w:tcPr>
            <w:tcW w:w="2263" w:type="dxa"/>
            <w:vMerge/>
            <w:vAlign w:val="center"/>
          </w:tcPr>
          <w:p w14:paraId="421D7EE5" w14:textId="77777777" w:rsidR="00703680" w:rsidRPr="00703680" w:rsidRDefault="00703680" w:rsidP="00D050C7">
            <w:pPr>
              <w:tabs>
                <w:tab w:val="left" w:pos="927"/>
              </w:tabs>
              <w:ind w:left="23"/>
              <w:rPr>
                <w:bCs/>
              </w:rPr>
            </w:pPr>
          </w:p>
        </w:tc>
        <w:tc>
          <w:tcPr>
            <w:tcW w:w="1386" w:type="dxa"/>
            <w:vAlign w:val="center"/>
          </w:tcPr>
          <w:p w14:paraId="0099F1EF" w14:textId="77777777" w:rsidR="00703680" w:rsidRPr="00703680" w:rsidRDefault="00703680" w:rsidP="00703680">
            <w:pPr>
              <w:jc w:val="center"/>
              <w:rPr>
                <w:color w:val="000000"/>
              </w:rPr>
            </w:pPr>
            <w:r w:rsidRPr="00D050C7">
              <w:rPr>
                <w:color w:val="000000"/>
              </w:rPr>
              <w:t>3</w:t>
            </w:r>
          </w:p>
        </w:tc>
        <w:tc>
          <w:tcPr>
            <w:tcW w:w="1387" w:type="dxa"/>
            <w:vAlign w:val="center"/>
          </w:tcPr>
          <w:p w14:paraId="2CE31007" w14:textId="77777777" w:rsidR="00703680" w:rsidRPr="00703680" w:rsidRDefault="00703680" w:rsidP="00703680">
            <w:pPr>
              <w:jc w:val="center"/>
              <w:rPr>
                <w:color w:val="000000"/>
              </w:rPr>
            </w:pPr>
            <w:r w:rsidRPr="00D050C7">
              <w:rPr>
                <w:color w:val="000000"/>
              </w:rPr>
              <w:t>7</w:t>
            </w:r>
          </w:p>
        </w:tc>
        <w:tc>
          <w:tcPr>
            <w:tcW w:w="1386" w:type="dxa"/>
            <w:vAlign w:val="center"/>
          </w:tcPr>
          <w:p w14:paraId="1DEAAAD9" w14:textId="77777777" w:rsidR="00703680" w:rsidRPr="00703680" w:rsidRDefault="00703680" w:rsidP="00703680">
            <w:pPr>
              <w:jc w:val="center"/>
              <w:rPr>
                <w:color w:val="000000"/>
              </w:rPr>
            </w:pPr>
            <w:r w:rsidRPr="00D050C7">
              <w:rPr>
                <w:color w:val="000000"/>
              </w:rPr>
              <w:t>9</w:t>
            </w:r>
          </w:p>
        </w:tc>
        <w:tc>
          <w:tcPr>
            <w:tcW w:w="1387" w:type="dxa"/>
            <w:vAlign w:val="center"/>
          </w:tcPr>
          <w:p w14:paraId="4EA8FEB1" w14:textId="77777777" w:rsidR="00703680" w:rsidRPr="00703680" w:rsidRDefault="00703680" w:rsidP="00703680">
            <w:pPr>
              <w:jc w:val="center"/>
              <w:rPr>
                <w:color w:val="000000"/>
              </w:rPr>
            </w:pPr>
            <w:r w:rsidRPr="00D050C7">
              <w:rPr>
                <w:color w:val="000000"/>
              </w:rPr>
              <w:t>11</w:t>
            </w:r>
          </w:p>
        </w:tc>
        <w:tc>
          <w:tcPr>
            <w:tcW w:w="1542" w:type="dxa"/>
            <w:vAlign w:val="center"/>
          </w:tcPr>
          <w:p w14:paraId="443FA2CE" w14:textId="77777777" w:rsidR="00703680" w:rsidRPr="00703680" w:rsidRDefault="00703680" w:rsidP="00703680">
            <w:pPr>
              <w:jc w:val="center"/>
              <w:rPr>
                <w:color w:val="000000"/>
              </w:rPr>
            </w:pPr>
            <w:r w:rsidRPr="00D050C7">
              <w:rPr>
                <w:color w:val="000000"/>
              </w:rPr>
              <w:t>13</w:t>
            </w:r>
          </w:p>
        </w:tc>
      </w:tr>
      <w:tr w:rsidR="00703680" w:rsidRPr="00703680" w14:paraId="56268586" w14:textId="77777777" w:rsidTr="00E36A78">
        <w:trPr>
          <w:trHeight w:val="141"/>
        </w:trPr>
        <w:tc>
          <w:tcPr>
            <w:tcW w:w="2263" w:type="dxa"/>
            <w:vMerge/>
            <w:vAlign w:val="center"/>
          </w:tcPr>
          <w:p w14:paraId="67169AF0" w14:textId="77777777" w:rsidR="00703680" w:rsidRPr="00703680" w:rsidRDefault="00703680" w:rsidP="00D050C7">
            <w:pPr>
              <w:tabs>
                <w:tab w:val="left" w:pos="927"/>
              </w:tabs>
              <w:ind w:left="23"/>
              <w:rPr>
                <w:bCs/>
              </w:rPr>
            </w:pPr>
          </w:p>
        </w:tc>
        <w:tc>
          <w:tcPr>
            <w:tcW w:w="1386" w:type="dxa"/>
            <w:vAlign w:val="center"/>
          </w:tcPr>
          <w:p w14:paraId="6942DE39" w14:textId="77777777" w:rsidR="00703680" w:rsidRPr="00703680" w:rsidRDefault="00703680" w:rsidP="00703680">
            <w:pPr>
              <w:jc w:val="center"/>
              <w:rPr>
                <w:color w:val="000000"/>
              </w:rPr>
            </w:pPr>
            <w:r w:rsidRPr="00D050C7">
              <w:rPr>
                <w:color w:val="000000"/>
              </w:rPr>
              <w:t>2</w:t>
            </w:r>
          </w:p>
        </w:tc>
        <w:tc>
          <w:tcPr>
            <w:tcW w:w="1387" w:type="dxa"/>
            <w:vAlign w:val="center"/>
          </w:tcPr>
          <w:p w14:paraId="45542645" w14:textId="77777777" w:rsidR="00703680" w:rsidRPr="00703680" w:rsidRDefault="00703680" w:rsidP="00703680">
            <w:pPr>
              <w:jc w:val="center"/>
              <w:rPr>
                <w:color w:val="000000"/>
              </w:rPr>
            </w:pPr>
            <w:r w:rsidRPr="00D050C7">
              <w:rPr>
                <w:color w:val="000000"/>
              </w:rPr>
              <w:t>5</w:t>
            </w:r>
          </w:p>
        </w:tc>
        <w:tc>
          <w:tcPr>
            <w:tcW w:w="1386" w:type="dxa"/>
            <w:vAlign w:val="center"/>
          </w:tcPr>
          <w:p w14:paraId="484CFEAE" w14:textId="77777777" w:rsidR="00703680" w:rsidRPr="00703680" w:rsidRDefault="00703680" w:rsidP="00703680">
            <w:pPr>
              <w:jc w:val="center"/>
              <w:rPr>
                <w:color w:val="000000"/>
              </w:rPr>
            </w:pPr>
            <w:r w:rsidRPr="00D050C7">
              <w:rPr>
                <w:color w:val="000000"/>
              </w:rPr>
              <w:t>8</w:t>
            </w:r>
          </w:p>
        </w:tc>
        <w:tc>
          <w:tcPr>
            <w:tcW w:w="1387" w:type="dxa"/>
            <w:vAlign w:val="center"/>
          </w:tcPr>
          <w:p w14:paraId="4CD33C57" w14:textId="77777777" w:rsidR="00703680" w:rsidRPr="00703680" w:rsidRDefault="00703680" w:rsidP="00703680">
            <w:pPr>
              <w:jc w:val="center"/>
              <w:rPr>
                <w:color w:val="000000"/>
              </w:rPr>
            </w:pPr>
            <w:r w:rsidRPr="00D050C7">
              <w:rPr>
                <w:color w:val="000000"/>
              </w:rPr>
              <w:t>10</w:t>
            </w:r>
          </w:p>
        </w:tc>
        <w:tc>
          <w:tcPr>
            <w:tcW w:w="1542" w:type="dxa"/>
            <w:vAlign w:val="center"/>
          </w:tcPr>
          <w:p w14:paraId="5EBEBB5B" w14:textId="77777777" w:rsidR="00703680" w:rsidRPr="00703680" w:rsidRDefault="00703680" w:rsidP="00703680">
            <w:pPr>
              <w:jc w:val="center"/>
              <w:rPr>
                <w:color w:val="000000"/>
              </w:rPr>
            </w:pPr>
            <w:r w:rsidRPr="00D050C7">
              <w:rPr>
                <w:color w:val="000000"/>
              </w:rPr>
              <w:t>14</w:t>
            </w:r>
          </w:p>
        </w:tc>
      </w:tr>
      <w:tr w:rsidR="00703680" w:rsidRPr="00703680" w14:paraId="565404F9" w14:textId="77777777" w:rsidTr="00E36A78">
        <w:trPr>
          <w:trHeight w:val="141"/>
        </w:trPr>
        <w:tc>
          <w:tcPr>
            <w:tcW w:w="2263" w:type="dxa"/>
            <w:vMerge/>
            <w:vAlign w:val="center"/>
          </w:tcPr>
          <w:p w14:paraId="1EDD3C00" w14:textId="77777777" w:rsidR="00703680" w:rsidRPr="00703680" w:rsidRDefault="00703680" w:rsidP="00D050C7">
            <w:pPr>
              <w:tabs>
                <w:tab w:val="left" w:pos="927"/>
              </w:tabs>
              <w:ind w:left="23"/>
              <w:rPr>
                <w:bCs/>
              </w:rPr>
            </w:pPr>
          </w:p>
        </w:tc>
        <w:tc>
          <w:tcPr>
            <w:tcW w:w="1386" w:type="dxa"/>
            <w:vAlign w:val="center"/>
          </w:tcPr>
          <w:p w14:paraId="28538911" w14:textId="77777777" w:rsidR="00703680" w:rsidRPr="00703680" w:rsidRDefault="00703680" w:rsidP="00703680">
            <w:pPr>
              <w:jc w:val="center"/>
              <w:rPr>
                <w:color w:val="000000"/>
              </w:rPr>
            </w:pPr>
            <w:r w:rsidRPr="00D050C7">
              <w:rPr>
                <w:color w:val="000000"/>
              </w:rPr>
              <w:t>2</w:t>
            </w:r>
          </w:p>
        </w:tc>
        <w:tc>
          <w:tcPr>
            <w:tcW w:w="1387" w:type="dxa"/>
            <w:vAlign w:val="center"/>
          </w:tcPr>
          <w:p w14:paraId="27BE2C71" w14:textId="77777777" w:rsidR="00703680" w:rsidRPr="00703680" w:rsidRDefault="00703680" w:rsidP="00703680">
            <w:pPr>
              <w:jc w:val="center"/>
              <w:rPr>
                <w:color w:val="000000"/>
              </w:rPr>
            </w:pPr>
            <w:r w:rsidRPr="00D050C7">
              <w:rPr>
                <w:color w:val="000000"/>
              </w:rPr>
              <w:t>6</w:t>
            </w:r>
          </w:p>
        </w:tc>
        <w:tc>
          <w:tcPr>
            <w:tcW w:w="1386" w:type="dxa"/>
            <w:vAlign w:val="center"/>
          </w:tcPr>
          <w:p w14:paraId="45BBA7AB" w14:textId="77777777" w:rsidR="00703680" w:rsidRPr="00703680" w:rsidRDefault="00703680" w:rsidP="00703680">
            <w:pPr>
              <w:jc w:val="center"/>
              <w:rPr>
                <w:color w:val="000000"/>
              </w:rPr>
            </w:pPr>
            <w:r w:rsidRPr="00D050C7">
              <w:rPr>
                <w:color w:val="000000"/>
              </w:rPr>
              <w:t>8</w:t>
            </w:r>
          </w:p>
        </w:tc>
        <w:tc>
          <w:tcPr>
            <w:tcW w:w="1387" w:type="dxa"/>
            <w:vAlign w:val="center"/>
          </w:tcPr>
          <w:p w14:paraId="4B1C22F0" w14:textId="77777777" w:rsidR="00703680" w:rsidRPr="00703680" w:rsidRDefault="00703680" w:rsidP="00703680">
            <w:pPr>
              <w:jc w:val="center"/>
              <w:rPr>
                <w:color w:val="000000"/>
              </w:rPr>
            </w:pPr>
            <w:r w:rsidRPr="00D050C7">
              <w:rPr>
                <w:color w:val="000000"/>
              </w:rPr>
              <w:t>11</w:t>
            </w:r>
          </w:p>
        </w:tc>
        <w:tc>
          <w:tcPr>
            <w:tcW w:w="1542" w:type="dxa"/>
            <w:vAlign w:val="center"/>
          </w:tcPr>
          <w:p w14:paraId="11752689" w14:textId="77777777" w:rsidR="00703680" w:rsidRPr="00703680" w:rsidRDefault="00703680" w:rsidP="00703680">
            <w:pPr>
              <w:jc w:val="center"/>
              <w:rPr>
                <w:color w:val="000000"/>
              </w:rPr>
            </w:pPr>
            <w:r w:rsidRPr="00D050C7">
              <w:rPr>
                <w:color w:val="000000"/>
              </w:rPr>
              <w:t>15</w:t>
            </w:r>
          </w:p>
        </w:tc>
      </w:tr>
      <w:tr w:rsidR="00703680" w:rsidRPr="00703680" w14:paraId="5DB1DFF5" w14:textId="77777777" w:rsidTr="00E36A78">
        <w:trPr>
          <w:trHeight w:val="141"/>
        </w:trPr>
        <w:tc>
          <w:tcPr>
            <w:tcW w:w="2263" w:type="dxa"/>
            <w:vMerge/>
            <w:vAlign w:val="center"/>
          </w:tcPr>
          <w:p w14:paraId="704FAEED" w14:textId="77777777" w:rsidR="00703680" w:rsidRPr="00703680" w:rsidRDefault="00703680" w:rsidP="00D050C7">
            <w:pPr>
              <w:tabs>
                <w:tab w:val="left" w:pos="927"/>
              </w:tabs>
              <w:ind w:left="23"/>
              <w:rPr>
                <w:bCs/>
              </w:rPr>
            </w:pPr>
          </w:p>
        </w:tc>
        <w:tc>
          <w:tcPr>
            <w:tcW w:w="1386" w:type="dxa"/>
            <w:vAlign w:val="center"/>
          </w:tcPr>
          <w:p w14:paraId="3BF6BE92" w14:textId="77777777" w:rsidR="00703680" w:rsidRPr="00703680" w:rsidRDefault="00703680" w:rsidP="00703680">
            <w:pPr>
              <w:jc w:val="center"/>
              <w:rPr>
                <w:color w:val="000000"/>
              </w:rPr>
            </w:pPr>
            <w:r w:rsidRPr="00D050C7">
              <w:rPr>
                <w:color w:val="000000"/>
              </w:rPr>
              <w:t>3</w:t>
            </w:r>
          </w:p>
        </w:tc>
        <w:tc>
          <w:tcPr>
            <w:tcW w:w="1387" w:type="dxa"/>
            <w:vAlign w:val="center"/>
          </w:tcPr>
          <w:p w14:paraId="03F9C647" w14:textId="77777777" w:rsidR="00703680" w:rsidRPr="00703680" w:rsidRDefault="00703680" w:rsidP="00703680">
            <w:pPr>
              <w:jc w:val="center"/>
              <w:rPr>
                <w:color w:val="000000"/>
              </w:rPr>
            </w:pPr>
            <w:r w:rsidRPr="00D050C7">
              <w:rPr>
                <w:color w:val="000000"/>
              </w:rPr>
              <w:t>8</w:t>
            </w:r>
          </w:p>
        </w:tc>
        <w:tc>
          <w:tcPr>
            <w:tcW w:w="1386" w:type="dxa"/>
            <w:vAlign w:val="center"/>
          </w:tcPr>
          <w:p w14:paraId="2038401A" w14:textId="77777777" w:rsidR="00703680" w:rsidRPr="00703680" w:rsidRDefault="00703680" w:rsidP="00703680">
            <w:pPr>
              <w:jc w:val="center"/>
              <w:rPr>
                <w:color w:val="000000"/>
              </w:rPr>
            </w:pPr>
            <w:r w:rsidRPr="00D050C7">
              <w:rPr>
                <w:color w:val="000000"/>
              </w:rPr>
              <w:t>10</w:t>
            </w:r>
          </w:p>
        </w:tc>
        <w:tc>
          <w:tcPr>
            <w:tcW w:w="1387" w:type="dxa"/>
            <w:vAlign w:val="center"/>
          </w:tcPr>
          <w:p w14:paraId="28FFE2AA" w14:textId="77777777" w:rsidR="00703680" w:rsidRPr="00703680" w:rsidRDefault="00703680" w:rsidP="00703680">
            <w:pPr>
              <w:jc w:val="center"/>
              <w:rPr>
                <w:color w:val="000000"/>
              </w:rPr>
            </w:pPr>
            <w:r w:rsidRPr="00D050C7">
              <w:rPr>
                <w:color w:val="000000"/>
              </w:rPr>
              <w:t>12</w:t>
            </w:r>
          </w:p>
        </w:tc>
        <w:tc>
          <w:tcPr>
            <w:tcW w:w="1542" w:type="dxa"/>
            <w:vAlign w:val="center"/>
          </w:tcPr>
          <w:p w14:paraId="7BA75697" w14:textId="77777777" w:rsidR="00703680" w:rsidRPr="00703680" w:rsidRDefault="00703680" w:rsidP="00703680">
            <w:pPr>
              <w:jc w:val="center"/>
              <w:rPr>
                <w:color w:val="000000"/>
              </w:rPr>
            </w:pPr>
            <w:r w:rsidRPr="00D050C7">
              <w:rPr>
                <w:color w:val="000000"/>
              </w:rPr>
              <w:t>15</w:t>
            </w:r>
          </w:p>
        </w:tc>
      </w:tr>
      <w:tr w:rsidR="00703680" w:rsidRPr="00703680" w14:paraId="5BADF5DE" w14:textId="77777777" w:rsidTr="00E36A78">
        <w:trPr>
          <w:trHeight w:val="141"/>
        </w:trPr>
        <w:tc>
          <w:tcPr>
            <w:tcW w:w="2263" w:type="dxa"/>
            <w:vMerge/>
            <w:vAlign w:val="center"/>
          </w:tcPr>
          <w:p w14:paraId="0BE992A6" w14:textId="77777777" w:rsidR="00703680" w:rsidRPr="00703680" w:rsidRDefault="00703680" w:rsidP="00D050C7">
            <w:pPr>
              <w:tabs>
                <w:tab w:val="left" w:pos="927"/>
              </w:tabs>
              <w:ind w:left="23"/>
              <w:rPr>
                <w:bCs/>
              </w:rPr>
            </w:pPr>
          </w:p>
        </w:tc>
        <w:tc>
          <w:tcPr>
            <w:tcW w:w="1386" w:type="dxa"/>
            <w:vAlign w:val="center"/>
          </w:tcPr>
          <w:p w14:paraId="1AAB9936" w14:textId="77777777" w:rsidR="00703680" w:rsidRPr="00703680" w:rsidRDefault="00703680" w:rsidP="00703680">
            <w:pPr>
              <w:jc w:val="center"/>
              <w:rPr>
                <w:color w:val="000000"/>
              </w:rPr>
            </w:pPr>
            <w:r w:rsidRPr="00D050C7">
              <w:rPr>
                <w:color w:val="000000"/>
              </w:rPr>
              <w:t>3</w:t>
            </w:r>
          </w:p>
        </w:tc>
        <w:tc>
          <w:tcPr>
            <w:tcW w:w="1387" w:type="dxa"/>
            <w:vAlign w:val="center"/>
          </w:tcPr>
          <w:p w14:paraId="44217B38" w14:textId="77777777" w:rsidR="00703680" w:rsidRPr="00703680" w:rsidRDefault="00703680" w:rsidP="00703680">
            <w:pPr>
              <w:jc w:val="center"/>
              <w:rPr>
                <w:color w:val="000000"/>
              </w:rPr>
            </w:pPr>
            <w:r w:rsidRPr="00D050C7">
              <w:rPr>
                <w:color w:val="000000"/>
              </w:rPr>
              <w:t>8</w:t>
            </w:r>
          </w:p>
        </w:tc>
        <w:tc>
          <w:tcPr>
            <w:tcW w:w="1386" w:type="dxa"/>
            <w:vAlign w:val="center"/>
          </w:tcPr>
          <w:p w14:paraId="5380DB93" w14:textId="77777777" w:rsidR="00703680" w:rsidRPr="00703680" w:rsidRDefault="00703680" w:rsidP="00703680">
            <w:pPr>
              <w:jc w:val="center"/>
              <w:rPr>
                <w:color w:val="000000"/>
              </w:rPr>
            </w:pPr>
            <w:r w:rsidRPr="00D050C7">
              <w:rPr>
                <w:color w:val="000000"/>
              </w:rPr>
              <w:t>10</w:t>
            </w:r>
          </w:p>
        </w:tc>
        <w:tc>
          <w:tcPr>
            <w:tcW w:w="1387" w:type="dxa"/>
            <w:vAlign w:val="center"/>
          </w:tcPr>
          <w:p w14:paraId="11747424" w14:textId="77777777" w:rsidR="00703680" w:rsidRPr="00703680" w:rsidRDefault="00703680" w:rsidP="00703680">
            <w:pPr>
              <w:jc w:val="center"/>
              <w:rPr>
                <w:color w:val="000000"/>
              </w:rPr>
            </w:pPr>
            <w:r w:rsidRPr="00D050C7">
              <w:rPr>
                <w:color w:val="000000"/>
              </w:rPr>
              <w:t>12</w:t>
            </w:r>
          </w:p>
        </w:tc>
        <w:tc>
          <w:tcPr>
            <w:tcW w:w="1542" w:type="dxa"/>
            <w:vAlign w:val="center"/>
          </w:tcPr>
          <w:p w14:paraId="3B984579" w14:textId="77777777" w:rsidR="00703680" w:rsidRPr="00703680" w:rsidRDefault="00703680" w:rsidP="00703680">
            <w:pPr>
              <w:jc w:val="center"/>
              <w:rPr>
                <w:color w:val="000000"/>
              </w:rPr>
            </w:pPr>
            <w:r w:rsidRPr="00D050C7">
              <w:rPr>
                <w:color w:val="000000"/>
              </w:rPr>
              <w:t>14</w:t>
            </w:r>
          </w:p>
        </w:tc>
      </w:tr>
      <w:tr w:rsidR="00703680" w:rsidRPr="00703680" w14:paraId="6E6D7BAC" w14:textId="77777777" w:rsidTr="00E36A78">
        <w:trPr>
          <w:trHeight w:val="176"/>
        </w:trPr>
        <w:tc>
          <w:tcPr>
            <w:tcW w:w="2263" w:type="dxa"/>
            <w:vAlign w:val="center"/>
          </w:tcPr>
          <w:p w14:paraId="3BBE275B" w14:textId="2CBD2FA1" w:rsidR="00703680" w:rsidRPr="00703680" w:rsidRDefault="00703680" w:rsidP="00281A13">
            <w:pPr>
              <w:ind w:left="23"/>
              <w:jc w:val="center"/>
              <w:rPr>
                <w:bCs/>
              </w:rPr>
            </w:pPr>
            <w:r w:rsidRPr="00703680">
              <w:t>Ср</w:t>
            </w:r>
            <w:r w:rsidR="00281A13">
              <w:t xml:space="preserve">. </w:t>
            </w:r>
            <w:r w:rsidRPr="00703680">
              <w:t>значение</w:t>
            </w:r>
          </w:p>
        </w:tc>
        <w:tc>
          <w:tcPr>
            <w:tcW w:w="1386" w:type="dxa"/>
            <w:vAlign w:val="center"/>
          </w:tcPr>
          <w:p w14:paraId="08F8A282" w14:textId="77777777" w:rsidR="00703680" w:rsidRPr="00D050C7" w:rsidRDefault="00703680" w:rsidP="00703680">
            <w:pPr>
              <w:jc w:val="center"/>
              <w:rPr>
                <w:b/>
                <w:color w:val="000000"/>
              </w:rPr>
            </w:pPr>
            <w:r w:rsidRPr="00281A13">
              <w:rPr>
                <w:b/>
              </w:rPr>
              <w:t>3</w:t>
            </w:r>
          </w:p>
        </w:tc>
        <w:tc>
          <w:tcPr>
            <w:tcW w:w="1387" w:type="dxa"/>
            <w:vAlign w:val="center"/>
          </w:tcPr>
          <w:p w14:paraId="457EFD8A" w14:textId="77777777" w:rsidR="00703680" w:rsidRPr="00D050C7" w:rsidRDefault="00703680" w:rsidP="00703680">
            <w:pPr>
              <w:jc w:val="center"/>
              <w:rPr>
                <w:b/>
                <w:color w:val="000000"/>
              </w:rPr>
            </w:pPr>
            <w:r w:rsidRPr="00281A13">
              <w:rPr>
                <w:b/>
              </w:rPr>
              <w:t>7</w:t>
            </w:r>
          </w:p>
        </w:tc>
        <w:tc>
          <w:tcPr>
            <w:tcW w:w="1386" w:type="dxa"/>
            <w:vAlign w:val="center"/>
          </w:tcPr>
          <w:p w14:paraId="33D16655" w14:textId="77777777" w:rsidR="00703680" w:rsidRPr="00D050C7" w:rsidRDefault="00703680" w:rsidP="00703680">
            <w:pPr>
              <w:jc w:val="center"/>
              <w:rPr>
                <w:b/>
                <w:color w:val="000000"/>
              </w:rPr>
            </w:pPr>
            <w:r w:rsidRPr="00281A13">
              <w:rPr>
                <w:b/>
              </w:rPr>
              <w:t>9</w:t>
            </w:r>
          </w:p>
        </w:tc>
        <w:tc>
          <w:tcPr>
            <w:tcW w:w="1387" w:type="dxa"/>
            <w:vAlign w:val="center"/>
          </w:tcPr>
          <w:p w14:paraId="034FA47F" w14:textId="77777777" w:rsidR="00703680" w:rsidRPr="00D050C7" w:rsidRDefault="00703680" w:rsidP="00703680">
            <w:pPr>
              <w:jc w:val="center"/>
              <w:rPr>
                <w:b/>
                <w:color w:val="000000"/>
              </w:rPr>
            </w:pPr>
            <w:r w:rsidRPr="00281A13">
              <w:rPr>
                <w:b/>
              </w:rPr>
              <w:t>12</w:t>
            </w:r>
          </w:p>
        </w:tc>
        <w:tc>
          <w:tcPr>
            <w:tcW w:w="1542" w:type="dxa"/>
            <w:vAlign w:val="center"/>
          </w:tcPr>
          <w:p w14:paraId="216658E8" w14:textId="77777777" w:rsidR="00703680" w:rsidRPr="00D050C7" w:rsidRDefault="00703680" w:rsidP="00703680">
            <w:pPr>
              <w:jc w:val="center"/>
              <w:rPr>
                <w:b/>
                <w:color w:val="000000"/>
              </w:rPr>
            </w:pPr>
            <w:r w:rsidRPr="00281A13">
              <w:rPr>
                <w:b/>
              </w:rPr>
              <w:t>14</w:t>
            </w:r>
          </w:p>
        </w:tc>
      </w:tr>
      <w:tr w:rsidR="00703680" w:rsidRPr="00703680" w14:paraId="0D612A14" w14:textId="77777777" w:rsidTr="00E36A78">
        <w:trPr>
          <w:trHeight w:val="109"/>
        </w:trPr>
        <w:tc>
          <w:tcPr>
            <w:tcW w:w="2263" w:type="dxa"/>
            <w:vAlign w:val="center"/>
          </w:tcPr>
          <w:p w14:paraId="792E5996" w14:textId="66029DC4" w:rsidR="00703680" w:rsidRPr="00703680" w:rsidRDefault="00703680" w:rsidP="00E36A78">
            <w:pPr>
              <w:ind w:left="-109" w:right="-108"/>
              <w:jc w:val="center"/>
              <w:rPr>
                <w:bCs/>
              </w:rPr>
            </w:pPr>
            <w:r w:rsidRPr="00703680">
              <w:t>Кол</w:t>
            </w:r>
            <w:r w:rsidR="00E36A78">
              <w:t>-во</w:t>
            </w:r>
            <w:r w:rsidRPr="00703680">
              <w:t xml:space="preserve"> элементов, n</w:t>
            </w:r>
          </w:p>
        </w:tc>
        <w:tc>
          <w:tcPr>
            <w:tcW w:w="1386" w:type="dxa"/>
            <w:vAlign w:val="center"/>
          </w:tcPr>
          <w:p w14:paraId="022FC31C" w14:textId="77777777" w:rsidR="00703680" w:rsidRPr="00D050C7" w:rsidRDefault="00703680" w:rsidP="00703680">
            <w:pPr>
              <w:tabs>
                <w:tab w:val="left" w:pos="927"/>
              </w:tabs>
              <w:jc w:val="center"/>
              <w:rPr>
                <w:bCs/>
              </w:rPr>
            </w:pPr>
            <w:r w:rsidRPr="00D050C7">
              <w:rPr>
                <w:bCs/>
              </w:rPr>
              <w:t>12</w:t>
            </w:r>
          </w:p>
        </w:tc>
        <w:tc>
          <w:tcPr>
            <w:tcW w:w="1387" w:type="dxa"/>
            <w:vAlign w:val="center"/>
          </w:tcPr>
          <w:p w14:paraId="7D5CC722" w14:textId="77777777" w:rsidR="00703680" w:rsidRPr="00D050C7" w:rsidRDefault="00703680" w:rsidP="00703680">
            <w:pPr>
              <w:tabs>
                <w:tab w:val="left" w:pos="927"/>
              </w:tabs>
              <w:jc w:val="center"/>
              <w:rPr>
                <w:bCs/>
              </w:rPr>
            </w:pPr>
            <w:r w:rsidRPr="00D050C7">
              <w:rPr>
                <w:bCs/>
              </w:rPr>
              <w:t>12</w:t>
            </w:r>
          </w:p>
        </w:tc>
        <w:tc>
          <w:tcPr>
            <w:tcW w:w="1386" w:type="dxa"/>
            <w:vAlign w:val="center"/>
          </w:tcPr>
          <w:p w14:paraId="6B506BDF" w14:textId="77777777" w:rsidR="00703680" w:rsidRPr="00D050C7" w:rsidRDefault="00703680" w:rsidP="00703680">
            <w:pPr>
              <w:tabs>
                <w:tab w:val="left" w:pos="927"/>
              </w:tabs>
              <w:jc w:val="center"/>
              <w:rPr>
                <w:bCs/>
              </w:rPr>
            </w:pPr>
            <w:r w:rsidRPr="00D050C7">
              <w:rPr>
                <w:bCs/>
              </w:rPr>
              <w:t>12</w:t>
            </w:r>
          </w:p>
        </w:tc>
        <w:tc>
          <w:tcPr>
            <w:tcW w:w="1387" w:type="dxa"/>
            <w:vAlign w:val="center"/>
          </w:tcPr>
          <w:p w14:paraId="074738FC" w14:textId="77777777" w:rsidR="00703680" w:rsidRPr="00D050C7" w:rsidRDefault="00703680" w:rsidP="00703680">
            <w:pPr>
              <w:tabs>
                <w:tab w:val="left" w:pos="927"/>
              </w:tabs>
              <w:jc w:val="center"/>
              <w:rPr>
                <w:bCs/>
              </w:rPr>
            </w:pPr>
            <w:r w:rsidRPr="00D050C7">
              <w:rPr>
                <w:bCs/>
              </w:rPr>
              <w:t>12</w:t>
            </w:r>
          </w:p>
        </w:tc>
        <w:tc>
          <w:tcPr>
            <w:tcW w:w="1542" w:type="dxa"/>
            <w:vAlign w:val="center"/>
          </w:tcPr>
          <w:p w14:paraId="5261CF79" w14:textId="77777777" w:rsidR="00703680" w:rsidRPr="00D050C7" w:rsidRDefault="00703680" w:rsidP="00703680">
            <w:pPr>
              <w:tabs>
                <w:tab w:val="left" w:pos="927"/>
              </w:tabs>
              <w:jc w:val="center"/>
              <w:rPr>
                <w:bCs/>
              </w:rPr>
            </w:pPr>
            <w:r w:rsidRPr="00D050C7">
              <w:rPr>
                <w:bCs/>
              </w:rPr>
              <w:t>12</w:t>
            </w:r>
          </w:p>
        </w:tc>
      </w:tr>
      <w:tr w:rsidR="00703680" w:rsidRPr="00703680" w14:paraId="097E69FD" w14:textId="77777777" w:rsidTr="00E36A78">
        <w:trPr>
          <w:trHeight w:val="64"/>
        </w:trPr>
        <w:tc>
          <w:tcPr>
            <w:tcW w:w="2263" w:type="dxa"/>
            <w:vAlign w:val="center"/>
          </w:tcPr>
          <w:p w14:paraId="639801ED" w14:textId="77777777" w:rsidR="00703680" w:rsidRPr="00703680" w:rsidRDefault="00703680" w:rsidP="00703680">
            <w:pPr>
              <w:ind w:left="23"/>
              <w:jc w:val="center"/>
              <w:rPr>
                <w:bCs/>
              </w:rPr>
            </w:pPr>
            <w:r w:rsidRPr="00703680">
              <w:t>Степени свободы, f</w:t>
            </w:r>
          </w:p>
        </w:tc>
        <w:tc>
          <w:tcPr>
            <w:tcW w:w="1386" w:type="dxa"/>
            <w:vAlign w:val="center"/>
          </w:tcPr>
          <w:p w14:paraId="598ED7EF" w14:textId="77777777" w:rsidR="00703680" w:rsidRPr="00D050C7" w:rsidRDefault="00703680" w:rsidP="00703680">
            <w:pPr>
              <w:tabs>
                <w:tab w:val="left" w:pos="927"/>
              </w:tabs>
              <w:jc w:val="center"/>
              <w:rPr>
                <w:bCs/>
              </w:rPr>
            </w:pPr>
            <w:r w:rsidRPr="00D050C7">
              <w:rPr>
                <w:bCs/>
              </w:rPr>
              <w:t>11</w:t>
            </w:r>
          </w:p>
        </w:tc>
        <w:tc>
          <w:tcPr>
            <w:tcW w:w="1387" w:type="dxa"/>
            <w:vAlign w:val="center"/>
          </w:tcPr>
          <w:p w14:paraId="57FEC8CF" w14:textId="77777777" w:rsidR="00703680" w:rsidRPr="00D050C7" w:rsidRDefault="00703680" w:rsidP="00703680">
            <w:pPr>
              <w:tabs>
                <w:tab w:val="left" w:pos="927"/>
              </w:tabs>
              <w:jc w:val="center"/>
              <w:rPr>
                <w:bCs/>
              </w:rPr>
            </w:pPr>
            <w:r w:rsidRPr="00D050C7">
              <w:rPr>
                <w:bCs/>
              </w:rPr>
              <w:t>11</w:t>
            </w:r>
          </w:p>
        </w:tc>
        <w:tc>
          <w:tcPr>
            <w:tcW w:w="1386" w:type="dxa"/>
            <w:vAlign w:val="center"/>
          </w:tcPr>
          <w:p w14:paraId="646A96FF" w14:textId="77777777" w:rsidR="00703680" w:rsidRPr="00D050C7" w:rsidRDefault="00703680" w:rsidP="00703680">
            <w:pPr>
              <w:tabs>
                <w:tab w:val="left" w:pos="927"/>
              </w:tabs>
              <w:jc w:val="center"/>
              <w:rPr>
                <w:bCs/>
              </w:rPr>
            </w:pPr>
            <w:r w:rsidRPr="00D050C7">
              <w:rPr>
                <w:bCs/>
              </w:rPr>
              <w:t>11</w:t>
            </w:r>
          </w:p>
        </w:tc>
        <w:tc>
          <w:tcPr>
            <w:tcW w:w="1387" w:type="dxa"/>
            <w:vAlign w:val="center"/>
          </w:tcPr>
          <w:p w14:paraId="682FA0C2" w14:textId="77777777" w:rsidR="00703680" w:rsidRPr="00D050C7" w:rsidRDefault="00703680" w:rsidP="00703680">
            <w:pPr>
              <w:tabs>
                <w:tab w:val="left" w:pos="927"/>
              </w:tabs>
              <w:jc w:val="center"/>
              <w:rPr>
                <w:bCs/>
              </w:rPr>
            </w:pPr>
            <w:r w:rsidRPr="00D050C7">
              <w:rPr>
                <w:bCs/>
              </w:rPr>
              <w:t>11</w:t>
            </w:r>
          </w:p>
        </w:tc>
        <w:tc>
          <w:tcPr>
            <w:tcW w:w="1542" w:type="dxa"/>
            <w:vAlign w:val="center"/>
          </w:tcPr>
          <w:p w14:paraId="06371071" w14:textId="77777777" w:rsidR="00703680" w:rsidRPr="00D050C7" w:rsidRDefault="00703680" w:rsidP="00703680">
            <w:pPr>
              <w:tabs>
                <w:tab w:val="left" w:pos="927"/>
              </w:tabs>
              <w:jc w:val="center"/>
              <w:rPr>
                <w:bCs/>
              </w:rPr>
            </w:pPr>
            <w:r w:rsidRPr="00D050C7">
              <w:rPr>
                <w:bCs/>
              </w:rPr>
              <w:t>11</w:t>
            </w:r>
          </w:p>
        </w:tc>
      </w:tr>
      <w:tr w:rsidR="00703680" w:rsidRPr="00703680" w14:paraId="1C2C3A40" w14:textId="77777777" w:rsidTr="00E36A78">
        <w:trPr>
          <w:trHeight w:val="265"/>
        </w:trPr>
        <w:tc>
          <w:tcPr>
            <w:tcW w:w="2263" w:type="dxa"/>
            <w:vAlign w:val="center"/>
          </w:tcPr>
          <w:p w14:paraId="51B4C575" w14:textId="77777777" w:rsidR="00703680" w:rsidRPr="00703680" w:rsidRDefault="00703680" w:rsidP="00703680">
            <w:pPr>
              <w:ind w:left="23"/>
              <w:jc w:val="center"/>
              <w:rPr>
                <w:bCs/>
              </w:rPr>
            </w:pPr>
            <w:r w:rsidRPr="00703680">
              <w:t>Дисперсия</w:t>
            </w:r>
          </w:p>
        </w:tc>
        <w:tc>
          <w:tcPr>
            <w:tcW w:w="1386" w:type="dxa"/>
            <w:vAlign w:val="center"/>
          </w:tcPr>
          <w:p w14:paraId="1F07FC56" w14:textId="77777777" w:rsidR="00703680" w:rsidRPr="00D050C7" w:rsidRDefault="00703680" w:rsidP="00703680">
            <w:pPr>
              <w:jc w:val="center"/>
              <w:rPr>
                <w:color w:val="000000"/>
              </w:rPr>
            </w:pPr>
            <w:r w:rsidRPr="00D050C7">
              <w:rPr>
                <w:bCs/>
                <w:color w:val="000000"/>
              </w:rPr>
              <w:t>0,8</w:t>
            </w:r>
          </w:p>
        </w:tc>
        <w:tc>
          <w:tcPr>
            <w:tcW w:w="1387" w:type="dxa"/>
            <w:vAlign w:val="center"/>
          </w:tcPr>
          <w:p w14:paraId="10683920" w14:textId="77777777" w:rsidR="00703680" w:rsidRPr="00D050C7" w:rsidRDefault="00703680" w:rsidP="00703680">
            <w:pPr>
              <w:jc w:val="center"/>
              <w:rPr>
                <w:color w:val="000000"/>
              </w:rPr>
            </w:pPr>
            <w:r w:rsidRPr="00D050C7">
              <w:rPr>
                <w:bCs/>
                <w:color w:val="000000"/>
              </w:rPr>
              <w:t>2,1</w:t>
            </w:r>
          </w:p>
        </w:tc>
        <w:tc>
          <w:tcPr>
            <w:tcW w:w="1386" w:type="dxa"/>
            <w:vAlign w:val="center"/>
          </w:tcPr>
          <w:p w14:paraId="096437DA" w14:textId="77777777" w:rsidR="00703680" w:rsidRPr="00D050C7" w:rsidRDefault="00703680" w:rsidP="00703680">
            <w:pPr>
              <w:jc w:val="center"/>
              <w:rPr>
                <w:color w:val="000000"/>
              </w:rPr>
            </w:pPr>
            <w:r w:rsidRPr="00D050C7">
              <w:rPr>
                <w:bCs/>
                <w:color w:val="000000"/>
              </w:rPr>
              <w:t>1,5</w:t>
            </w:r>
          </w:p>
        </w:tc>
        <w:tc>
          <w:tcPr>
            <w:tcW w:w="1387" w:type="dxa"/>
            <w:vAlign w:val="center"/>
          </w:tcPr>
          <w:p w14:paraId="64BF54A6" w14:textId="77777777" w:rsidR="00703680" w:rsidRPr="00D050C7" w:rsidRDefault="00703680" w:rsidP="00703680">
            <w:pPr>
              <w:jc w:val="center"/>
              <w:rPr>
                <w:color w:val="000000"/>
              </w:rPr>
            </w:pPr>
            <w:r w:rsidRPr="00D050C7">
              <w:rPr>
                <w:bCs/>
                <w:color w:val="000000"/>
              </w:rPr>
              <w:t>2,1</w:t>
            </w:r>
          </w:p>
        </w:tc>
        <w:tc>
          <w:tcPr>
            <w:tcW w:w="1542" w:type="dxa"/>
            <w:vAlign w:val="center"/>
          </w:tcPr>
          <w:p w14:paraId="1B1F55D3" w14:textId="77777777" w:rsidR="00703680" w:rsidRPr="00D050C7" w:rsidRDefault="00703680" w:rsidP="00703680">
            <w:pPr>
              <w:jc w:val="center"/>
              <w:rPr>
                <w:color w:val="000000"/>
              </w:rPr>
            </w:pPr>
            <w:r w:rsidRPr="00D050C7">
              <w:rPr>
                <w:bCs/>
                <w:color w:val="000000"/>
              </w:rPr>
              <w:t>1,7</w:t>
            </w:r>
          </w:p>
        </w:tc>
      </w:tr>
      <w:tr w:rsidR="00703680" w:rsidRPr="00703680" w14:paraId="01AB99AF" w14:textId="77777777" w:rsidTr="00E36A78">
        <w:trPr>
          <w:trHeight w:val="64"/>
        </w:trPr>
        <w:tc>
          <w:tcPr>
            <w:tcW w:w="2263" w:type="dxa"/>
            <w:vAlign w:val="center"/>
          </w:tcPr>
          <w:p w14:paraId="67C35E5F" w14:textId="2DE4305A" w:rsidR="00703680" w:rsidRPr="00703680" w:rsidRDefault="00281A13" w:rsidP="00703680">
            <w:pPr>
              <w:ind w:left="23"/>
              <w:jc w:val="center"/>
              <w:rPr>
                <w:bCs/>
              </w:rPr>
            </w:pPr>
            <w:r>
              <w:t>СО</w:t>
            </w:r>
          </w:p>
        </w:tc>
        <w:tc>
          <w:tcPr>
            <w:tcW w:w="1386" w:type="dxa"/>
            <w:vAlign w:val="center"/>
          </w:tcPr>
          <w:p w14:paraId="4D085A66" w14:textId="77777777" w:rsidR="00703680" w:rsidRPr="00D050C7" w:rsidRDefault="00703680" w:rsidP="00703680">
            <w:pPr>
              <w:jc w:val="center"/>
              <w:rPr>
                <w:color w:val="000000"/>
              </w:rPr>
            </w:pPr>
            <w:r w:rsidRPr="00D050C7">
              <w:rPr>
                <w:bCs/>
                <w:color w:val="000000"/>
              </w:rPr>
              <w:t>0,90</w:t>
            </w:r>
          </w:p>
        </w:tc>
        <w:tc>
          <w:tcPr>
            <w:tcW w:w="1387" w:type="dxa"/>
            <w:vAlign w:val="center"/>
          </w:tcPr>
          <w:p w14:paraId="5480C682" w14:textId="77777777" w:rsidR="00703680" w:rsidRPr="00D050C7" w:rsidRDefault="00703680" w:rsidP="00703680">
            <w:pPr>
              <w:jc w:val="center"/>
              <w:rPr>
                <w:color w:val="000000"/>
              </w:rPr>
            </w:pPr>
            <w:r w:rsidRPr="00D050C7">
              <w:rPr>
                <w:bCs/>
                <w:color w:val="000000"/>
              </w:rPr>
              <w:t>1,45</w:t>
            </w:r>
          </w:p>
        </w:tc>
        <w:tc>
          <w:tcPr>
            <w:tcW w:w="1386" w:type="dxa"/>
            <w:vAlign w:val="center"/>
          </w:tcPr>
          <w:p w14:paraId="6B4C3FB1" w14:textId="77777777" w:rsidR="00703680" w:rsidRPr="00D050C7" w:rsidRDefault="00703680" w:rsidP="00703680">
            <w:pPr>
              <w:jc w:val="center"/>
              <w:rPr>
                <w:color w:val="000000"/>
              </w:rPr>
            </w:pPr>
            <w:r w:rsidRPr="00D050C7">
              <w:rPr>
                <w:bCs/>
                <w:color w:val="000000"/>
              </w:rPr>
              <w:t>1,24</w:t>
            </w:r>
          </w:p>
        </w:tc>
        <w:tc>
          <w:tcPr>
            <w:tcW w:w="1387" w:type="dxa"/>
            <w:vAlign w:val="center"/>
          </w:tcPr>
          <w:p w14:paraId="67345AAA" w14:textId="77777777" w:rsidR="00703680" w:rsidRPr="00D050C7" w:rsidRDefault="00703680" w:rsidP="00703680">
            <w:pPr>
              <w:jc w:val="center"/>
              <w:rPr>
                <w:color w:val="000000"/>
              </w:rPr>
            </w:pPr>
            <w:r w:rsidRPr="00D050C7">
              <w:rPr>
                <w:bCs/>
                <w:color w:val="000000"/>
              </w:rPr>
              <w:t>1,44</w:t>
            </w:r>
          </w:p>
        </w:tc>
        <w:tc>
          <w:tcPr>
            <w:tcW w:w="1542" w:type="dxa"/>
            <w:vAlign w:val="center"/>
          </w:tcPr>
          <w:p w14:paraId="5E872537" w14:textId="77777777" w:rsidR="00703680" w:rsidRPr="00D050C7" w:rsidRDefault="00703680" w:rsidP="00703680">
            <w:pPr>
              <w:jc w:val="center"/>
              <w:rPr>
                <w:color w:val="000000"/>
              </w:rPr>
            </w:pPr>
            <w:r w:rsidRPr="00D050C7">
              <w:rPr>
                <w:bCs/>
                <w:color w:val="000000"/>
              </w:rPr>
              <w:t>1,29</w:t>
            </w:r>
          </w:p>
        </w:tc>
      </w:tr>
    </w:tbl>
    <w:p w14:paraId="2F3374DD" w14:textId="77777777" w:rsidR="00703680" w:rsidRPr="00703680" w:rsidRDefault="00703680" w:rsidP="00703680">
      <w:pPr>
        <w:pStyle w:val="aff"/>
        <w:spacing w:after="0"/>
        <w:ind w:firstLine="709"/>
        <w:jc w:val="right"/>
        <w:rPr>
          <w:rFonts w:eastAsiaTheme="minorHAnsi"/>
          <w:i/>
          <w:highlight w:val="yellow"/>
          <w:lang w:eastAsia="en-US"/>
        </w:rPr>
      </w:pPr>
    </w:p>
    <w:p w14:paraId="0B7B4278" w14:textId="1C98F707" w:rsidR="00703680" w:rsidRPr="00D050C7" w:rsidRDefault="00703680" w:rsidP="00D050C7">
      <w:pPr>
        <w:pStyle w:val="aff"/>
        <w:spacing w:after="0"/>
        <w:rPr>
          <w:rFonts w:eastAsiaTheme="minorHAnsi"/>
          <w:lang w:eastAsia="en-US"/>
        </w:rPr>
      </w:pPr>
      <w:r w:rsidRPr="003E68EC">
        <w:rPr>
          <w:b/>
        </w:rPr>
        <w:t>Таблица 2-</w:t>
      </w:r>
      <w:r>
        <w:rPr>
          <w:b/>
          <w:lang w:val="en-GB"/>
        </w:rPr>
        <w:t>5</w:t>
      </w:r>
      <w:r w:rsidRPr="003E68EC">
        <w:rPr>
          <w:b/>
        </w:rPr>
        <w:t>.</w:t>
      </w:r>
      <w:r w:rsidRPr="003E68EC">
        <w:t xml:space="preserve"> </w:t>
      </w:r>
      <w:r w:rsidRPr="002B180A">
        <w:t>Статистическая оценка результатов</w:t>
      </w:r>
      <w:r w:rsidR="00884D56">
        <w:t>.</w:t>
      </w:r>
    </w:p>
    <w:tbl>
      <w:tblPr>
        <w:tblStyle w:val="34"/>
        <w:tblW w:w="9351" w:type="dxa"/>
        <w:tblLook w:val="04A0" w:firstRow="1" w:lastRow="0" w:firstColumn="1" w:lastColumn="0" w:noHBand="0" w:noVBand="1"/>
      </w:tblPr>
      <w:tblGrid>
        <w:gridCol w:w="2263"/>
        <w:gridCol w:w="1438"/>
        <w:gridCol w:w="1442"/>
        <w:gridCol w:w="1442"/>
        <w:gridCol w:w="1442"/>
        <w:gridCol w:w="1324"/>
      </w:tblGrid>
      <w:tr w:rsidR="00703680" w:rsidRPr="00703680" w14:paraId="62E4769C" w14:textId="77777777" w:rsidTr="00E36A78">
        <w:trPr>
          <w:trHeight w:val="333"/>
        </w:trPr>
        <w:tc>
          <w:tcPr>
            <w:tcW w:w="2263" w:type="dxa"/>
            <w:vMerge w:val="restart"/>
            <w:textDirection w:val="btLr"/>
            <w:vAlign w:val="center"/>
          </w:tcPr>
          <w:p w14:paraId="12B1A1CE" w14:textId="77777777" w:rsidR="00703680" w:rsidRPr="00D050C7" w:rsidRDefault="00703680" w:rsidP="00703680">
            <w:pPr>
              <w:ind w:left="23"/>
              <w:jc w:val="center"/>
              <w:rPr>
                <w:bCs/>
              </w:rPr>
            </w:pPr>
            <w:r w:rsidRPr="00D050C7">
              <w:rPr>
                <w:b/>
              </w:rPr>
              <w:t xml:space="preserve">Среда растворения: </w:t>
            </w:r>
            <w:r w:rsidRPr="00D050C7">
              <w:t xml:space="preserve">фосфатный буферный раствор рН 6,8 </w:t>
            </w:r>
          </w:p>
        </w:tc>
        <w:tc>
          <w:tcPr>
            <w:tcW w:w="7088" w:type="dxa"/>
            <w:gridSpan w:val="5"/>
            <w:shd w:val="clear" w:color="auto" w:fill="D9D9D9" w:themeFill="background1" w:themeFillShade="D9"/>
            <w:vAlign w:val="center"/>
          </w:tcPr>
          <w:p w14:paraId="439915C1" w14:textId="078AF362" w:rsidR="00703680" w:rsidRPr="00D050C7" w:rsidRDefault="00703680" w:rsidP="00703680">
            <w:pPr>
              <w:jc w:val="center"/>
              <w:rPr>
                <w:b/>
                <w:bCs/>
              </w:rPr>
            </w:pPr>
            <w:r w:rsidRPr="00D050C7">
              <w:rPr>
                <w:b/>
              </w:rPr>
              <w:t>Ленвима</w:t>
            </w:r>
            <w:r w:rsidR="00E93B67" w:rsidRPr="00E93B67">
              <w:rPr>
                <w:b/>
                <w:vertAlign w:val="superscript"/>
                <w:lang w:val="en-US"/>
              </w:rPr>
              <w:t>®</w:t>
            </w:r>
            <w:r w:rsidR="00E93B67">
              <w:rPr>
                <w:b/>
              </w:rPr>
              <w:t>,</w:t>
            </w:r>
            <w:r w:rsidRPr="00D050C7">
              <w:rPr>
                <w:b/>
              </w:rPr>
              <w:t xml:space="preserve"> капсулы, </w:t>
            </w:r>
            <w:r w:rsidRPr="00D050C7">
              <w:rPr>
                <w:b/>
                <w:lang w:val="en-US"/>
              </w:rPr>
              <w:t>4</w:t>
            </w:r>
            <w:r w:rsidRPr="00D050C7">
              <w:rPr>
                <w:b/>
              </w:rPr>
              <w:t xml:space="preserve"> мг </w:t>
            </w:r>
          </w:p>
        </w:tc>
      </w:tr>
      <w:tr w:rsidR="00703680" w:rsidRPr="00703680" w14:paraId="557FC716" w14:textId="77777777" w:rsidTr="00E36A78">
        <w:trPr>
          <w:trHeight w:val="263"/>
        </w:trPr>
        <w:tc>
          <w:tcPr>
            <w:tcW w:w="2263" w:type="dxa"/>
            <w:vMerge/>
            <w:vAlign w:val="center"/>
          </w:tcPr>
          <w:p w14:paraId="71A73548" w14:textId="77777777" w:rsidR="00703680" w:rsidRPr="00D050C7" w:rsidRDefault="00703680" w:rsidP="00D050C7">
            <w:pPr>
              <w:tabs>
                <w:tab w:val="left" w:pos="927"/>
              </w:tabs>
              <w:ind w:left="23"/>
              <w:rPr>
                <w:bCs/>
              </w:rPr>
            </w:pPr>
          </w:p>
        </w:tc>
        <w:tc>
          <w:tcPr>
            <w:tcW w:w="1438" w:type="dxa"/>
            <w:shd w:val="clear" w:color="auto" w:fill="D9D9D9" w:themeFill="background1" w:themeFillShade="D9"/>
            <w:vAlign w:val="center"/>
          </w:tcPr>
          <w:p w14:paraId="36B3F99A" w14:textId="77777777" w:rsidR="00703680" w:rsidRPr="00D050C7" w:rsidRDefault="00703680" w:rsidP="0005153E">
            <w:pPr>
              <w:ind w:left="-82" w:right="-115"/>
              <w:jc w:val="center"/>
              <w:rPr>
                <w:b/>
                <w:bCs/>
                <w:color w:val="000000"/>
              </w:rPr>
            </w:pPr>
            <w:r w:rsidRPr="00D050C7">
              <w:rPr>
                <w:b/>
                <w:bCs/>
                <w:color w:val="000000"/>
              </w:rPr>
              <w:t>10 мин</w:t>
            </w:r>
          </w:p>
        </w:tc>
        <w:tc>
          <w:tcPr>
            <w:tcW w:w="1442" w:type="dxa"/>
            <w:shd w:val="clear" w:color="auto" w:fill="D9D9D9" w:themeFill="background1" w:themeFillShade="D9"/>
            <w:vAlign w:val="center"/>
          </w:tcPr>
          <w:p w14:paraId="317B58E5" w14:textId="77777777" w:rsidR="00703680" w:rsidRPr="00D050C7" w:rsidRDefault="00703680" w:rsidP="0005153E">
            <w:pPr>
              <w:jc w:val="center"/>
              <w:rPr>
                <w:b/>
              </w:rPr>
            </w:pPr>
            <w:r w:rsidRPr="00D050C7">
              <w:rPr>
                <w:b/>
                <w:bCs/>
                <w:color w:val="000000"/>
              </w:rPr>
              <w:t>15 мин</w:t>
            </w:r>
          </w:p>
        </w:tc>
        <w:tc>
          <w:tcPr>
            <w:tcW w:w="1442" w:type="dxa"/>
            <w:shd w:val="clear" w:color="auto" w:fill="D9D9D9" w:themeFill="background1" w:themeFillShade="D9"/>
            <w:vAlign w:val="center"/>
          </w:tcPr>
          <w:p w14:paraId="640E1BC3" w14:textId="77777777" w:rsidR="00703680" w:rsidRPr="00D050C7" w:rsidRDefault="00703680" w:rsidP="0005153E">
            <w:pPr>
              <w:jc w:val="center"/>
              <w:rPr>
                <w:b/>
              </w:rPr>
            </w:pPr>
            <w:r w:rsidRPr="00D050C7">
              <w:rPr>
                <w:b/>
                <w:bCs/>
                <w:color w:val="000000"/>
              </w:rPr>
              <w:t>20 мин</w:t>
            </w:r>
          </w:p>
        </w:tc>
        <w:tc>
          <w:tcPr>
            <w:tcW w:w="1442" w:type="dxa"/>
            <w:shd w:val="clear" w:color="auto" w:fill="D9D9D9" w:themeFill="background1" w:themeFillShade="D9"/>
            <w:vAlign w:val="center"/>
          </w:tcPr>
          <w:p w14:paraId="0C4BE820" w14:textId="77777777" w:rsidR="00703680" w:rsidRPr="00D050C7" w:rsidRDefault="00703680" w:rsidP="0005153E">
            <w:pPr>
              <w:jc w:val="center"/>
              <w:rPr>
                <w:b/>
              </w:rPr>
            </w:pPr>
            <w:r w:rsidRPr="00D050C7">
              <w:rPr>
                <w:b/>
                <w:bCs/>
                <w:color w:val="000000"/>
              </w:rPr>
              <w:t>30 мин</w:t>
            </w:r>
          </w:p>
        </w:tc>
        <w:tc>
          <w:tcPr>
            <w:tcW w:w="1324" w:type="dxa"/>
            <w:shd w:val="clear" w:color="auto" w:fill="D9D9D9" w:themeFill="background1" w:themeFillShade="D9"/>
            <w:vAlign w:val="center"/>
          </w:tcPr>
          <w:p w14:paraId="5714D6C2" w14:textId="77777777" w:rsidR="00703680" w:rsidRPr="00D050C7" w:rsidRDefault="00703680" w:rsidP="0005153E">
            <w:pPr>
              <w:jc w:val="center"/>
              <w:rPr>
                <w:b/>
              </w:rPr>
            </w:pPr>
            <w:r w:rsidRPr="00D050C7">
              <w:rPr>
                <w:b/>
                <w:bCs/>
                <w:color w:val="000000"/>
              </w:rPr>
              <w:t>45 мин</w:t>
            </w:r>
          </w:p>
        </w:tc>
      </w:tr>
      <w:tr w:rsidR="00703680" w:rsidRPr="00703680" w14:paraId="7BFB8785" w14:textId="77777777" w:rsidTr="00E36A78">
        <w:trPr>
          <w:trHeight w:val="263"/>
        </w:trPr>
        <w:tc>
          <w:tcPr>
            <w:tcW w:w="2263" w:type="dxa"/>
            <w:vMerge/>
            <w:vAlign w:val="center"/>
          </w:tcPr>
          <w:p w14:paraId="22058570" w14:textId="77777777" w:rsidR="00703680" w:rsidRPr="00D050C7" w:rsidRDefault="00703680" w:rsidP="00D050C7">
            <w:pPr>
              <w:tabs>
                <w:tab w:val="left" w:pos="927"/>
              </w:tabs>
              <w:ind w:left="23"/>
              <w:rPr>
                <w:bCs/>
              </w:rPr>
            </w:pPr>
          </w:p>
        </w:tc>
        <w:tc>
          <w:tcPr>
            <w:tcW w:w="1438" w:type="dxa"/>
            <w:vAlign w:val="center"/>
          </w:tcPr>
          <w:p w14:paraId="48DCE97C" w14:textId="77777777" w:rsidR="00703680" w:rsidRPr="00D050C7" w:rsidRDefault="00703680" w:rsidP="00703680">
            <w:pPr>
              <w:jc w:val="center"/>
              <w:rPr>
                <w:color w:val="000000"/>
              </w:rPr>
            </w:pPr>
            <w:r w:rsidRPr="00D050C7">
              <w:rPr>
                <w:color w:val="000000"/>
              </w:rPr>
              <w:t>5</w:t>
            </w:r>
          </w:p>
        </w:tc>
        <w:tc>
          <w:tcPr>
            <w:tcW w:w="1442" w:type="dxa"/>
            <w:vAlign w:val="center"/>
          </w:tcPr>
          <w:p w14:paraId="5DF6250B" w14:textId="77777777" w:rsidR="00703680" w:rsidRPr="00D050C7" w:rsidRDefault="00703680" w:rsidP="00703680">
            <w:pPr>
              <w:jc w:val="center"/>
              <w:rPr>
                <w:color w:val="000000"/>
              </w:rPr>
            </w:pPr>
            <w:r w:rsidRPr="00D050C7">
              <w:rPr>
                <w:color w:val="000000"/>
              </w:rPr>
              <w:t>8</w:t>
            </w:r>
          </w:p>
        </w:tc>
        <w:tc>
          <w:tcPr>
            <w:tcW w:w="1442" w:type="dxa"/>
            <w:vAlign w:val="center"/>
          </w:tcPr>
          <w:p w14:paraId="46F7FF85" w14:textId="77777777" w:rsidR="00703680" w:rsidRPr="00D050C7" w:rsidRDefault="00703680" w:rsidP="00703680">
            <w:pPr>
              <w:jc w:val="center"/>
              <w:rPr>
                <w:color w:val="000000"/>
              </w:rPr>
            </w:pPr>
            <w:r w:rsidRPr="00D050C7">
              <w:rPr>
                <w:color w:val="000000"/>
              </w:rPr>
              <w:t>7</w:t>
            </w:r>
          </w:p>
        </w:tc>
        <w:tc>
          <w:tcPr>
            <w:tcW w:w="1442" w:type="dxa"/>
            <w:vAlign w:val="center"/>
          </w:tcPr>
          <w:p w14:paraId="33127A11" w14:textId="77777777" w:rsidR="00703680" w:rsidRPr="00D050C7" w:rsidRDefault="00703680" w:rsidP="00703680">
            <w:pPr>
              <w:jc w:val="center"/>
              <w:rPr>
                <w:color w:val="000000"/>
              </w:rPr>
            </w:pPr>
            <w:r w:rsidRPr="00D050C7">
              <w:rPr>
                <w:color w:val="000000"/>
              </w:rPr>
              <w:t>9</w:t>
            </w:r>
          </w:p>
        </w:tc>
        <w:tc>
          <w:tcPr>
            <w:tcW w:w="1324" w:type="dxa"/>
            <w:vAlign w:val="center"/>
          </w:tcPr>
          <w:p w14:paraId="66E1B577" w14:textId="77777777" w:rsidR="00703680" w:rsidRPr="00D050C7" w:rsidRDefault="00703680" w:rsidP="00703680">
            <w:pPr>
              <w:jc w:val="center"/>
              <w:rPr>
                <w:color w:val="000000"/>
              </w:rPr>
            </w:pPr>
            <w:r w:rsidRPr="00D050C7">
              <w:rPr>
                <w:color w:val="000000"/>
              </w:rPr>
              <w:t>12</w:t>
            </w:r>
          </w:p>
        </w:tc>
      </w:tr>
      <w:tr w:rsidR="00703680" w:rsidRPr="00703680" w14:paraId="79E447DE" w14:textId="77777777" w:rsidTr="00E36A78">
        <w:trPr>
          <w:trHeight w:val="263"/>
        </w:trPr>
        <w:tc>
          <w:tcPr>
            <w:tcW w:w="2263" w:type="dxa"/>
            <w:vMerge/>
            <w:vAlign w:val="center"/>
          </w:tcPr>
          <w:p w14:paraId="7B8AEBBB" w14:textId="77777777" w:rsidR="00703680" w:rsidRPr="00D050C7" w:rsidRDefault="00703680" w:rsidP="00D050C7">
            <w:pPr>
              <w:tabs>
                <w:tab w:val="left" w:pos="927"/>
              </w:tabs>
              <w:ind w:left="23"/>
              <w:rPr>
                <w:bCs/>
              </w:rPr>
            </w:pPr>
          </w:p>
        </w:tc>
        <w:tc>
          <w:tcPr>
            <w:tcW w:w="1438" w:type="dxa"/>
            <w:vAlign w:val="center"/>
          </w:tcPr>
          <w:p w14:paraId="1B824CDD" w14:textId="77777777" w:rsidR="00703680" w:rsidRPr="00D050C7" w:rsidRDefault="00703680" w:rsidP="00703680">
            <w:pPr>
              <w:jc w:val="center"/>
              <w:rPr>
                <w:color w:val="000000"/>
              </w:rPr>
            </w:pPr>
            <w:r w:rsidRPr="00D050C7">
              <w:rPr>
                <w:color w:val="000000"/>
              </w:rPr>
              <w:t>4</w:t>
            </w:r>
          </w:p>
        </w:tc>
        <w:tc>
          <w:tcPr>
            <w:tcW w:w="1442" w:type="dxa"/>
            <w:vAlign w:val="center"/>
          </w:tcPr>
          <w:p w14:paraId="70CB6B5C" w14:textId="77777777" w:rsidR="00703680" w:rsidRPr="00D050C7" w:rsidRDefault="00703680" w:rsidP="00703680">
            <w:pPr>
              <w:jc w:val="center"/>
              <w:rPr>
                <w:color w:val="000000"/>
              </w:rPr>
            </w:pPr>
            <w:r w:rsidRPr="00D050C7">
              <w:rPr>
                <w:color w:val="000000"/>
              </w:rPr>
              <w:t>7</w:t>
            </w:r>
          </w:p>
        </w:tc>
        <w:tc>
          <w:tcPr>
            <w:tcW w:w="1442" w:type="dxa"/>
            <w:vAlign w:val="center"/>
          </w:tcPr>
          <w:p w14:paraId="46E2A7A6" w14:textId="77777777" w:rsidR="00703680" w:rsidRPr="00D050C7" w:rsidRDefault="00703680" w:rsidP="00703680">
            <w:pPr>
              <w:jc w:val="center"/>
              <w:rPr>
                <w:color w:val="000000"/>
              </w:rPr>
            </w:pPr>
            <w:r w:rsidRPr="00D050C7">
              <w:rPr>
                <w:color w:val="000000"/>
              </w:rPr>
              <w:t>9</w:t>
            </w:r>
          </w:p>
        </w:tc>
        <w:tc>
          <w:tcPr>
            <w:tcW w:w="1442" w:type="dxa"/>
            <w:vAlign w:val="center"/>
          </w:tcPr>
          <w:p w14:paraId="004675A2" w14:textId="77777777" w:rsidR="00703680" w:rsidRPr="00D050C7" w:rsidRDefault="00703680" w:rsidP="00703680">
            <w:pPr>
              <w:jc w:val="center"/>
              <w:rPr>
                <w:color w:val="000000"/>
              </w:rPr>
            </w:pPr>
            <w:r w:rsidRPr="00D050C7">
              <w:rPr>
                <w:color w:val="000000"/>
              </w:rPr>
              <w:t>11</w:t>
            </w:r>
          </w:p>
        </w:tc>
        <w:tc>
          <w:tcPr>
            <w:tcW w:w="1324" w:type="dxa"/>
            <w:vAlign w:val="center"/>
          </w:tcPr>
          <w:p w14:paraId="2A1B71AA" w14:textId="77777777" w:rsidR="00703680" w:rsidRPr="00D050C7" w:rsidRDefault="00703680" w:rsidP="00703680">
            <w:pPr>
              <w:jc w:val="center"/>
              <w:rPr>
                <w:color w:val="000000"/>
              </w:rPr>
            </w:pPr>
            <w:r w:rsidRPr="00D050C7">
              <w:rPr>
                <w:color w:val="000000"/>
              </w:rPr>
              <w:t>13</w:t>
            </w:r>
          </w:p>
        </w:tc>
      </w:tr>
      <w:tr w:rsidR="00703680" w:rsidRPr="00703680" w14:paraId="2E5685FD" w14:textId="77777777" w:rsidTr="00E36A78">
        <w:trPr>
          <w:trHeight w:val="263"/>
        </w:trPr>
        <w:tc>
          <w:tcPr>
            <w:tcW w:w="2263" w:type="dxa"/>
            <w:vMerge/>
            <w:vAlign w:val="center"/>
          </w:tcPr>
          <w:p w14:paraId="45A61851" w14:textId="77777777" w:rsidR="00703680" w:rsidRPr="00D050C7" w:rsidRDefault="00703680" w:rsidP="00D050C7">
            <w:pPr>
              <w:tabs>
                <w:tab w:val="left" w:pos="927"/>
              </w:tabs>
              <w:ind w:left="23"/>
              <w:rPr>
                <w:bCs/>
              </w:rPr>
            </w:pPr>
          </w:p>
        </w:tc>
        <w:tc>
          <w:tcPr>
            <w:tcW w:w="1438" w:type="dxa"/>
            <w:vAlign w:val="center"/>
          </w:tcPr>
          <w:p w14:paraId="0FFFC142" w14:textId="77777777" w:rsidR="00703680" w:rsidRPr="00D050C7" w:rsidRDefault="00703680" w:rsidP="00703680">
            <w:pPr>
              <w:jc w:val="center"/>
              <w:rPr>
                <w:color w:val="000000"/>
              </w:rPr>
            </w:pPr>
            <w:r w:rsidRPr="00D050C7">
              <w:rPr>
                <w:color w:val="000000"/>
              </w:rPr>
              <w:t>7</w:t>
            </w:r>
          </w:p>
        </w:tc>
        <w:tc>
          <w:tcPr>
            <w:tcW w:w="1442" w:type="dxa"/>
            <w:vAlign w:val="center"/>
          </w:tcPr>
          <w:p w14:paraId="61A5AEAE" w14:textId="77777777" w:rsidR="00703680" w:rsidRPr="00D050C7" w:rsidRDefault="00703680" w:rsidP="00703680">
            <w:pPr>
              <w:jc w:val="center"/>
              <w:rPr>
                <w:color w:val="000000"/>
              </w:rPr>
            </w:pPr>
            <w:r w:rsidRPr="00D050C7">
              <w:rPr>
                <w:color w:val="000000"/>
              </w:rPr>
              <w:t>10</w:t>
            </w:r>
          </w:p>
        </w:tc>
        <w:tc>
          <w:tcPr>
            <w:tcW w:w="1442" w:type="dxa"/>
            <w:vAlign w:val="center"/>
          </w:tcPr>
          <w:p w14:paraId="2C2B41C6" w14:textId="77777777" w:rsidR="00703680" w:rsidRPr="00D050C7" w:rsidRDefault="00703680" w:rsidP="00703680">
            <w:pPr>
              <w:jc w:val="center"/>
              <w:rPr>
                <w:color w:val="000000"/>
              </w:rPr>
            </w:pPr>
            <w:r w:rsidRPr="00D050C7">
              <w:rPr>
                <w:color w:val="000000"/>
              </w:rPr>
              <w:t>14</w:t>
            </w:r>
          </w:p>
        </w:tc>
        <w:tc>
          <w:tcPr>
            <w:tcW w:w="1442" w:type="dxa"/>
            <w:vAlign w:val="center"/>
          </w:tcPr>
          <w:p w14:paraId="12870660" w14:textId="77777777" w:rsidR="00703680" w:rsidRPr="00D050C7" w:rsidRDefault="00703680" w:rsidP="00703680">
            <w:pPr>
              <w:jc w:val="center"/>
              <w:rPr>
                <w:color w:val="000000"/>
              </w:rPr>
            </w:pPr>
            <w:r w:rsidRPr="00D050C7">
              <w:rPr>
                <w:color w:val="000000"/>
              </w:rPr>
              <w:t>17</w:t>
            </w:r>
          </w:p>
        </w:tc>
        <w:tc>
          <w:tcPr>
            <w:tcW w:w="1324" w:type="dxa"/>
            <w:vAlign w:val="center"/>
          </w:tcPr>
          <w:p w14:paraId="610C4240" w14:textId="77777777" w:rsidR="00703680" w:rsidRPr="00D050C7" w:rsidRDefault="00703680" w:rsidP="00703680">
            <w:pPr>
              <w:jc w:val="center"/>
              <w:rPr>
                <w:color w:val="000000"/>
              </w:rPr>
            </w:pPr>
            <w:r w:rsidRPr="00D050C7">
              <w:rPr>
                <w:color w:val="000000"/>
              </w:rPr>
              <w:t>19</w:t>
            </w:r>
          </w:p>
        </w:tc>
      </w:tr>
      <w:tr w:rsidR="00703680" w:rsidRPr="00703680" w14:paraId="0DFF8B20" w14:textId="77777777" w:rsidTr="00E36A78">
        <w:trPr>
          <w:trHeight w:val="263"/>
        </w:trPr>
        <w:tc>
          <w:tcPr>
            <w:tcW w:w="2263" w:type="dxa"/>
            <w:vMerge/>
            <w:vAlign w:val="center"/>
          </w:tcPr>
          <w:p w14:paraId="485F1499" w14:textId="77777777" w:rsidR="00703680" w:rsidRPr="00D050C7" w:rsidRDefault="00703680" w:rsidP="00D050C7">
            <w:pPr>
              <w:tabs>
                <w:tab w:val="left" w:pos="927"/>
              </w:tabs>
              <w:ind w:left="23"/>
              <w:rPr>
                <w:bCs/>
              </w:rPr>
            </w:pPr>
          </w:p>
        </w:tc>
        <w:tc>
          <w:tcPr>
            <w:tcW w:w="1438" w:type="dxa"/>
            <w:vAlign w:val="center"/>
          </w:tcPr>
          <w:p w14:paraId="02A61BAF" w14:textId="77777777" w:rsidR="00703680" w:rsidRPr="00D050C7" w:rsidRDefault="00703680" w:rsidP="00703680">
            <w:pPr>
              <w:jc w:val="center"/>
              <w:rPr>
                <w:color w:val="000000"/>
              </w:rPr>
            </w:pPr>
            <w:r w:rsidRPr="00D050C7">
              <w:rPr>
                <w:color w:val="000000"/>
              </w:rPr>
              <w:t>4</w:t>
            </w:r>
          </w:p>
        </w:tc>
        <w:tc>
          <w:tcPr>
            <w:tcW w:w="1442" w:type="dxa"/>
            <w:vAlign w:val="center"/>
          </w:tcPr>
          <w:p w14:paraId="3980C3D8" w14:textId="77777777" w:rsidR="00703680" w:rsidRPr="00D050C7" w:rsidRDefault="00703680" w:rsidP="00703680">
            <w:pPr>
              <w:jc w:val="center"/>
              <w:rPr>
                <w:color w:val="000000"/>
              </w:rPr>
            </w:pPr>
            <w:r w:rsidRPr="00D050C7">
              <w:rPr>
                <w:color w:val="000000"/>
              </w:rPr>
              <w:t>10</w:t>
            </w:r>
          </w:p>
        </w:tc>
        <w:tc>
          <w:tcPr>
            <w:tcW w:w="1442" w:type="dxa"/>
            <w:vAlign w:val="center"/>
          </w:tcPr>
          <w:p w14:paraId="1BE602F3" w14:textId="77777777" w:rsidR="00703680" w:rsidRPr="00D050C7" w:rsidRDefault="00703680" w:rsidP="00703680">
            <w:pPr>
              <w:jc w:val="center"/>
              <w:rPr>
                <w:color w:val="000000"/>
              </w:rPr>
            </w:pPr>
            <w:r w:rsidRPr="00D050C7">
              <w:rPr>
                <w:color w:val="000000"/>
              </w:rPr>
              <w:t>10</w:t>
            </w:r>
          </w:p>
        </w:tc>
        <w:tc>
          <w:tcPr>
            <w:tcW w:w="1442" w:type="dxa"/>
            <w:vAlign w:val="center"/>
          </w:tcPr>
          <w:p w14:paraId="620BE7B6" w14:textId="77777777" w:rsidR="00703680" w:rsidRPr="00D050C7" w:rsidRDefault="00703680" w:rsidP="00703680">
            <w:pPr>
              <w:jc w:val="center"/>
              <w:rPr>
                <w:color w:val="000000"/>
              </w:rPr>
            </w:pPr>
            <w:r w:rsidRPr="00D050C7">
              <w:rPr>
                <w:color w:val="000000"/>
              </w:rPr>
              <w:t>13</w:t>
            </w:r>
          </w:p>
        </w:tc>
        <w:tc>
          <w:tcPr>
            <w:tcW w:w="1324" w:type="dxa"/>
            <w:vAlign w:val="center"/>
          </w:tcPr>
          <w:p w14:paraId="7DC51D3C" w14:textId="77777777" w:rsidR="00703680" w:rsidRPr="00D050C7" w:rsidRDefault="00703680" w:rsidP="00703680">
            <w:pPr>
              <w:jc w:val="center"/>
              <w:rPr>
                <w:color w:val="000000"/>
              </w:rPr>
            </w:pPr>
            <w:r w:rsidRPr="00D050C7">
              <w:rPr>
                <w:color w:val="000000"/>
              </w:rPr>
              <w:t>14</w:t>
            </w:r>
          </w:p>
        </w:tc>
      </w:tr>
      <w:tr w:rsidR="00703680" w:rsidRPr="00703680" w14:paraId="7116E77C" w14:textId="77777777" w:rsidTr="00E36A78">
        <w:trPr>
          <w:trHeight w:val="276"/>
        </w:trPr>
        <w:tc>
          <w:tcPr>
            <w:tcW w:w="2263" w:type="dxa"/>
            <w:vMerge/>
            <w:vAlign w:val="center"/>
          </w:tcPr>
          <w:p w14:paraId="1F88F5B6" w14:textId="77777777" w:rsidR="00703680" w:rsidRPr="00D050C7" w:rsidRDefault="00703680" w:rsidP="00D050C7">
            <w:pPr>
              <w:tabs>
                <w:tab w:val="left" w:pos="927"/>
              </w:tabs>
              <w:ind w:left="23"/>
              <w:rPr>
                <w:bCs/>
              </w:rPr>
            </w:pPr>
          </w:p>
        </w:tc>
        <w:tc>
          <w:tcPr>
            <w:tcW w:w="1438" w:type="dxa"/>
            <w:vAlign w:val="center"/>
          </w:tcPr>
          <w:p w14:paraId="64470B9A" w14:textId="77777777" w:rsidR="00703680" w:rsidRPr="00D050C7" w:rsidRDefault="00703680" w:rsidP="00703680">
            <w:pPr>
              <w:jc w:val="center"/>
              <w:rPr>
                <w:color w:val="000000"/>
              </w:rPr>
            </w:pPr>
            <w:r w:rsidRPr="00D050C7">
              <w:rPr>
                <w:color w:val="000000"/>
              </w:rPr>
              <w:t>5</w:t>
            </w:r>
          </w:p>
        </w:tc>
        <w:tc>
          <w:tcPr>
            <w:tcW w:w="1442" w:type="dxa"/>
            <w:vAlign w:val="center"/>
          </w:tcPr>
          <w:p w14:paraId="1494ED89" w14:textId="77777777" w:rsidR="00703680" w:rsidRPr="00D050C7" w:rsidRDefault="00703680" w:rsidP="00703680">
            <w:pPr>
              <w:jc w:val="center"/>
              <w:rPr>
                <w:color w:val="000000"/>
              </w:rPr>
            </w:pPr>
            <w:r w:rsidRPr="00D050C7">
              <w:rPr>
                <w:color w:val="000000"/>
              </w:rPr>
              <w:t>9</w:t>
            </w:r>
          </w:p>
        </w:tc>
        <w:tc>
          <w:tcPr>
            <w:tcW w:w="1442" w:type="dxa"/>
            <w:vAlign w:val="center"/>
          </w:tcPr>
          <w:p w14:paraId="30696B66" w14:textId="77777777" w:rsidR="00703680" w:rsidRPr="00D050C7" w:rsidRDefault="00703680" w:rsidP="00703680">
            <w:pPr>
              <w:jc w:val="center"/>
              <w:rPr>
                <w:color w:val="000000"/>
              </w:rPr>
            </w:pPr>
            <w:r w:rsidRPr="00D050C7">
              <w:rPr>
                <w:color w:val="000000"/>
              </w:rPr>
              <w:t>10</w:t>
            </w:r>
          </w:p>
        </w:tc>
        <w:tc>
          <w:tcPr>
            <w:tcW w:w="1442" w:type="dxa"/>
            <w:vAlign w:val="center"/>
          </w:tcPr>
          <w:p w14:paraId="5749FE99" w14:textId="77777777" w:rsidR="00703680" w:rsidRPr="00D050C7" w:rsidRDefault="00703680" w:rsidP="00703680">
            <w:pPr>
              <w:jc w:val="center"/>
              <w:rPr>
                <w:color w:val="000000"/>
              </w:rPr>
            </w:pPr>
            <w:r w:rsidRPr="00D050C7">
              <w:rPr>
                <w:color w:val="000000"/>
              </w:rPr>
              <w:t>13</w:t>
            </w:r>
          </w:p>
        </w:tc>
        <w:tc>
          <w:tcPr>
            <w:tcW w:w="1324" w:type="dxa"/>
            <w:vAlign w:val="center"/>
          </w:tcPr>
          <w:p w14:paraId="4CB9058E" w14:textId="77777777" w:rsidR="00703680" w:rsidRPr="00D050C7" w:rsidRDefault="00703680" w:rsidP="00703680">
            <w:pPr>
              <w:jc w:val="center"/>
              <w:rPr>
                <w:color w:val="000000"/>
              </w:rPr>
            </w:pPr>
            <w:r w:rsidRPr="00D050C7">
              <w:rPr>
                <w:color w:val="000000"/>
              </w:rPr>
              <w:t>15</w:t>
            </w:r>
          </w:p>
        </w:tc>
      </w:tr>
      <w:tr w:rsidR="00703680" w:rsidRPr="00703680" w14:paraId="12311494" w14:textId="77777777" w:rsidTr="00E36A78">
        <w:trPr>
          <w:trHeight w:val="263"/>
        </w:trPr>
        <w:tc>
          <w:tcPr>
            <w:tcW w:w="2263" w:type="dxa"/>
            <w:vMerge/>
            <w:vAlign w:val="center"/>
          </w:tcPr>
          <w:p w14:paraId="16BB6427" w14:textId="77777777" w:rsidR="00703680" w:rsidRPr="00D050C7" w:rsidRDefault="00703680" w:rsidP="00D050C7">
            <w:pPr>
              <w:tabs>
                <w:tab w:val="left" w:pos="927"/>
              </w:tabs>
              <w:ind w:left="23"/>
              <w:rPr>
                <w:bCs/>
              </w:rPr>
            </w:pPr>
          </w:p>
        </w:tc>
        <w:tc>
          <w:tcPr>
            <w:tcW w:w="1438" w:type="dxa"/>
            <w:vAlign w:val="center"/>
          </w:tcPr>
          <w:p w14:paraId="2DFDF96C" w14:textId="77777777" w:rsidR="00703680" w:rsidRPr="00D050C7" w:rsidRDefault="00703680" w:rsidP="00703680">
            <w:pPr>
              <w:jc w:val="center"/>
              <w:rPr>
                <w:color w:val="000000"/>
              </w:rPr>
            </w:pPr>
            <w:r w:rsidRPr="00D050C7">
              <w:rPr>
                <w:color w:val="000000"/>
              </w:rPr>
              <w:t>3</w:t>
            </w:r>
          </w:p>
        </w:tc>
        <w:tc>
          <w:tcPr>
            <w:tcW w:w="1442" w:type="dxa"/>
            <w:vAlign w:val="center"/>
          </w:tcPr>
          <w:p w14:paraId="03566221" w14:textId="77777777" w:rsidR="00703680" w:rsidRPr="00D050C7" w:rsidRDefault="00703680" w:rsidP="00703680">
            <w:pPr>
              <w:jc w:val="center"/>
              <w:rPr>
                <w:color w:val="000000"/>
              </w:rPr>
            </w:pPr>
            <w:r w:rsidRPr="00D050C7">
              <w:rPr>
                <w:color w:val="000000"/>
              </w:rPr>
              <w:t>5</w:t>
            </w:r>
          </w:p>
        </w:tc>
        <w:tc>
          <w:tcPr>
            <w:tcW w:w="1442" w:type="dxa"/>
            <w:vAlign w:val="center"/>
          </w:tcPr>
          <w:p w14:paraId="23FF40D1" w14:textId="77777777" w:rsidR="00703680" w:rsidRPr="00D050C7" w:rsidRDefault="00703680" w:rsidP="00703680">
            <w:pPr>
              <w:jc w:val="center"/>
              <w:rPr>
                <w:color w:val="000000"/>
              </w:rPr>
            </w:pPr>
            <w:r w:rsidRPr="00D050C7">
              <w:rPr>
                <w:color w:val="000000"/>
              </w:rPr>
              <w:t>7</w:t>
            </w:r>
          </w:p>
        </w:tc>
        <w:tc>
          <w:tcPr>
            <w:tcW w:w="1442" w:type="dxa"/>
            <w:vAlign w:val="center"/>
          </w:tcPr>
          <w:p w14:paraId="12664794" w14:textId="77777777" w:rsidR="00703680" w:rsidRPr="00D050C7" w:rsidRDefault="00703680" w:rsidP="00703680">
            <w:pPr>
              <w:jc w:val="center"/>
              <w:rPr>
                <w:color w:val="000000"/>
              </w:rPr>
            </w:pPr>
            <w:r w:rsidRPr="00D050C7">
              <w:rPr>
                <w:color w:val="000000"/>
              </w:rPr>
              <w:t>9</w:t>
            </w:r>
          </w:p>
        </w:tc>
        <w:tc>
          <w:tcPr>
            <w:tcW w:w="1324" w:type="dxa"/>
            <w:vAlign w:val="center"/>
          </w:tcPr>
          <w:p w14:paraId="78D4AE56" w14:textId="77777777" w:rsidR="00703680" w:rsidRPr="00D050C7" w:rsidRDefault="00703680" w:rsidP="00703680">
            <w:pPr>
              <w:jc w:val="center"/>
              <w:rPr>
                <w:color w:val="000000"/>
              </w:rPr>
            </w:pPr>
            <w:r w:rsidRPr="00D050C7">
              <w:rPr>
                <w:color w:val="000000"/>
              </w:rPr>
              <w:t>11</w:t>
            </w:r>
          </w:p>
        </w:tc>
      </w:tr>
      <w:tr w:rsidR="00703680" w:rsidRPr="00703680" w14:paraId="6E41B8CD" w14:textId="77777777" w:rsidTr="00E36A78">
        <w:trPr>
          <w:trHeight w:val="263"/>
        </w:trPr>
        <w:tc>
          <w:tcPr>
            <w:tcW w:w="2263" w:type="dxa"/>
            <w:vMerge/>
            <w:vAlign w:val="center"/>
          </w:tcPr>
          <w:p w14:paraId="7FEF24A3" w14:textId="77777777" w:rsidR="00703680" w:rsidRPr="00D050C7" w:rsidRDefault="00703680" w:rsidP="00D050C7">
            <w:pPr>
              <w:tabs>
                <w:tab w:val="left" w:pos="927"/>
              </w:tabs>
              <w:ind w:left="23"/>
              <w:rPr>
                <w:bCs/>
              </w:rPr>
            </w:pPr>
          </w:p>
        </w:tc>
        <w:tc>
          <w:tcPr>
            <w:tcW w:w="1438" w:type="dxa"/>
            <w:vAlign w:val="center"/>
          </w:tcPr>
          <w:p w14:paraId="145D8E3C" w14:textId="77777777" w:rsidR="00703680" w:rsidRPr="00D050C7" w:rsidRDefault="00703680" w:rsidP="00703680">
            <w:pPr>
              <w:jc w:val="center"/>
              <w:rPr>
                <w:color w:val="000000"/>
              </w:rPr>
            </w:pPr>
            <w:r w:rsidRPr="00D050C7">
              <w:rPr>
                <w:color w:val="000000"/>
              </w:rPr>
              <w:t>2</w:t>
            </w:r>
          </w:p>
        </w:tc>
        <w:tc>
          <w:tcPr>
            <w:tcW w:w="1442" w:type="dxa"/>
            <w:vAlign w:val="center"/>
          </w:tcPr>
          <w:p w14:paraId="64264194" w14:textId="77777777" w:rsidR="00703680" w:rsidRPr="00D050C7" w:rsidRDefault="00703680" w:rsidP="00703680">
            <w:pPr>
              <w:jc w:val="center"/>
              <w:rPr>
                <w:color w:val="000000"/>
              </w:rPr>
            </w:pPr>
            <w:r w:rsidRPr="00D050C7">
              <w:rPr>
                <w:color w:val="000000"/>
              </w:rPr>
              <w:t>6</w:t>
            </w:r>
          </w:p>
        </w:tc>
        <w:tc>
          <w:tcPr>
            <w:tcW w:w="1442" w:type="dxa"/>
            <w:vAlign w:val="center"/>
          </w:tcPr>
          <w:p w14:paraId="2AAEA3EF" w14:textId="77777777" w:rsidR="00703680" w:rsidRPr="00D050C7" w:rsidRDefault="00703680" w:rsidP="00703680">
            <w:pPr>
              <w:jc w:val="center"/>
              <w:rPr>
                <w:color w:val="000000"/>
              </w:rPr>
            </w:pPr>
            <w:r w:rsidRPr="00D050C7">
              <w:rPr>
                <w:color w:val="000000"/>
              </w:rPr>
              <w:t>10</w:t>
            </w:r>
          </w:p>
        </w:tc>
        <w:tc>
          <w:tcPr>
            <w:tcW w:w="1442" w:type="dxa"/>
            <w:vAlign w:val="center"/>
          </w:tcPr>
          <w:p w14:paraId="08D3C126" w14:textId="77777777" w:rsidR="00703680" w:rsidRPr="00D050C7" w:rsidRDefault="00703680" w:rsidP="00703680">
            <w:pPr>
              <w:jc w:val="center"/>
              <w:rPr>
                <w:color w:val="000000"/>
              </w:rPr>
            </w:pPr>
            <w:r w:rsidRPr="00D050C7">
              <w:rPr>
                <w:color w:val="000000"/>
              </w:rPr>
              <w:t>14</w:t>
            </w:r>
          </w:p>
        </w:tc>
        <w:tc>
          <w:tcPr>
            <w:tcW w:w="1324" w:type="dxa"/>
            <w:vAlign w:val="center"/>
          </w:tcPr>
          <w:p w14:paraId="3EA5808F" w14:textId="77777777" w:rsidR="00703680" w:rsidRPr="00D050C7" w:rsidRDefault="00703680" w:rsidP="00703680">
            <w:pPr>
              <w:jc w:val="center"/>
              <w:rPr>
                <w:color w:val="000000"/>
              </w:rPr>
            </w:pPr>
            <w:r w:rsidRPr="00D050C7">
              <w:rPr>
                <w:color w:val="000000"/>
              </w:rPr>
              <w:t>13</w:t>
            </w:r>
          </w:p>
        </w:tc>
      </w:tr>
      <w:tr w:rsidR="00703680" w:rsidRPr="00703680" w14:paraId="4BD0BE0F" w14:textId="77777777" w:rsidTr="00E36A78">
        <w:trPr>
          <w:trHeight w:val="263"/>
        </w:trPr>
        <w:tc>
          <w:tcPr>
            <w:tcW w:w="2263" w:type="dxa"/>
            <w:vMerge/>
            <w:vAlign w:val="center"/>
          </w:tcPr>
          <w:p w14:paraId="6A5B7BEB" w14:textId="77777777" w:rsidR="00703680" w:rsidRPr="00D050C7" w:rsidRDefault="00703680" w:rsidP="00D050C7">
            <w:pPr>
              <w:tabs>
                <w:tab w:val="left" w:pos="927"/>
              </w:tabs>
              <w:ind w:left="23"/>
              <w:rPr>
                <w:bCs/>
              </w:rPr>
            </w:pPr>
          </w:p>
        </w:tc>
        <w:tc>
          <w:tcPr>
            <w:tcW w:w="1438" w:type="dxa"/>
            <w:vAlign w:val="center"/>
          </w:tcPr>
          <w:p w14:paraId="52ADD27E" w14:textId="77777777" w:rsidR="00703680" w:rsidRPr="00D050C7" w:rsidRDefault="00703680" w:rsidP="00703680">
            <w:pPr>
              <w:jc w:val="center"/>
              <w:rPr>
                <w:color w:val="000000"/>
              </w:rPr>
            </w:pPr>
            <w:r w:rsidRPr="00D050C7">
              <w:rPr>
                <w:color w:val="000000"/>
              </w:rPr>
              <w:t>5</w:t>
            </w:r>
          </w:p>
        </w:tc>
        <w:tc>
          <w:tcPr>
            <w:tcW w:w="1442" w:type="dxa"/>
            <w:vAlign w:val="center"/>
          </w:tcPr>
          <w:p w14:paraId="717109BB" w14:textId="77777777" w:rsidR="00703680" w:rsidRPr="00D050C7" w:rsidRDefault="00703680" w:rsidP="00703680">
            <w:pPr>
              <w:jc w:val="center"/>
              <w:rPr>
                <w:color w:val="000000"/>
                <w:lang w:val="en-US"/>
              </w:rPr>
            </w:pPr>
            <w:r w:rsidRPr="00D050C7">
              <w:rPr>
                <w:color w:val="000000"/>
              </w:rPr>
              <w:t>7</w:t>
            </w:r>
          </w:p>
        </w:tc>
        <w:tc>
          <w:tcPr>
            <w:tcW w:w="1442" w:type="dxa"/>
            <w:vAlign w:val="center"/>
          </w:tcPr>
          <w:p w14:paraId="188F4299" w14:textId="77777777" w:rsidR="00703680" w:rsidRPr="00D050C7" w:rsidRDefault="00703680" w:rsidP="00703680">
            <w:pPr>
              <w:jc w:val="center"/>
              <w:rPr>
                <w:color w:val="000000"/>
              </w:rPr>
            </w:pPr>
            <w:r w:rsidRPr="00D050C7">
              <w:rPr>
                <w:color w:val="000000"/>
              </w:rPr>
              <w:t>12</w:t>
            </w:r>
          </w:p>
        </w:tc>
        <w:tc>
          <w:tcPr>
            <w:tcW w:w="1442" w:type="dxa"/>
            <w:vAlign w:val="center"/>
          </w:tcPr>
          <w:p w14:paraId="4AFA9E34" w14:textId="77777777" w:rsidR="00703680" w:rsidRPr="00D050C7" w:rsidRDefault="00703680" w:rsidP="00703680">
            <w:pPr>
              <w:jc w:val="center"/>
              <w:rPr>
                <w:color w:val="000000"/>
              </w:rPr>
            </w:pPr>
            <w:r w:rsidRPr="00D050C7">
              <w:rPr>
                <w:color w:val="000000"/>
              </w:rPr>
              <w:t>15</w:t>
            </w:r>
          </w:p>
        </w:tc>
        <w:tc>
          <w:tcPr>
            <w:tcW w:w="1324" w:type="dxa"/>
            <w:vAlign w:val="center"/>
          </w:tcPr>
          <w:p w14:paraId="0B941AB1" w14:textId="77777777" w:rsidR="00703680" w:rsidRPr="00D050C7" w:rsidRDefault="00703680" w:rsidP="00703680">
            <w:pPr>
              <w:jc w:val="center"/>
              <w:rPr>
                <w:color w:val="000000"/>
              </w:rPr>
            </w:pPr>
            <w:r w:rsidRPr="00D050C7">
              <w:rPr>
                <w:color w:val="000000"/>
              </w:rPr>
              <w:t>17</w:t>
            </w:r>
          </w:p>
        </w:tc>
      </w:tr>
      <w:tr w:rsidR="00703680" w:rsidRPr="00703680" w14:paraId="44817EF8" w14:textId="77777777" w:rsidTr="00E36A78">
        <w:trPr>
          <w:trHeight w:val="263"/>
        </w:trPr>
        <w:tc>
          <w:tcPr>
            <w:tcW w:w="2263" w:type="dxa"/>
            <w:vMerge/>
            <w:vAlign w:val="center"/>
          </w:tcPr>
          <w:p w14:paraId="22182369" w14:textId="77777777" w:rsidR="00703680" w:rsidRPr="00D050C7" w:rsidRDefault="00703680" w:rsidP="00D050C7">
            <w:pPr>
              <w:tabs>
                <w:tab w:val="left" w:pos="927"/>
              </w:tabs>
              <w:ind w:left="23"/>
              <w:rPr>
                <w:bCs/>
              </w:rPr>
            </w:pPr>
          </w:p>
        </w:tc>
        <w:tc>
          <w:tcPr>
            <w:tcW w:w="1438" w:type="dxa"/>
            <w:vAlign w:val="center"/>
          </w:tcPr>
          <w:p w14:paraId="13134472" w14:textId="77777777" w:rsidR="00703680" w:rsidRPr="00D050C7" w:rsidRDefault="00703680" w:rsidP="00703680">
            <w:pPr>
              <w:jc w:val="center"/>
              <w:rPr>
                <w:color w:val="000000"/>
              </w:rPr>
            </w:pPr>
            <w:r w:rsidRPr="00D050C7">
              <w:rPr>
                <w:color w:val="000000"/>
              </w:rPr>
              <w:t>4</w:t>
            </w:r>
          </w:p>
        </w:tc>
        <w:tc>
          <w:tcPr>
            <w:tcW w:w="1442" w:type="dxa"/>
            <w:vAlign w:val="center"/>
          </w:tcPr>
          <w:p w14:paraId="65357FF6" w14:textId="77777777" w:rsidR="00703680" w:rsidRPr="00D050C7" w:rsidRDefault="00703680" w:rsidP="00703680">
            <w:pPr>
              <w:jc w:val="center"/>
              <w:rPr>
                <w:color w:val="000000"/>
              </w:rPr>
            </w:pPr>
            <w:r w:rsidRPr="00D050C7">
              <w:rPr>
                <w:color w:val="000000"/>
              </w:rPr>
              <w:t>9</w:t>
            </w:r>
          </w:p>
        </w:tc>
        <w:tc>
          <w:tcPr>
            <w:tcW w:w="1442" w:type="dxa"/>
            <w:vAlign w:val="center"/>
          </w:tcPr>
          <w:p w14:paraId="507AE332" w14:textId="77777777" w:rsidR="00703680" w:rsidRPr="00D050C7" w:rsidRDefault="00703680" w:rsidP="00703680">
            <w:pPr>
              <w:jc w:val="center"/>
              <w:rPr>
                <w:color w:val="000000"/>
              </w:rPr>
            </w:pPr>
            <w:r w:rsidRPr="00D050C7">
              <w:rPr>
                <w:color w:val="000000"/>
              </w:rPr>
              <w:t>9</w:t>
            </w:r>
          </w:p>
        </w:tc>
        <w:tc>
          <w:tcPr>
            <w:tcW w:w="1442" w:type="dxa"/>
            <w:vAlign w:val="center"/>
          </w:tcPr>
          <w:p w14:paraId="156AE569" w14:textId="77777777" w:rsidR="00703680" w:rsidRPr="00D050C7" w:rsidRDefault="00703680" w:rsidP="00703680">
            <w:pPr>
              <w:jc w:val="center"/>
              <w:rPr>
                <w:color w:val="000000"/>
              </w:rPr>
            </w:pPr>
            <w:r w:rsidRPr="00D050C7">
              <w:rPr>
                <w:color w:val="000000"/>
              </w:rPr>
              <w:t>11</w:t>
            </w:r>
          </w:p>
        </w:tc>
        <w:tc>
          <w:tcPr>
            <w:tcW w:w="1324" w:type="dxa"/>
            <w:vAlign w:val="center"/>
          </w:tcPr>
          <w:p w14:paraId="40EFA45E" w14:textId="77777777" w:rsidR="00703680" w:rsidRPr="00D050C7" w:rsidRDefault="00703680" w:rsidP="00703680">
            <w:pPr>
              <w:jc w:val="center"/>
              <w:rPr>
                <w:color w:val="000000"/>
              </w:rPr>
            </w:pPr>
            <w:r w:rsidRPr="00D050C7">
              <w:rPr>
                <w:color w:val="000000"/>
              </w:rPr>
              <w:t>13</w:t>
            </w:r>
          </w:p>
        </w:tc>
      </w:tr>
      <w:tr w:rsidR="00703680" w:rsidRPr="00703680" w14:paraId="4EB0D250" w14:textId="77777777" w:rsidTr="00E36A78">
        <w:trPr>
          <w:trHeight w:val="263"/>
        </w:trPr>
        <w:tc>
          <w:tcPr>
            <w:tcW w:w="2263" w:type="dxa"/>
            <w:vMerge/>
            <w:vAlign w:val="center"/>
          </w:tcPr>
          <w:p w14:paraId="36F0BB3F" w14:textId="77777777" w:rsidR="00703680" w:rsidRPr="00D050C7" w:rsidRDefault="00703680" w:rsidP="00D050C7">
            <w:pPr>
              <w:tabs>
                <w:tab w:val="left" w:pos="927"/>
              </w:tabs>
              <w:ind w:left="23"/>
              <w:rPr>
                <w:bCs/>
              </w:rPr>
            </w:pPr>
          </w:p>
        </w:tc>
        <w:tc>
          <w:tcPr>
            <w:tcW w:w="1438" w:type="dxa"/>
            <w:vAlign w:val="center"/>
          </w:tcPr>
          <w:p w14:paraId="4C4C40D8" w14:textId="77777777" w:rsidR="00703680" w:rsidRPr="00D050C7" w:rsidRDefault="00703680" w:rsidP="00703680">
            <w:pPr>
              <w:jc w:val="center"/>
              <w:rPr>
                <w:color w:val="000000"/>
              </w:rPr>
            </w:pPr>
            <w:r w:rsidRPr="00D050C7">
              <w:rPr>
                <w:color w:val="000000"/>
              </w:rPr>
              <w:t>5</w:t>
            </w:r>
          </w:p>
        </w:tc>
        <w:tc>
          <w:tcPr>
            <w:tcW w:w="1442" w:type="dxa"/>
            <w:vAlign w:val="center"/>
          </w:tcPr>
          <w:p w14:paraId="246079F5" w14:textId="77777777" w:rsidR="00703680" w:rsidRPr="00D050C7" w:rsidRDefault="00703680" w:rsidP="00703680">
            <w:pPr>
              <w:jc w:val="center"/>
              <w:rPr>
                <w:color w:val="000000"/>
              </w:rPr>
            </w:pPr>
            <w:r w:rsidRPr="00D050C7">
              <w:rPr>
                <w:color w:val="000000"/>
              </w:rPr>
              <w:t>6</w:t>
            </w:r>
          </w:p>
        </w:tc>
        <w:tc>
          <w:tcPr>
            <w:tcW w:w="1442" w:type="dxa"/>
            <w:vAlign w:val="center"/>
          </w:tcPr>
          <w:p w14:paraId="24337D87" w14:textId="77777777" w:rsidR="00703680" w:rsidRPr="00D050C7" w:rsidRDefault="00703680" w:rsidP="00703680">
            <w:pPr>
              <w:jc w:val="center"/>
              <w:rPr>
                <w:color w:val="000000"/>
              </w:rPr>
            </w:pPr>
            <w:r w:rsidRPr="00D050C7">
              <w:rPr>
                <w:color w:val="000000"/>
              </w:rPr>
              <w:t>8</w:t>
            </w:r>
          </w:p>
        </w:tc>
        <w:tc>
          <w:tcPr>
            <w:tcW w:w="1442" w:type="dxa"/>
            <w:vAlign w:val="center"/>
          </w:tcPr>
          <w:p w14:paraId="66636F7E" w14:textId="77777777" w:rsidR="00703680" w:rsidRPr="00D050C7" w:rsidRDefault="00703680" w:rsidP="00703680">
            <w:pPr>
              <w:jc w:val="center"/>
              <w:rPr>
                <w:color w:val="000000"/>
              </w:rPr>
            </w:pPr>
            <w:r w:rsidRPr="00D050C7">
              <w:rPr>
                <w:color w:val="000000"/>
              </w:rPr>
              <w:t>10</w:t>
            </w:r>
          </w:p>
        </w:tc>
        <w:tc>
          <w:tcPr>
            <w:tcW w:w="1324" w:type="dxa"/>
            <w:vAlign w:val="center"/>
          </w:tcPr>
          <w:p w14:paraId="0FB9319B" w14:textId="77777777" w:rsidR="00703680" w:rsidRPr="00D050C7" w:rsidRDefault="00703680" w:rsidP="00703680">
            <w:pPr>
              <w:jc w:val="center"/>
              <w:rPr>
                <w:color w:val="000000"/>
              </w:rPr>
            </w:pPr>
            <w:r w:rsidRPr="00D050C7">
              <w:rPr>
                <w:color w:val="000000"/>
              </w:rPr>
              <w:t>13</w:t>
            </w:r>
          </w:p>
        </w:tc>
      </w:tr>
      <w:tr w:rsidR="00703680" w:rsidRPr="00703680" w14:paraId="056E781F" w14:textId="77777777" w:rsidTr="00E36A78">
        <w:trPr>
          <w:trHeight w:val="263"/>
        </w:trPr>
        <w:tc>
          <w:tcPr>
            <w:tcW w:w="2263" w:type="dxa"/>
            <w:vMerge/>
            <w:vAlign w:val="center"/>
          </w:tcPr>
          <w:p w14:paraId="70811A15" w14:textId="77777777" w:rsidR="00703680" w:rsidRPr="00D050C7" w:rsidRDefault="00703680" w:rsidP="00D050C7">
            <w:pPr>
              <w:tabs>
                <w:tab w:val="left" w:pos="927"/>
              </w:tabs>
              <w:ind w:left="23"/>
              <w:rPr>
                <w:bCs/>
              </w:rPr>
            </w:pPr>
          </w:p>
        </w:tc>
        <w:tc>
          <w:tcPr>
            <w:tcW w:w="1438" w:type="dxa"/>
            <w:vAlign w:val="center"/>
          </w:tcPr>
          <w:p w14:paraId="23D27B5C" w14:textId="77777777" w:rsidR="00703680" w:rsidRPr="00D050C7" w:rsidRDefault="00703680" w:rsidP="00703680">
            <w:pPr>
              <w:jc w:val="center"/>
              <w:rPr>
                <w:color w:val="000000"/>
              </w:rPr>
            </w:pPr>
            <w:r w:rsidRPr="00D050C7">
              <w:rPr>
                <w:color w:val="000000"/>
              </w:rPr>
              <w:t>7</w:t>
            </w:r>
          </w:p>
        </w:tc>
        <w:tc>
          <w:tcPr>
            <w:tcW w:w="1442" w:type="dxa"/>
            <w:vAlign w:val="center"/>
          </w:tcPr>
          <w:p w14:paraId="5CD34945" w14:textId="77777777" w:rsidR="00703680" w:rsidRPr="00D050C7" w:rsidRDefault="00703680" w:rsidP="00703680">
            <w:pPr>
              <w:jc w:val="center"/>
              <w:rPr>
                <w:color w:val="000000"/>
              </w:rPr>
            </w:pPr>
            <w:r w:rsidRPr="00D050C7">
              <w:rPr>
                <w:color w:val="000000"/>
              </w:rPr>
              <w:t>8</w:t>
            </w:r>
          </w:p>
        </w:tc>
        <w:tc>
          <w:tcPr>
            <w:tcW w:w="1442" w:type="dxa"/>
            <w:vAlign w:val="center"/>
          </w:tcPr>
          <w:p w14:paraId="30AEB588" w14:textId="77777777" w:rsidR="00703680" w:rsidRPr="00D050C7" w:rsidRDefault="00703680" w:rsidP="00703680">
            <w:pPr>
              <w:jc w:val="center"/>
              <w:rPr>
                <w:color w:val="000000"/>
              </w:rPr>
            </w:pPr>
            <w:r w:rsidRPr="00D050C7">
              <w:rPr>
                <w:color w:val="000000"/>
              </w:rPr>
              <w:t>12</w:t>
            </w:r>
          </w:p>
        </w:tc>
        <w:tc>
          <w:tcPr>
            <w:tcW w:w="1442" w:type="dxa"/>
            <w:vAlign w:val="center"/>
          </w:tcPr>
          <w:p w14:paraId="3976F79A" w14:textId="77777777" w:rsidR="00703680" w:rsidRPr="00D050C7" w:rsidRDefault="00703680" w:rsidP="00703680">
            <w:pPr>
              <w:jc w:val="center"/>
              <w:rPr>
                <w:color w:val="000000"/>
              </w:rPr>
            </w:pPr>
            <w:r w:rsidRPr="00D050C7">
              <w:rPr>
                <w:color w:val="000000"/>
              </w:rPr>
              <w:t>14</w:t>
            </w:r>
          </w:p>
        </w:tc>
        <w:tc>
          <w:tcPr>
            <w:tcW w:w="1324" w:type="dxa"/>
            <w:vAlign w:val="center"/>
          </w:tcPr>
          <w:p w14:paraId="24059694" w14:textId="77777777" w:rsidR="00703680" w:rsidRPr="00D050C7" w:rsidRDefault="00703680" w:rsidP="00703680">
            <w:pPr>
              <w:jc w:val="center"/>
              <w:rPr>
                <w:color w:val="000000"/>
              </w:rPr>
            </w:pPr>
            <w:r w:rsidRPr="00D050C7">
              <w:rPr>
                <w:color w:val="000000"/>
              </w:rPr>
              <w:t>15</w:t>
            </w:r>
          </w:p>
        </w:tc>
      </w:tr>
      <w:tr w:rsidR="00703680" w:rsidRPr="00703680" w14:paraId="47573955" w14:textId="77777777" w:rsidTr="00E36A78">
        <w:trPr>
          <w:trHeight w:val="263"/>
        </w:trPr>
        <w:tc>
          <w:tcPr>
            <w:tcW w:w="2263" w:type="dxa"/>
            <w:vMerge/>
            <w:vAlign w:val="center"/>
          </w:tcPr>
          <w:p w14:paraId="7A02F442" w14:textId="77777777" w:rsidR="00703680" w:rsidRPr="00D050C7" w:rsidRDefault="00703680" w:rsidP="00D050C7">
            <w:pPr>
              <w:tabs>
                <w:tab w:val="left" w:pos="927"/>
              </w:tabs>
              <w:ind w:left="23"/>
              <w:rPr>
                <w:bCs/>
              </w:rPr>
            </w:pPr>
          </w:p>
        </w:tc>
        <w:tc>
          <w:tcPr>
            <w:tcW w:w="1438" w:type="dxa"/>
            <w:vAlign w:val="center"/>
          </w:tcPr>
          <w:p w14:paraId="5E616E41" w14:textId="77777777" w:rsidR="00703680" w:rsidRPr="00D050C7" w:rsidRDefault="00703680" w:rsidP="00703680">
            <w:pPr>
              <w:jc w:val="center"/>
              <w:rPr>
                <w:color w:val="000000"/>
              </w:rPr>
            </w:pPr>
            <w:r w:rsidRPr="00D050C7">
              <w:rPr>
                <w:color w:val="000000"/>
              </w:rPr>
              <w:t>3</w:t>
            </w:r>
          </w:p>
        </w:tc>
        <w:tc>
          <w:tcPr>
            <w:tcW w:w="1442" w:type="dxa"/>
            <w:vAlign w:val="center"/>
          </w:tcPr>
          <w:p w14:paraId="5ACF8B34" w14:textId="77777777" w:rsidR="00703680" w:rsidRPr="00D050C7" w:rsidRDefault="00703680" w:rsidP="00703680">
            <w:pPr>
              <w:jc w:val="center"/>
              <w:rPr>
                <w:color w:val="000000"/>
              </w:rPr>
            </w:pPr>
            <w:r w:rsidRPr="00D050C7">
              <w:rPr>
                <w:color w:val="000000"/>
              </w:rPr>
              <w:t>5</w:t>
            </w:r>
          </w:p>
        </w:tc>
        <w:tc>
          <w:tcPr>
            <w:tcW w:w="1442" w:type="dxa"/>
            <w:vAlign w:val="center"/>
          </w:tcPr>
          <w:p w14:paraId="671C30B1" w14:textId="77777777" w:rsidR="00703680" w:rsidRPr="00D050C7" w:rsidRDefault="00703680" w:rsidP="00703680">
            <w:pPr>
              <w:jc w:val="center"/>
              <w:rPr>
                <w:color w:val="000000"/>
              </w:rPr>
            </w:pPr>
            <w:r w:rsidRPr="00D050C7">
              <w:rPr>
                <w:color w:val="000000"/>
              </w:rPr>
              <w:t>10</w:t>
            </w:r>
          </w:p>
        </w:tc>
        <w:tc>
          <w:tcPr>
            <w:tcW w:w="1442" w:type="dxa"/>
            <w:vAlign w:val="center"/>
          </w:tcPr>
          <w:p w14:paraId="3F84D83B" w14:textId="77777777" w:rsidR="00703680" w:rsidRPr="00D050C7" w:rsidRDefault="00703680" w:rsidP="00703680">
            <w:pPr>
              <w:jc w:val="center"/>
              <w:rPr>
                <w:color w:val="000000"/>
              </w:rPr>
            </w:pPr>
            <w:r w:rsidRPr="00D050C7">
              <w:rPr>
                <w:color w:val="000000"/>
              </w:rPr>
              <w:t>13</w:t>
            </w:r>
          </w:p>
        </w:tc>
        <w:tc>
          <w:tcPr>
            <w:tcW w:w="1324" w:type="dxa"/>
            <w:vAlign w:val="center"/>
          </w:tcPr>
          <w:p w14:paraId="666838C8" w14:textId="77777777" w:rsidR="00703680" w:rsidRPr="00D050C7" w:rsidRDefault="00703680" w:rsidP="00703680">
            <w:pPr>
              <w:jc w:val="center"/>
              <w:rPr>
                <w:color w:val="000000"/>
                <w:lang w:val="en-US"/>
              </w:rPr>
            </w:pPr>
            <w:r w:rsidRPr="00D050C7">
              <w:rPr>
                <w:color w:val="000000"/>
              </w:rPr>
              <w:t>1</w:t>
            </w:r>
            <w:r w:rsidRPr="00D050C7">
              <w:rPr>
                <w:color w:val="000000"/>
                <w:lang w:val="en-US"/>
              </w:rPr>
              <w:t>5</w:t>
            </w:r>
          </w:p>
        </w:tc>
      </w:tr>
      <w:tr w:rsidR="00E36A78" w:rsidRPr="00703680" w14:paraId="457470F8" w14:textId="77777777" w:rsidTr="00E36A78">
        <w:trPr>
          <w:trHeight w:val="59"/>
        </w:trPr>
        <w:tc>
          <w:tcPr>
            <w:tcW w:w="2263" w:type="dxa"/>
            <w:vAlign w:val="center"/>
          </w:tcPr>
          <w:p w14:paraId="783F4233" w14:textId="55A31FD7" w:rsidR="00E36A78" w:rsidRPr="00D050C7" w:rsidRDefault="00E36A78" w:rsidP="00E36A78">
            <w:pPr>
              <w:ind w:left="23"/>
              <w:jc w:val="center"/>
              <w:rPr>
                <w:bCs/>
              </w:rPr>
            </w:pPr>
            <w:r w:rsidRPr="00703680">
              <w:t>Ср</w:t>
            </w:r>
            <w:r>
              <w:t xml:space="preserve">. </w:t>
            </w:r>
            <w:r w:rsidRPr="00703680">
              <w:t>значение</w:t>
            </w:r>
          </w:p>
        </w:tc>
        <w:tc>
          <w:tcPr>
            <w:tcW w:w="1438" w:type="dxa"/>
            <w:vAlign w:val="center"/>
          </w:tcPr>
          <w:p w14:paraId="2DDB93F1" w14:textId="77777777" w:rsidR="00E36A78" w:rsidRPr="00D050C7" w:rsidRDefault="00E36A78" w:rsidP="00E36A78">
            <w:pPr>
              <w:jc w:val="center"/>
              <w:rPr>
                <w:color w:val="000000"/>
              </w:rPr>
            </w:pPr>
            <w:r w:rsidRPr="00281A13">
              <w:rPr>
                <w:b/>
                <w:color w:val="000000"/>
              </w:rPr>
              <w:t>5</w:t>
            </w:r>
          </w:p>
        </w:tc>
        <w:tc>
          <w:tcPr>
            <w:tcW w:w="1442" w:type="dxa"/>
            <w:vAlign w:val="center"/>
          </w:tcPr>
          <w:p w14:paraId="5BC7504D" w14:textId="77777777" w:rsidR="00E36A78" w:rsidRPr="00D050C7" w:rsidRDefault="00E36A78" w:rsidP="00E36A78">
            <w:pPr>
              <w:jc w:val="center"/>
              <w:rPr>
                <w:color w:val="000000"/>
              </w:rPr>
            </w:pPr>
            <w:r w:rsidRPr="00D050C7">
              <w:rPr>
                <w:b/>
                <w:color w:val="000000"/>
              </w:rPr>
              <w:t>8</w:t>
            </w:r>
          </w:p>
        </w:tc>
        <w:tc>
          <w:tcPr>
            <w:tcW w:w="1442" w:type="dxa"/>
            <w:vAlign w:val="center"/>
          </w:tcPr>
          <w:p w14:paraId="08608C51" w14:textId="77777777" w:rsidR="00E36A78" w:rsidRPr="00D050C7" w:rsidRDefault="00E36A78" w:rsidP="00E36A78">
            <w:pPr>
              <w:jc w:val="center"/>
              <w:rPr>
                <w:color w:val="000000"/>
              </w:rPr>
            </w:pPr>
            <w:r w:rsidRPr="00281A13">
              <w:rPr>
                <w:b/>
                <w:color w:val="000000"/>
              </w:rPr>
              <w:t>10</w:t>
            </w:r>
          </w:p>
        </w:tc>
        <w:tc>
          <w:tcPr>
            <w:tcW w:w="1442" w:type="dxa"/>
            <w:vAlign w:val="center"/>
          </w:tcPr>
          <w:p w14:paraId="7AF3B9F1" w14:textId="77777777" w:rsidR="00E36A78" w:rsidRPr="00D050C7" w:rsidRDefault="00E36A78" w:rsidP="00E36A78">
            <w:pPr>
              <w:jc w:val="center"/>
              <w:rPr>
                <w:color w:val="000000"/>
              </w:rPr>
            </w:pPr>
            <w:r w:rsidRPr="00281A13">
              <w:rPr>
                <w:b/>
                <w:color w:val="000000"/>
              </w:rPr>
              <w:t>12</w:t>
            </w:r>
          </w:p>
        </w:tc>
        <w:tc>
          <w:tcPr>
            <w:tcW w:w="1324" w:type="dxa"/>
            <w:vAlign w:val="center"/>
          </w:tcPr>
          <w:p w14:paraId="73314D6E" w14:textId="77777777" w:rsidR="00E36A78" w:rsidRPr="00D050C7" w:rsidRDefault="00E36A78" w:rsidP="00E36A78">
            <w:pPr>
              <w:jc w:val="center"/>
              <w:rPr>
                <w:color w:val="000000"/>
              </w:rPr>
            </w:pPr>
            <w:r w:rsidRPr="00D050C7">
              <w:rPr>
                <w:b/>
                <w:color w:val="000000"/>
              </w:rPr>
              <w:t>14</w:t>
            </w:r>
          </w:p>
        </w:tc>
      </w:tr>
      <w:tr w:rsidR="00E36A78" w:rsidRPr="00703680" w14:paraId="4CDF6668" w14:textId="77777777" w:rsidTr="00E36A78">
        <w:trPr>
          <w:trHeight w:val="64"/>
        </w:trPr>
        <w:tc>
          <w:tcPr>
            <w:tcW w:w="2263" w:type="dxa"/>
            <w:vAlign w:val="center"/>
          </w:tcPr>
          <w:p w14:paraId="1F1EA540" w14:textId="78F82378" w:rsidR="00E36A78" w:rsidRPr="00D050C7" w:rsidRDefault="00E36A78" w:rsidP="00E36A78">
            <w:pPr>
              <w:ind w:left="-109" w:right="-108"/>
              <w:jc w:val="center"/>
              <w:rPr>
                <w:bCs/>
              </w:rPr>
            </w:pPr>
            <w:r w:rsidRPr="00703680">
              <w:t>Кол</w:t>
            </w:r>
            <w:r>
              <w:t>-во</w:t>
            </w:r>
            <w:r w:rsidRPr="00703680">
              <w:t xml:space="preserve"> элементов, n</w:t>
            </w:r>
          </w:p>
        </w:tc>
        <w:tc>
          <w:tcPr>
            <w:tcW w:w="1438" w:type="dxa"/>
            <w:vAlign w:val="center"/>
          </w:tcPr>
          <w:p w14:paraId="75B642D7" w14:textId="77777777" w:rsidR="00E36A78" w:rsidRPr="00D050C7" w:rsidRDefault="00E36A78" w:rsidP="00E36A78">
            <w:pPr>
              <w:tabs>
                <w:tab w:val="left" w:pos="927"/>
              </w:tabs>
              <w:jc w:val="center"/>
              <w:rPr>
                <w:bCs/>
              </w:rPr>
            </w:pPr>
            <w:r w:rsidRPr="00D050C7">
              <w:rPr>
                <w:bCs/>
              </w:rPr>
              <w:t>12</w:t>
            </w:r>
          </w:p>
        </w:tc>
        <w:tc>
          <w:tcPr>
            <w:tcW w:w="1442" w:type="dxa"/>
            <w:vAlign w:val="center"/>
          </w:tcPr>
          <w:p w14:paraId="6C2F33F4" w14:textId="77777777" w:rsidR="00E36A78" w:rsidRPr="00D050C7" w:rsidRDefault="00E36A78" w:rsidP="00E36A78">
            <w:pPr>
              <w:tabs>
                <w:tab w:val="left" w:pos="927"/>
              </w:tabs>
              <w:jc w:val="center"/>
              <w:rPr>
                <w:bCs/>
              </w:rPr>
            </w:pPr>
            <w:r w:rsidRPr="00D050C7">
              <w:rPr>
                <w:bCs/>
              </w:rPr>
              <w:t>12</w:t>
            </w:r>
          </w:p>
        </w:tc>
        <w:tc>
          <w:tcPr>
            <w:tcW w:w="1442" w:type="dxa"/>
            <w:vAlign w:val="center"/>
          </w:tcPr>
          <w:p w14:paraId="69E90F99" w14:textId="77777777" w:rsidR="00E36A78" w:rsidRPr="00D050C7" w:rsidRDefault="00E36A78" w:rsidP="00E36A78">
            <w:pPr>
              <w:tabs>
                <w:tab w:val="left" w:pos="927"/>
              </w:tabs>
              <w:jc w:val="center"/>
              <w:rPr>
                <w:bCs/>
              </w:rPr>
            </w:pPr>
            <w:r w:rsidRPr="00D050C7">
              <w:rPr>
                <w:bCs/>
              </w:rPr>
              <w:t>12</w:t>
            </w:r>
          </w:p>
        </w:tc>
        <w:tc>
          <w:tcPr>
            <w:tcW w:w="1442" w:type="dxa"/>
            <w:vAlign w:val="center"/>
          </w:tcPr>
          <w:p w14:paraId="2D085971" w14:textId="77777777" w:rsidR="00E36A78" w:rsidRPr="00D050C7" w:rsidRDefault="00E36A78" w:rsidP="00E36A78">
            <w:pPr>
              <w:tabs>
                <w:tab w:val="left" w:pos="927"/>
              </w:tabs>
              <w:jc w:val="center"/>
              <w:rPr>
                <w:bCs/>
              </w:rPr>
            </w:pPr>
            <w:r w:rsidRPr="00D050C7">
              <w:rPr>
                <w:bCs/>
              </w:rPr>
              <w:t>12</w:t>
            </w:r>
          </w:p>
        </w:tc>
        <w:tc>
          <w:tcPr>
            <w:tcW w:w="1324" w:type="dxa"/>
            <w:vAlign w:val="center"/>
          </w:tcPr>
          <w:p w14:paraId="345C1D5E" w14:textId="77777777" w:rsidR="00E36A78" w:rsidRPr="00D050C7" w:rsidRDefault="00E36A78" w:rsidP="00E36A78">
            <w:pPr>
              <w:tabs>
                <w:tab w:val="left" w:pos="927"/>
              </w:tabs>
              <w:jc w:val="center"/>
              <w:rPr>
                <w:bCs/>
              </w:rPr>
            </w:pPr>
            <w:r w:rsidRPr="00D050C7">
              <w:rPr>
                <w:bCs/>
              </w:rPr>
              <w:t>12</w:t>
            </w:r>
          </w:p>
        </w:tc>
      </w:tr>
      <w:tr w:rsidR="00E36A78" w:rsidRPr="00703680" w14:paraId="6AEBA84E" w14:textId="77777777" w:rsidTr="00E36A78">
        <w:trPr>
          <w:trHeight w:val="157"/>
        </w:trPr>
        <w:tc>
          <w:tcPr>
            <w:tcW w:w="2263" w:type="dxa"/>
            <w:vAlign w:val="center"/>
          </w:tcPr>
          <w:p w14:paraId="316873A8" w14:textId="562B66F2" w:rsidR="00E36A78" w:rsidRPr="00D050C7" w:rsidRDefault="00E36A78" w:rsidP="00E36A78">
            <w:pPr>
              <w:ind w:left="23"/>
              <w:jc w:val="center"/>
              <w:rPr>
                <w:bCs/>
              </w:rPr>
            </w:pPr>
            <w:r w:rsidRPr="00703680">
              <w:t>Степени свободы, f</w:t>
            </w:r>
          </w:p>
        </w:tc>
        <w:tc>
          <w:tcPr>
            <w:tcW w:w="1438" w:type="dxa"/>
            <w:vAlign w:val="center"/>
          </w:tcPr>
          <w:p w14:paraId="0F29BFA3" w14:textId="77777777" w:rsidR="00E36A78" w:rsidRPr="00D050C7" w:rsidRDefault="00E36A78" w:rsidP="00E36A78">
            <w:pPr>
              <w:tabs>
                <w:tab w:val="left" w:pos="927"/>
              </w:tabs>
              <w:jc w:val="center"/>
              <w:rPr>
                <w:bCs/>
              </w:rPr>
            </w:pPr>
            <w:r w:rsidRPr="00D050C7">
              <w:rPr>
                <w:bCs/>
              </w:rPr>
              <w:t>11</w:t>
            </w:r>
          </w:p>
        </w:tc>
        <w:tc>
          <w:tcPr>
            <w:tcW w:w="1442" w:type="dxa"/>
            <w:vAlign w:val="center"/>
          </w:tcPr>
          <w:p w14:paraId="4FA98E41" w14:textId="77777777" w:rsidR="00E36A78" w:rsidRPr="00D050C7" w:rsidRDefault="00E36A78" w:rsidP="00E36A78">
            <w:pPr>
              <w:tabs>
                <w:tab w:val="left" w:pos="927"/>
              </w:tabs>
              <w:jc w:val="center"/>
              <w:rPr>
                <w:bCs/>
              </w:rPr>
            </w:pPr>
            <w:r w:rsidRPr="00D050C7">
              <w:rPr>
                <w:bCs/>
              </w:rPr>
              <w:t>11</w:t>
            </w:r>
          </w:p>
        </w:tc>
        <w:tc>
          <w:tcPr>
            <w:tcW w:w="1442" w:type="dxa"/>
            <w:vAlign w:val="center"/>
          </w:tcPr>
          <w:p w14:paraId="36C33CBD" w14:textId="77777777" w:rsidR="00E36A78" w:rsidRPr="00D050C7" w:rsidRDefault="00E36A78" w:rsidP="00E36A78">
            <w:pPr>
              <w:tabs>
                <w:tab w:val="left" w:pos="927"/>
              </w:tabs>
              <w:jc w:val="center"/>
              <w:rPr>
                <w:bCs/>
              </w:rPr>
            </w:pPr>
            <w:r w:rsidRPr="00D050C7">
              <w:rPr>
                <w:bCs/>
              </w:rPr>
              <w:t>11</w:t>
            </w:r>
          </w:p>
        </w:tc>
        <w:tc>
          <w:tcPr>
            <w:tcW w:w="1442" w:type="dxa"/>
            <w:vAlign w:val="center"/>
          </w:tcPr>
          <w:p w14:paraId="7AFDF26D" w14:textId="77777777" w:rsidR="00E36A78" w:rsidRPr="00D050C7" w:rsidRDefault="00E36A78" w:rsidP="00E36A78">
            <w:pPr>
              <w:tabs>
                <w:tab w:val="left" w:pos="927"/>
              </w:tabs>
              <w:jc w:val="center"/>
              <w:rPr>
                <w:bCs/>
              </w:rPr>
            </w:pPr>
            <w:r w:rsidRPr="00D050C7">
              <w:rPr>
                <w:bCs/>
              </w:rPr>
              <w:t>11</w:t>
            </w:r>
          </w:p>
        </w:tc>
        <w:tc>
          <w:tcPr>
            <w:tcW w:w="1324" w:type="dxa"/>
            <w:vAlign w:val="center"/>
          </w:tcPr>
          <w:p w14:paraId="7B4A42A5" w14:textId="77777777" w:rsidR="00E36A78" w:rsidRPr="00D050C7" w:rsidRDefault="00E36A78" w:rsidP="00E36A78">
            <w:pPr>
              <w:tabs>
                <w:tab w:val="left" w:pos="927"/>
              </w:tabs>
              <w:jc w:val="center"/>
              <w:rPr>
                <w:bCs/>
              </w:rPr>
            </w:pPr>
            <w:r w:rsidRPr="00D050C7">
              <w:rPr>
                <w:bCs/>
              </w:rPr>
              <w:t>11</w:t>
            </w:r>
          </w:p>
        </w:tc>
      </w:tr>
      <w:tr w:rsidR="00E36A78" w:rsidRPr="00703680" w14:paraId="51CC8005" w14:textId="77777777" w:rsidTr="00E36A78">
        <w:trPr>
          <w:trHeight w:val="59"/>
        </w:trPr>
        <w:tc>
          <w:tcPr>
            <w:tcW w:w="2263" w:type="dxa"/>
            <w:vAlign w:val="center"/>
          </w:tcPr>
          <w:p w14:paraId="6DA4959F" w14:textId="12BEBC24" w:rsidR="00E36A78" w:rsidRPr="00D050C7" w:rsidRDefault="00E36A78" w:rsidP="00E36A78">
            <w:pPr>
              <w:ind w:left="23"/>
              <w:jc w:val="center"/>
              <w:rPr>
                <w:bCs/>
              </w:rPr>
            </w:pPr>
            <w:r w:rsidRPr="00703680">
              <w:t>Дисперсия</w:t>
            </w:r>
          </w:p>
        </w:tc>
        <w:tc>
          <w:tcPr>
            <w:tcW w:w="1438" w:type="dxa"/>
            <w:vAlign w:val="center"/>
          </w:tcPr>
          <w:p w14:paraId="5E0CD425" w14:textId="77777777" w:rsidR="00E36A78" w:rsidRPr="00D050C7" w:rsidRDefault="00E36A78" w:rsidP="00E36A78">
            <w:pPr>
              <w:jc w:val="center"/>
              <w:rPr>
                <w:color w:val="000000"/>
              </w:rPr>
            </w:pPr>
            <w:r w:rsidRPr="00D050C7">
              <w:rPr>
                <w:bCs/>
                <w:color w:val="000000"/>
              </w:rPr>
              <w:t>2,3</w:t>
            </w:r>
          </w:p>
        </w:tc>
        <w:tc>
          <w:tcPr>
            <w:tcW w:w="1442" w:type="dxa"/>
            <w:vAlign w:val="center"/>
          </w:tcPr>
          <w:p w14:paraId="2D337220" w14:textId="77777777" w:rsidR="00E36A78" w:rsidRPr="00D050C7" w:rsidRDefault="00E36A78" w:rsidP="00E36A78">
            <w:pPr>
              <w:jc w:val="center"/>
              <w:rPr>
                <w:color w:val="000000"/>
              </w:rPr>
            </w:pPr>
            <w:r w:rsidRPr="00D050C7">
              <w:rPr>
                <w:bCs/>
                <w:color w:val="000000"/>
              </w:rPr>
              <w:t>3,2</w:t>
            </w:r>
          </w:p>
        </w:tc>
        <w:tc>
          <w:tcPr>
            <w:tcW w:w="1442" w:type="dxa"/>
            <w:vAlign w:val="center"/>
          </w:tcPr>
          <w:p w14:paraId="29ADF192" w14:textId="77777777" w:rsidR="00E36A78" w:rsidRPr="00D050C7" w:rsidRDefault="00E36A78" w:rsidP="00E36A78">
            <w:pPr>
              <w:jc w:val="center"/>
              <w:rPr>
                <w:color w:val="000000"/>
              </w:rPr>
            </w:pPr>
            <w:r w:rsidRPr="00D050C7">
              <w:rPr>
                <w:bCs/>
                <w:color w:val="000000"/>
              </w:rPr>
              <w:t>4,3</w:t>
            </w:r>
          </w:p>
        </w:tc>
        <w:tc>
          <w:tcPr>
            <w:tcW w:w="1442" w:type="dxa"/>
            <w:vAlign w:val="center"/>
          </w:tcPr>
          <w:p w14:paraId="11192D82" w14:textId="77777777" w:rsidR="00E36A78" w:rsidRPr="00D050C7" w:rsidRDefault="00E36A78" w:rsidP="00E36A78">
            <w:pPr>
              <w:jc w:val="center"/>
              <w:rPr>
                <w:color w:val="000000"/>
              </w:rPr>
            </w:pPr>
            <w:r w:rsidRPr="00D050C7">
              <w:rPr>
                <w:bCs/>
                <w:color w:val="000000"/>
              </w:rPr>
              <w:t>6,1</w:t>
            </w:r>
          </w:p>
        </w:tc>
        <w:tc>
          <w:tcPr>
            <w:tcW w:w="1324" w:type="dxa"/>
            <w:vAlign w:val="center"/>
          </w:tcPr>
          <w:p w14:paraId="0DF381F0" w14:textId="77777777" w:rsidR="00E36A78" w:rsidRPr="00281A13" w:rsidRDefault="00E36A78" w:rsidP="00E36A78">
            <w:pPr>
              <w:jc w:val="center"/>
              <w:rPr>
                <w:color w:val="000000"/>
              </w:rPr>
            </w:pPr>
            <w:r w:rsidRPr="00281A13">
              <w:rPr>
                <w:bCs/>
                <w:color w:val="000000"/>
              </w:rPr>
              <w:t>4</w:t>
            </w:r>
            <w:r w:rsidRPr="00D050C7">
              <w:rPr>
                <w:bCs/>
                <w:color w:val="000000"/>
              </w:rPr>
              <w:t>,</w:t>
            </w:r>
            <w:r w:rsidRPr="00281A13">
              <w:rPr>
                <w:bCs/>
                <w:color w:val="000000"/>
              </w:rPr>
              <w:t>9</w:t>
            </w:r>
          </w:p>
        </w:tc>
      </w:tr>
      <w:tr w:rsidR="00E36A78" w:rsidRPr="00703680" w14:paraId="5455DE32" w14:textId="77777777" w:rsidTr="00E36A78">
        <w:trPr>
          <w:trHeight w:val="59"/>
        </w:trPr>
        <w:tc>
          <w:tcPr>
            <w:tcW w:w="2263" w:type="dxa"/>
            <w:vAlign w:val="center"/>
          </w:tcPr>
          <w:p w14:paraId="2D58239F" w14:textId="6F6A6F62" w:rsidR="00E36A78" w:rsidRPr="00D050C7" w:rsidRDefault="00E36A78" w:rsidP="00E36A78">
            <w:pPr>
              <w:ind w:left="23"/>
              <w:jc w:val="center"/>
              <w:rPr>
                <w:bCs/>
              </w:rPr>
            </w:pPr>
            <w:r>
              <w:t>СО</w:t>
            </w:r>
          </w:p>
        </w:tc>
        <w:tc>
          <w:tcPr>
            <w:tcW w:w="1438" w:type="dxa"/>
            <w:vAlign w:val="center"/>
          </w:tcPr>
          <w:p w14:paraId="295B6281" w14:textId="77777777" w:rsidR="00E36A78" w:rsidRPr="00D050C7" w:rsidRDefault="00E36A78" w:rsidP="00E36A78">
            <w:pPr>
              <w:jc w:val="center"/>
              <w:rPr>
                <w:color w:val="000000"/>
              </w:rPr>
            </w:pPr>
            <w:r w:rsidRPr="00D050C7">
              <w:rPr>
                <w:bCs/>
                <w:color w:val="000000"/>
              </w:rPr>
              <w:t>1,51</w:t>
            </w:r>
          </w:p>
        </w:tc>
        <w:tc>
          <w:tcPr>
            <w:tcW w:w="1442" w:type="dxa"/>
            <w:vAlign w:val="center"/>
          </w:tcPr>
          <w:p w14:paraId="31DEBD3D" w14:textId="77777777" w:rsidR="00E36A78" w:rsidRPr="00D050C7" w:rsidRDefault="00E36A78" w:rsidP="00E36A78">
            <w:pPr>
              <w:jc w:val="center"/>
              <w:rPr>
                <w:color w:val="000000"/>
              </w:rPr>
            </w:pPr>
            <w:r w:rsidRPr="00D050C7">
              <w:rPr>
                <w:bCs/>
                <w:color w:val="000000"/>
              </w:rPr>
              <w:t>1,78</w:t>
            </w:r>
          </w:p>
        </w:tc>
        <w:tc>
          <w:tcPr>
            <w:tcW w:w="1442" w:type="dxa"/>
            <w:vAlign w:val="center"/>
          </w:tcPr>
          <w:p w14:paraId="490EA6D9" w14:textId="77777777" w:rsidR="00E36A78" w:rsidRPr="00D050C7" w:rsidRDefault="00E36A78" w:rsidP="00E36A78">
            <w:pPr>
              <w:jc w:val="center"/>
              <w:rPr>
                <w:color w:val="000000"/>
              </w:rPr>
            </w:pPr>
            <w:r w:rsidRPr="00D050C7">
              <w:rPr>
                <w:bCs/>
                <w:color w:val="000000"/>
              </w:rPr>
              <w:t>2,08</w:t>
            </w:r>
          </w:p>
        </w:tc>
        <w:tc>
          <w:tcPr>
            <w:tcW w:w="1442" w:type="dxa"/>
            <w:vAlign w:val="center"/>
          </w:tcPr>
          <w:p w14:paraId="5223BCEE" w14:textId="77777777" w:rsidR="00E36A78" w:rsidRPr="00D050C7" w:rsidRDefault="00E36A78" w:rsidP="00E36A78">
            <w:pPr>
              <w:jc w:val="center"/>
              <w:rPr>
                <w:color w:val="000000"/>
              </w:rPr>
            </w:pPr>
            <w:r w:rsidRPr="00D050C7">
              <w:rPr>
                <w:bCs/>
                <w:color w:val="000000"/>
              </w:rPr>
              <w:t>2,47</w:t>
            </w:r>
          </w:p>
        </w:tc>
        <w:tc>
          <w:tcPr>
            <w:tcW w:w="1324" w:type="dxa"/>
            <w:vAlign w:val="center"/>
          </w:tcPr>
          <w:p w14:paraId="4013D818" w14:textId="77777777" w:rsidR="00E36A78" w:rsidRPr="00D050C7" w:rsidRDefault="00E36A78" w:rsidP="00E36A78">
            <w:pPr>
              <w:jc w:val="center"/>
              <w:rPr>
                <w:color w:val="000000"/>
                <w:lang w:val="en-US"/>
              </w:rPr>
            </w:pPr>
            <w:r w:rsidRPr="00D050C7">
              <w:rPr>
                <w:bCs/>
                <w:color w:val="000000"/>
              </w:rPr>
              <w:t>2,2</w:t>
            </w:r>
            <w:r w:rsidRPr="00D050C7">
              <w:rPr>
                <w:bCs/>
                <w:color w:val="000000"/>
                <w:lang w:val="en-US"/>
              </w:rPr>
              <w:t>1</w:t>
            </w:r>
          </w:p>
        </w:tc>
      </w:tr>
    </w:tbl>
    <w:p w14:paraId="7D39F6F5" w14:textId="77777777" w:rsidR="00703680" w:rsidRPr="00D050C7" w:rsidRDefault="00703680" w:rsidP="00703680">
      <w:pPr>
        <w:jc w:val="right"/>
        <w:rPr>
          <w:i/>
          <w:highlight w:val="yellow"/>
        </w:rPr>
      </w:pPr>
    </w:p>
    <w:p w14:paraId="3751EE1B" w14:textId="77777777" w:rsidR="00E36A78" w:rsidRDefault="00E36A78" w:rsidP="00D050C7">
      <w:pPr>
        <w:rPr>
          <w:b/>
        </w:rPr>
        <w:sectPr w:rsidR="00E36A78" w:rsidSect="00AB01E2">
          <w:pgSz w:w="11906" w:h="16838"/>
          <w:pgMar w:top="1134" w:right="849" w:bottom="1134" w:left="1701" w:header="708" w:footer="709" w:gutter="0"/>
          <w:cols w:space="708"/>
          <w:docGrid w:linePitch="360"/>
        </w:sectPr>
      </w:pPr>
    </w:p>
    <w:p w14:paraId="02C7D6F1" w14:textId="5597B043" w:rsidR="00703680" w:rsidRPr="00D050C7" w:rsidRDefault="00703680" w:rsidP="00D050C7">
      <w:pPr>
        <w:rPr>
          <w:iCs/>
        </w:rPr>
      </w:pPr>
      <w:r w:rsidRPr="003E68EC">
        <w:rPr>
          <w:b/>
        </w:rPr>
        <w:lastRenderedPageBreak/>
        <w:t>Таблица 2-</w:t>
      </w:r>
      <w:r w:rsidRPr="00E93B67">
        <w:rPr>
          <w:b/>
        </w:rPr>
        <w:t>6</w:t>
      </w:r>
      <w:r w:rsidRPr="003E68EC">
        <w:rPr>
          <w:b/>
        </w:rPr>
        <w:t>.</w:t>
      </w:r>
      <w:r w:rsidRPr="003E68EC">
        <w:t xml:space="preserve"> </w:t>
      </w:r>
      <w:r w:rsidRPr="002B180A">
        <w:rPr>
          <w:iCs/>
        </w:rPr>
        <w:t>Сравнение двух выборок по критерию Фишера</w:t>
      </w:r>
      <w:r w:rsidR="00884D56">
        <w:rPr>
          <w:iCs/>
        </w:rPr>
        <w:t>.</w:t>
      </w:r>
    </w:p>
    <w:tbl>
      <w:tblPr>
        <w:tblStyle w:val="34"/>
        <w:tblW w:w="9351" w:type="dxa"/>
        <w:tblLayout w:type="fixed"/>
        <w:tblLook w:val="04A0" w:firstRow="1" w:lastRow="0" w:firstColumn="1" w:lastColumn="0" w:noHBand="0" w:noVBand="1"/>
      </w:tblPr>
      <w:tblGrid>
        <w:gridCol w:w="1665"/>
        <w:gridCol w:w="1449"/>
        <w:gridCol w:w="1701"/>
        <w:gridCol w:w="1559"/>
        <w:gridCol w:w="1559"/>
        <w:gridCol w:w="1418"/>
      </w:tblGrid>
      <w:tr w:rsidR="00703680" w:rsidRPr="00703680" w14:paraId="2E3824C2" w14:textId="77777777" w:rsidTr="00762053">
        <w:trPr>
          <w:trHeight w:val="324"/>
        </w:trPr>
        <w:tc>
          <w:tcPr>
            <w:tcW w:w="1665" w:type="dxa"/>
            <w:shd w:val="clear" w:color="auto" w:fill="D9D9D9" w:themeFill="background1" w:themeFillShade="D9"/>
            <w:vAlign w:val="center"/>
          </w:tcPr>
          <w:p w14:paraId="478D868F" w14:textId="77777777" w:rsidR="00703680" w:rsidRPr="00762053" w:rsidRDefault="00703680" w:rsidP="00703680">
            <w:pPr>
              <w:jc w:val="center"/>
              <w:rPr>
                <w:b/>
                <w:bCs/>
              </w:rPr>
            </w:pPr>
            <w:r w:rsidRPr="00762053">
              <w:rPr>
                <w:b/>
                <w:bCs/>
              </w:rPr>
              <w:t>Время, мин</w:t>
            </w:r>
          </w:p>
        </w:tc>
        <w:tc>
          <w:tcPr>
            <w:tcW w:w="1449" w:type="dxa"/>
            <w:shd w:val="clear" w:color="auto" w:fill="D9D9D9" w:themeFill="background1" w:themeFillShade="D9"/>
            <w:vAlign w:val="center"/>
          </w:tcPr>
          <w:p w14:paraId="1B6FFFD5" w14:textId="77777777" w:rsidR="00703680" w:rsidRPr="00D050C7" w:rsidRDefault="00703680" w:rsidP="00703680">
            <w:pPr>
              <w:jc w:val="center"/>
              <w:rPr>
                <w:b/>
                <w:bCs/>
                <w:color w:val="000000"/>
              </w:rPr>
            </w:pPr>
            <w:r w:rsidRPr="00D050C7">
              <w:rPr>
                <w:b/>
                <w:bCs/>
                <w:color w:val="000000"/>
              </w:rPr>
              <w:t>10 мин</w:t>
            </w:r>
          </w:p>
        </w:tc>
        <w:tc>
          <w:tcPr>
            <w:tcW w:w="1701" w:type="dxa"/>
            <w:shd w:val="clear" w:color="auto" w:fill="D9D9D9" w:themeFill="background1" w:themeFillShade="D9"/>
            <w:vAlign w:val="center"/>
          </w:tcPr>
          <w:p w14:paraId="32B65DBB" w14:textId="77777777" w:rsidR="00703680" w:rsidRPr="00D050C7" w:rsidRDefault="00703680" w:rsidP="00703680">
            <w:pPr>
              <w:jc w:val="center"/>
              <w:rPr>
                <w:b/>
                <w:bCs/>
                <w:color w:val="000000"/>
              </w:rPr>
            </w:pPr>
            <w:r w:rsidRPr="00D050C7">
              <w:rPr>
                <w:b/>
                <w:bCs/>
                <w:color w:val="000000"/>
              </w:rPr>
              <w:t>15 мин</w:t>
            </w:r>
          </w:p>
        </w:tc>
        <w:tc>
          <w:tcPr>
            <w:tcW w:w="1559" w:type="dxa"/>
            <w:shd w:val="clear" w:color="auto" w:fill="D9D9D9" w:themeFill="background1" w:themeFillShade="D9"/>
            <w:vAlign w:val="center"/>
          </w:tcPr>
          <w:p w14:paraId="19369020" w14:textId="77777777" w:rsidR="00703680" w:rsidRPr="00D050C7" w:rsidRDefault="00703680" w:rsidP="00703680">
            <w:pPr>
              <w:jc w:val="center"/>
              <w:rPr>
                <w:b/>
                <w:bCs/>
                <w:color w:val="000000"/>
              </w:rPr>
            </w:pPr>
            <w:r w:rsidRPr="00D050C7">
              <w:rPr>
                <w:b/>
                <w:bCs/>
                <w:color w:val="000000"/>
              </w:rPr>
              <w:t>20 мин</w:t>
            </w:r>
          </w:p>
        </w:tc>
        <w:tc>
          <w:tcPr>
            <w:tcW w:w="1559" w:type="dxa"/>
            <w:shd w:val="clear" w:color="auto" w:fill="D9D9D9" w:themeFill="background1" w:themeFillShade="D9"/>
            <w:vAlign w:val="center"/>
          </w:tcPr>
          <w:p w14:paraId="5D43D026" w14:textId="77777777" w:rsidR="00703680" w:rsidRPr="00D050C7" w:rsidRDefault="00703680" w:rsidP="00703680">
            <w:pPr>
              <w:jc w:val="center"/>
              <w:rPr>
                <w:b/>
                <w:bCs/>
                <w:color w:val="000000"/>
              </w:rPr>
            </w:pPr>
            <w:r w:rsidRPr="00D050C7">
              <w:rPr>
                <w:b/>
                <w:bCs/>
                <w:color w:val="000000"/>
              </w:rPr>
              <w:t xml:space="preserve">30 мин </w:t>
            </w:r>
          </w:p>
        </w:tc>
        <w:tc>
          <w:tcPr>
            <w:tcW w:w="1418" w:type="dxa"/>
            <w:shd w:val="clear" w:color="auto" w:fill="D9D9D9" w:themeFill="background1" w:themeFillShade="D9"/>
            <w:vAlign w:val="center"/>
          </w:tcPr>
          <w:p w14:paraId="0D95284F" w14:textId="77777777" w:rsidR="00703680" w:rsidRPr="00D050C7" w:rsidRDefault="00703680" w:rsidP="00703680">
            <w:pPr>
              <w:jc w:val="center"/>
              <w:rPr>
                <w:b/>
                <w:bCs/>
                <w:color w:val="000000"/>
              </w:rPr>
            </w:pPr>
            <w:r w:rsidRPr="00D050C7">
              <w:rPr>
                <w:b/>
                <w:bCs/>
                <w:color w:val="000000"/>
              </w:rPr>
              <w:t>45 мин</w:t>
            </w:r>
          </w:p>
        </w:tc>
      </w:tr>
      <w:tr w:rsidR="00703680" w:rsidRPr="00703680" w14:paraId="74DAD2C4" w14:textId="77777777" w:rsidTr="00762053">
        <w:trPr>
          <w:trHeight w:val="260"/>
        </w:trPr>
        <w:tc>
          <w:tcPr>
            <w:tcW w:w="1665" w:type="dxa"/>
            <w:vAlign w:val="center"/>
          </w:tcPr>
          <w:p w14:paraId="3AE6F9F3" w14:textId="77777777" w:rsidR="00703680" w:rsidRPr="00D050C7" w:rsidRDefault="00703680" w:rsidP="00703680">
            <w:pPr>
              <w:tabs>
                <w:tab w:val="left" w:pos="927"/>
              </w:tabs>
              <w:jc w:val="center"/>
            </w:pPr>
            <w:r w:rsidRPr="00D050C7">
              <w:t>F теор.</w:t>
            </w:r>
          </w:p>
        </w:tc>
        <w:tc>
          <w:tcPr>
            <w:tcW w:w="1449" w:type="dxa"/>
            <w:vAlign w:val="center"/>
          </w:tcPr>
          <w:p w14:paraId="4A0FA017" w14:textId="77777777" w:rsidR="00703680" w:rsidRPr="00D050C7" w:rsidRDefault="00703680" w:rsidP="00703680">
            <w:pPr>
              <w:jc w:val="center"/>
              <w:rPr>
                <w:bCs/>
                <w:color w:val="000000"/>
              </w:rPr>
            </w:pPr>
            <w:r w:rsidRPr="00D050C7">
              <w:rPr>
                <w:bCs/>
                <w:color w:val="000000"/>
              </w:rPr>
              <w:t>2,98</w:t>
            </w:r>
          </w:p>
        </w:tc>
        <w:tc>
          <w:tcPr>
            <w:tcW w:w="1701" w:type="dxa"/>
            <w:vAlign w:val="center"/>
          </w:tcPr>
          <w:p w14:paraId="547D70C4" w14:textId="77777777" w:rsidR="00703680" w:rsidRPr="00D050C7" w:rsidRDefault="00703680" w:rsidP="00703680">
            <w:pPr>
              <w:jc w:val="center"/>
              <w:rPr>
                <w:bCs/>
                <w:color w:val="000000"/>
              </w:rPr>
            </w:pPr>
            <w:r w:rsidRPr="00D050C7">
              <w:rPr>
                <w:bCs/>
                <w:color w:val="000000"/>
              </w:rPr>
              <w:t>2,98</w:t>
            </w:r>
          </w:p>
        </w:tc>
        <w:tc>
          <w:tcPr>
            <w:tcW w:w="1559" w:type="dxa"/>
            <w:vAlign w:val="center"/>
          </w:tcPr>
          <w:p w14:paraId="6B5BE3F2" w14:textId="77777777" w:rsidR="00703680" w:rsidRPr="00D050C7" w:rsidRDefault="00703680" w:rsidP="00703680">
            <w:pPr>
              <w:jc w:val="center"/>
              <w:rPr>
                <w:bCs/>
                <w:color w:val="000000"/>
              </w:rPr>
            </w:pPr>
            <w:r w:rsidRPr="00D050C7">
              <w:rPr>
                <w:bCs/>
                <w:color w:val="000000"/>
              </w:rPr>
              <w:t>2,98</w:t>
            </w:r>
          </w:p>
        </w:tc>
        <w:tc>
          <w:tcPr>
            <w:tcW w:w="1559" w:type="dxa"/>
            <w:vAlign w:val="center"/>
          </w:tcPr>
          <w:p w14:paraId="3F44A576" w14:textId="77777777" w:rsidR="00703680" w:rsidRPr="00D050C7" w:rsidRDefault="00703680" w:rsidP="00703680">
            <w:pPr>
              <w:jc w:val="center"/>
              <w:rPr>
                <w:bCs/>
                <w:color w:val="000000"/>
              </w:rPr>
            </w:pPr>
            <w:r w:rsidRPr="00D050C7">
              <w:rPr>
                <w:bCs/>
                <w:color w:val="000000"/>
              </w:rPr>
              <w:t>2,98</w:t>
            </w:r>
          </w:p>
        </w:tc>
        <w:tc>
          <w:tcPr>
            <w:tcW w:w="1418" w:type="dxa"/>
            <w:vAlign w:val="center"/>
          </w:tcPr>
          <w:p w14:paraId="478C8518" w14:textId="77777777" w:rsidR="00703680" w:rsidRPr="00D050C7" w:rsidRDefault="00703680" w:rsidP="00703680">
            <w:pPr>
              <w:jc w:val="center"/>
              <w:rPr>
                <w:bCs/>
                <w:color w:val="000000"/>
              </w:rPr>
            </w:pPr>
            <w:r w:rsidRPr="00D050C7">
              <w:rPr>
                <w:bCs/>
                <w:color w:val="000000"/>
              </w:rPr>
              <w:t>2,98</w:t>
            </w:r>
          </w:p>
        </w:tc>
      </w:tr>
      <w:tr w:rsidR="00703680" w:rsidRPr="00703680" w14:paraId="6E8FBB6E" w14:textId="77777777" w:rsidTr="00762053">
        <w:trPr>
          <w:trHeight w:val="263"/>
        </w:trPr>
        <w:tc>
          <w:tcPr>
            <w:tcW w:w="1665" w:type="dxa"/>
            <w:vAlign w:val="center"/>
          </w:tcPr>
          <w:p w14:paraId="09D49C5F" w14:textId="77777777" w:rsidR="00703680" w:rsidRPr="00D050C7" w:rsidRDefault="00703680" w:rsidP="00703680">
            <w:pPr>
              <w:tabs>
                <w:tab w:val="left" w:pos="927"/>
              </w:tabs>
              <w:jc w:val="center"/>
              <w:rPr>
                <w:bCs/>
              </w:rPr>
            </w:pPr>
            <w:r w:rsidRPr="00D050C7">
              <w:t>F эксп.</w:t>
            </w:r>
          </w:p>
        </w:tc>
        <w:tc>
          <w:tcPr>
            <w:tcW w:w="1449" w:type="dxa"/>
            <w:vAlign w:val="center"/>
          </w:tcPr>
          <w:p w14:paraId="3C7FA308" w14:textId="77777777" w:rsidR="00703680" w:rsidRPr="00D050C7" w:rsidRDefault="00703680" w:rsidP="00703680">
            <w:pPr>
              <w:jc w:val="center"/>
              <w:rPr>
                <w:bCs/>
                <w:color w:val="000000"/>
              </w:rPr>
            </w:pPr>
            <w:r w:rsidRPr="00D050C7">
              <w:rPr>
                <w:color w:val="000000"/>
              </w:rPr>
              <w:t>2,88</w:t>
            </w:r>
          </w:p>
        </w:tc>
        <w:tc>
          <w:tcPr>
            <w:tcW w:w="1701" w:type="dxa"/>
            <w:vAlign w:val="center"/>
          </w:tcPr>
          <w:p w14:paraId="079E3E6E" w14:textId="77777777" w:rsidR="00703680" w:rsidRPr="00D050C7" w:rsidRDefault="00703680" w:rsidP="00703680">
            <w:pPr>
              <w:jc w:val="center"/>
              <w:rPr>
                <w:bCs/>
                <w:color w:val="000000"/>
              </w:rPr>
            </w:pPr>
            <w:r w:rsidRPr="00D050C7">
              <w:rPr>
                <w:color w:val="000000"/>
              </w:rPr>
              <w:t>1,52</w:t>
            </w:r>
          </w:p>
        </w:tc>
        <w:tc>
          <w:tcPr>
            <w:tcW w:w="1559" w:type="dxa"/>
            <w:vAlign w:val="center"/>
          </w:tcPr>
          <w:p w14:paraId="5CCDB13D" w14:textId="77777777" w:rsidR="00703680" w:rsidRPr="00D050C7" w:rsidRDefault="00703680" w:rsidP="00703680">
            <w:pPr>
              <w:jc w:val="center"/>
              <w:rPr>
                <w:bCs/>
                <w:color w:val="000000"/>
              </w:rPr>
            </w:pPr>
            <w:r w:rsidRPr="00D050C7">
              <w:rPr>
                <w:color w:val="000000"/>
              </w:rPr>
              <w:t>2,87</w:t>
            </w:r>
          </w:p>
        </w:tc>
        <w:tc>
          <w:tcPr>
            <w:tcW w:w="1559" w:type="dxa"/>
            <w:vAlign w:val="center"/>
          </w:tcPr>
          <w:p w14:paraId="5A15629A" w14:textId="77777777" w:rsidR="00703680" w:rsidRPr="00D050C7" w:rsidRDefault="00703680" w:rsidP="00703680">
            <w:pPr>
              <w:jc w:val="center"/>
              <w:rPr>
                <w:bCs/>
                <w:color w:val="000000"/>
              </w:rPr>
            </w:pPr>
            <w:r w:rsidRPr="00D050C7">
              <w:rPr>
                <w:color w:val="000000"/>
              </w:rPr>
              <w:t>2,90</w:t>
            </w:r>
          </w:p>
        </w:tc>
        <w:tc>
          <w:tcPr>
            <w:tcW w:w="1418" w:type="dxa"/>
            <w:vAlign w:val="center"/>
          </w:tcPr>
          <w:p w14:paraId="017487F0" w14:textId="77777777" w:rsidR="00703680" w:rsidRPr="00D050C7" w:rsidRDefault="00703680" w:rsidP="00703680">
            <w:pPr>
              <w:jc w:val="center"/>
              <w:rPr>
                <w:bCs/>
                <w:color w:val="000000"/>
              </w:rPr>
            </w:pPr>
            <w:r w:rsidRPr="00D050C7">
              <w:rPr>
                <w:color w:val="000000"/>
              </w:rPr>
              <w:t>2,88</w:t>
            </w:r>
          </w:p>
        </w:tc>
      </w:tr>
      <w:tr w:rsidR="00703680" w:rsidRPr="00703680" w14:paraId="2BB459B1" w14:textId="77777777" w:rsidTr="00E93B67">
        <w:trPr>
          <w:trHeight w:val="524"/>
        </w:trPr>
        <w:tc>
          <w:tcPr>
            <w:tcW w:w="1665" w:type="dxa"/>
            <w:vAlign w:val="center"/>
          </w:tcPr>
          <w:p w14:paraId="1B16627A" w14:textId="77777777" w:rsidR="00703680" w:rsidRPr="00D050C7" w:rsidRDefault="00703680" w:rsidP="00703680">
            <w:pPr>
              <w:tabs>
                <w:tab w:val="left" w:pos="927"/>
              </w:tabs>
              <w:rPr>
                <w:bCs/>
              </w:rPr>
            </w:pPr>
            <w:r w:rsidRPr="00D050C7">
              <w:t>Критерий: F</w:t>
            </w:r>
            <w:r w:rsidRPr="00D050C7">
              <w:rPr>
                <w:vertAlign w:val="subscript"/>
              </w:rPr>
              <w:t>эксп.</w:t>
            </w:r>
            <w:r w:rsidRPr="00D050C7">
              <w:t xml:space="preserve"> &lt; F</w:t>
            </w:r>
            <w:r w:rsidRPr="00D050C7">
              <w:rPr>
                <w:vertAlign w:val="subscript"/>
              </w:rPr>
              <w:t>теор.</w:t>
            </w:r>
          </w:p>
        </w:tc>
        <w:tc>
          <w:tcPr>
            <w:tcW w:w="1449" w:type="dxa"/>
            <w:vAlign w:val="center"/>
          </w:tcPr>
          <w:p w14:paraId="44CC968C" w14:textId="77777777" w:rsidR="00703680" w:rsidRPr="00D050C7" w:rsidRDefault="00703680" w:rsidP="00703680">
            <w:pPr>
              <w:jc w:val="center"/>
              <w:rPr>
                <w:color w:val="000000"/>
              </w:rPr>
            </w:pPr>
            <w:r w:rsidRPr="00D050C7">
              <w:rPr>
                <w:color w:val="000000"/>
              </w:rPr>
              <w:t>соотв.</w:t>
            </w:r>
          </w:p>
        </w:tc>
        <w:tc>
          <w:tcPr>
            <w:tcW w:w="1701" w:type="dxa"/>
            <w:vAlign w:val="center"/>
          </w:tcPr>
          <w:p w14:paraId="77B8437C" w14:textId="77777777" w:rsidR="00703680" w:rsidRPr="00D050C7" w:rsidRDefault="00703680" w:rsidP="00703680">
            <w:pPr>
              <w:jc w:val="center"/>
              <w:rPr>
                <w:color w:val="000000"/>
              </w:rPr>
            </w:pPr>
            <w:r w:rsidRPr="00D050C7">
              <w:rPr>
                <w:color w:val="000000"/>
              </w:rPr>
              <w:t>соотв.</w:t>
            </w:r>
          </w:p>
        </w:tc>
        <w:tc>
          <w:tcPr>
            <w:tcW w:w="1559" w:type="dxa"/>
            <w:vAlign w:val="center"/>
          </w:tcPr>
          <w:p w14:paraId="7301E8F3" w14:textId="77777777" w:rsidR="00703680" w:rsidRPr="00D050C7" w:rsidRDefault="00703680" w:rsidP="00703680">
            <w:pPr>
              <w:jc w:val="center"/>
              <w:rPr>
                <w:color w:val="000000"/>
              </w:rPr>
            </w:pPr>
            <w:r w:rsidRPr="00D050C7">
              <w:rPr>
                <w:color w:val="000000"/>
              </w:rPr>
              <w:t>соотв.</w:t>
            </w:r>
          </w:p>
        </w:tc>
        <w:tc>
          <w:tcPr>
            <w:tcW w:w="1559" w:type="dxa"/>
            <w:vAlign w:val="center"/>
          </w:tcPr>
          <w:p w14:paraId="2B52AAB0" w14:textId="77777777" w:rsidR="00703680" w:rsidRPr="00D050C7" w:rsidRDefault="00703680" w:rsidP="00703680">
            <w:pPr>
              <w:jc w:val="center"/>
              <w:rPr>
                <w:color w:val="000000"/>
              </w:rPr>
            </w:pPr>
            <w:r w:rsidRPr="00D050C7">
              <w:rPr>
                <w:color w:val="000000"/>
              </w:rPr>
              <w:t>соотв.</w:t>
            </w:r>
          </w:p>
        </w:tc>
        <w:tc>
          <w:tcPr>
            <w:tcW w:w="1418" w:type="dxa"/>
            <w:vAlign w:val="center"/>
          </w:tcPr>
          <w:p w14:paraId="1D6AF7E2" w14:textId="77777777" w:rsidR="00703680" w:rsidRPr="00D050C7" w:rsidRDefault="00703680" w:rsidP="00703680">
            <w:pPr>
              <w:jc w:val="center"/>
              <w:rPr>
                <w:color w:val="000000"/>
              </w:rPr>
            </w:pPr>
            <w:r w:rsidRPr="00D050C7">
              <w:rPr>
                <w:color w:val="000000"/>
              </w:rPr>
              <w:t>соотв.</w:t>
            </w:r>
          </w:p>
        </w:tc>
      </w:tr>
    </w:tbl>
    <w:p w14:paraId="2B7C53F2" w14:textId="12CDC2D3" w:rsidR="00703680" w:rsidRPr="00D050C7" w:rsidRDefault="00703680" w:rsidP="00E93B67">
      <w:pPr>
        <w:rPr>
          <w:i/>
          <w:highlight w:val="yellow"/>
        </w:rPr>
      </w:pPr>
    </w:p>
    <w:p w14:paraId="1DC9991A" w14:textId="3121FF8F" w:rsidR="00703680" w:rsidRPr="00D050C7" w:rsidRDefault="00703680" w:rsidP="00D050C7">
      <w:pPr>
        <w:rPr>
          <w:iCs/>
        </w:rPr>
      </w:pPr>
      <w:r w:rsidRPr="003E68EC">
        <w:rPr>
          <w:b/>
        </w:rPr>
        <w:t>Таблица 2-</w:t>
      </w:r>
      <w:r w:rsidRPr="00D050C7">
        <w:rPr>
          <w:b/>
        </w:rPr>
        <w:t>7</w:t>
      </w:r>
      <w:r w:rsidRPr="003E68EC">
        <w:rPr>
          <w:b/>
        </w:rPr>
        <w:t>.</w:t>
      </w:r>
      <w:r w:rsidRPr="003E68EC">
        <w:t xml:space="preserve"> </w:t>
      </w:r>
      <w:r w:rsidRPr="00D050C7">
        <w:rPr>
          <w:iCs/>
        </w:rPr>
        <w:t>Сравнение средних значений двух выборок по критерию Стьюдента</w:t>
      </w:r>
      <w:r w:rsidR="00884D56">
        <w:rPr>
          <w:iCs/>
        </w:rPr>
        <w:t>.</w:t>
      </w:r>
    </w:p>
    <w:tbl>
      <w:tblPr>
        <w:tblStyle w:val="34"/>
        <w:tblW w:w="9351" w:type="dxa"/>
        <w:tblLook w:val="04A0" w:firstRow="1" w:lastRow="0" w:firstColumn="1" w:lastColumn="0" w:noHBand="0" w:noVBand="1"/>
      </w:tblPr>
      <w:tblGrid>
        <w:gridCol w:w="1660"/>
        <w:gridCol w:w="1454"/>
        <w:gridCol w:w="1701"/>
        <w:gridCol w:w="1559"/>
        <w:gridCol w:w="1559"/>
        <w:gridCol w:w="1418"/>
      </w:tblGrid>
      <w:tr w:rsidR="00703680" w:rsidRPr="00703680" w14:paraId="4ABA1DBA" w14:textId="77777777" w:rsidTr="00762053">
        <w:trPr>
          <w:trHeight w:val="270"/>
        </w:trPr>
        <w:tc>
          <w:tcPr>
            <w:tcW w:w="9351" w:type="dxa"/>
            <w:gridSpan w:val="6"/>
            <w:shd w:val="clear" w:color="auto" w:fill="D9D9D9" w:themeFill="background1" w:themeFillShade="D9"/>
            <w:vAlign w:val="center"/>
          </w:tcPr>
          <w:p w14:paraId="5A0346A5" w14:textId="77777777" w:rsidR="00703680" w:rsidRPr="00D050C7" w:rsidRDefault="00703680" w:rsidP="00703680">
            <w:pPr>
              <w:tabs>
                <w:tab w:val="left" w:pos="927"/>
              </w:tabs>
              <w:jc w:val="center"/>
              <w:rPr>
                <w:bCs/>
              </w:rPr>
            </w:pPr>
            <w:r w:rsidRPr="00D050C7">
              <w:rPr>
                <w:b/>
              </w:rPr>
              <w:t>Сравнение средних значений двух выборок</w:t>
            </w:r>
          </w:p>
        </w:tc>
      </w:tr>
      <w:tr w:rsidR="00703680" w:rsidRPr="00703680" w14:paraId="2B98DF00" w14:textId="77777777" w:rsidTr="00762053">
        <w:trPr>
          <w:trHeight w:val="130"/>
        </w:trPr>
        <w:tc>
          <w:tcPr>
            <w:tcW w:w="1660" w:type="dxa"/>
            <w:vAlign w:val="center"/>
          </w:tcPr>
          <w:p w14:paraId="61135716" w14:textId="77777777" w:rsidR="00703680" w:rsidRPr="00D050C7" w:rsidRDefault="00703680" w:rsidP="00703680">
            <w:pPr>
              <w:tabs>
                <w:tab w:val="left" w:pos="927"/>
              </w:tabs>
              <w:jc w:val="center"/>
              <w:rPr>
                <w:bCs/>
              </w:rPr>
            </w:pPr>
            <w:r w:rsidRPr="00D050C7">
              <w:t>t теор.</w:t>
            </w:r>
          </w:p>
        </w:tc>
        <w:tc>
          <w:tcPr>
            <w:tcW w:w="1454" w:type="dxa"/>
            <w:tcBorders>
              <w:top w:val="nil"/>
              <w:left w:val="nil"/>
              <w:bottom w:val="single" w:sz="8" w:space="0" w:color="000000"/>
              <w:right w:val="single" w:sz="8" w:space="0" w:color="000000"/>
            </w:tcBorders>
            <w:shd w:val="clear" w:color="auto" w:fill="auto"/>
            <w:vAlign w:val="center"/>
          </w:tcPr>
          <w:p w14:paraId="3E00E41F" w14:textId="77777777" w:rsidR="00703680" w:rsidRPr="00D050C7" w:rsidRDefault="00703680" w:rsidP="00703680">
            <w:pPr>
              <w:jc w:val="center"/>
              <w:rPr>
                <w:bCs/>
                <w:color w:val="000000"/>
              </w:rPr>
            </w:pPr>
            <w:r w:rsidRPr="00D050C7">
              <w:rPr>
                <w:bCs/>
                <w:color w:val="000000"/>
              </w:rPr>
              <w:t>1,72</w:t>
            </w:r>
          </w:p>
        </w:tc>
        <w:tc>
          <w:tcPr>
            <w:tcW w:w="1701" w:type="dxa"/>
            <w:tcBorders>
              <w:top w:val="nil"/>
              <w:left w:val="nil"/>
              <w:bottom w:val="single" w:sz="8" w:space="0" w:color="000000"/>
              <w:right w:val="single" w:sz="8" w:space="0" w:color="000000"/>
            </w:tcBorders>
            <w:shd w:val="clear" w:color="auto" w:fill="auto"/>
            <w:vAlign w:val="center"/>
          </w:tcPr>
          <w:p w14:paraId="433C6023" w14:textId="77777777" w:rsidR="00703680" w:rsidRPr="00D050C7" w:rsidRDefault="00703680" w:rsidP="00703680">
            <w:pPr>
              <w:jc w:val="center"/>
              <w:rPr>
                <w:bCs/>
                <w:color w:val="000000"/>
              </w:rPr>
            </w:pPr>
            <w:r w:rsidRPr="00D050C7">
              <w:rPr>
                <w:bCs/>
                <w:color w:val="000000"/>
              </w:rPr>
              <w:t>1,72</w:t>
            </w:r>
          </w:p>
        </w:tc>
        <w:tc>
          <w:tcPr>
            <w:tcW w:w="1559" w:type="dxa"/>
            <w:tcBorders>
              <w:top w:val="nil"/>
              <w:left w:val="nil"/>
              <w:bottom w:val="single" w:sz="8" w:space="0" w:color="000000"/>
              <w:right w:val="single" w:sz="8" w:space="0" w:color="000000"/>
            </w:tcBorders>
            <w:shd w:val="clear" w:color="auto" w:fill="auto"/>
            <w:vAlign w:val="center"/>
          </w:tcPr>
          <w:p w14:paraId="7E41079C" w14:textId="77777777" w:rsidR="00703680" w:rsidRPr="00D050C7" w:rsidRDefault="00703680" w:rsidP="00703680">
            <w:pPr>
              <w:jc w:val="center"/>
              <w:rPr>
                <w:bCs/>
                <w:color w:val="000000"/>
              </w:rPr>
            </w:pPr>
            <w:r w:rsidRPr="00D050C7">
              <w:rPr>
                <w:bCs/>
                <w:color w:val="000000"/>
              </w:rPr>
              <w:t>1,72</w:t>
            </w:r>
          </w:p>
        </w:tc>
        <w:tc>
          <w:tcPr>
            <w:tcW w:w="1559" w:type="dxa"/>
            <w:tcBorders>
              <w:top w:val="nil"/>
              <w:left w:val="nil"/>
              <w:bottom w:val="single" w:sz="8" w:space="0" w:color="000000"/>
              <w:right w:val="single" w:sz="8" w:space="0" w:color="000000"/>
            </w:tcBorders>
            <w:shd w:val="clear" w:color="auto" w:fill="auto"/>
            <w:vAlign w:val="center"/>
          </w:tcPr>
          <w:p w14:paraId="1FCDF744" w14:textId="77777777" w:rsidR="00703680" w:rsidRPr="00D050C7" w:rsidRDefault="00703680" w:rsidP="00703680">
            <w:pPr>
              <w:jc w:val="center"/>
              <w:rPr>
                <w:bCs/>
                <w:color w:val="000000"/>
              </w:rPr>
            </w:pPr>
            <w:r w:rsidRPr="00D050C7">
              <w:rPr>
                <w:bCs/>
                <w:color w:val="000000"/>
              </w:rPr>
              <w:t>1,72</w:t>
            </w:r>
          </w:p>
        </w:tc>
        <w:tc>
          <w:tcPr>
            <w:tcW w:w="1418" w:type="dxa"/>
            <w:tcBorders>
              <w:top w:val="nil"/>
              <w:left w:val="nil"/>
              <w:bottom w:val="single" w:sz="8" w:space="0" w:color="000000"/>
              <w:right w:val="single" w:sz="8" w:space="0" w:color="000000"/>
            </w:tcBorders>
            <w:shd w:val="clear" w:color="auto" w:fill="auto"/>
            <w:vAlign w:val="center"/>
          </w:tcPr>
          <w:p w14:paraId="3B93AE77" w14:textId="77777777" w:rsidR="00703680" w:rsidRPr="00D050C7" w:rsidRDefault="00703680" w:rsidP="00703680">
            <w:pPr>
              <w:jc w:val="center"/>
              <w:rPr>
                <w:bCs/>
                <w:color w:val="000000"/>
              </w:rPr>
            </w:pPr>
            <w:r w:rsidRPr="00D050C7">
              <w:rPr>
                <w:bCs/>
                <w:color w:val="000000"/>
              </w:rPr>
              <w:t>1,72</w:t>
            </w:r>
          </w:p>
        </w:tc>
      </w:tr>
      <w:tr w:rsidR="00703680" w:rsidRPr="00703680" w14:paraId="4738AEFB" w14:textId="77777777" w:rsidTr="00762053">
        <w:trPr>
          <w:trHeight w:val="123"/>
        </w:trPr>
        <w:tc>
          <w:tcPr>
            <w:tcW w:w="1660" w:type="dxa"/>
            <w:vAlign w:val="center"/>
          </w:tcPr>
          <w:p w14:paraId="22AFDFB0" w14:textId="77777777" w:rsidR="00703680" w:rsidRPr="00D050C7" w:rsidRDefault="00703680" w:rsidP="00703680">
            <w:pPr>
              <w:tabs>
                <w:tab w:val="left" w:pos="927"/>
              </w:tabs>
              <w:jc w:val="center"/>
              <w:rPr>
                <w:bCs/>
              </w:rPr>
            </w:pPr>
            <w:r w:rsidRPr="00D050C7">
              <w:rPr>
                <w:bCs/>
              </w:rPr>
              <w:t>t эксп.</w:t>
            </w:r>
          </w:p>
        </w:tc>
        <w:tc>
          <w:tcPr>
            <w:tcW w:w="1454" w:type="dxa"/>
            <w:tcBorders>
              <w:top w:val="nil"/>
              <w:left w:val="nil"/>
              <w:bottom w:val="single" w:sz="8" w:space="0" w:color="000000"/>
              <w:right w:val="single" w:sz="8" w:space="0" w:color="000000"/>
            </w:tcBorders>
            <w:shd w:val="clear" w:color="auto" w:fill="auto"/>
            <w:vAlign w:val="center"/>
          </w:tcPr>
          <w:p w14:paraId="502530DD" w14:textId="47750557" w:rsidR="00703680" w:rsidRPr="00D050C7" w:rsidRDefault="00703680" w:rsidP="00703680">
            <w:pPr>
              <w:jc w:val="center"/>
              <w:rPr>
                <w:bCs/>
                <w:color w:val="000000"/>
              </w:rPr>
            </w:pPr>
            <w:r w:rsidRPr="00D050C7">
              <w:rPr>
                <w:bCs/>
                <w:color w:val="000000"/>
              </w:rPr>
              <w:t>1,09</w:t>
            </w:r>
          </w:p>
        </w:tc>
        <w:tc>
          <w:tcPr>
            <w:tcW w:w="1701" w:type="dxa"/>
            <w:tcBorders>
              <w:top w:val="nil"/>
              <w:left w:val="nil"/>
              <w:bottom w:val="single" w:sz="8" w:space="0" w:color="000000"/>
              <w:right w:val="single" w:sz="8" w:space="0" w:color="000000"/>
            </w:tcBorders>
            <w:shd w:val="clear" w:color="auto" w:fill="auto"/>
            <w:vAlign w:val="center"/>
          </w:tcPr>
          <w:p w14:paraId="3DD06487" w14:textId="77777777" w:rsidR="00703680" w:rsidRPr="00D050C7" w:rsidRDefault="00703680" w:rsidP="00703680">
            <w:pPr>
              <w:jc w:val="center"/>
              <w:rPr>
                <w:bCs/>
                <w:color w:val="000000"/>
              </w:rPr>
            </w:pPr>
            <w:r w:rsidRPr="00D050C7">
              <w:rPr>
                <w:bCs/>
                <w:color w:val="000000"/>
              </w:rPr>
              <w:t>0,43</w:t>
            </w:r>
          </w:p>
        </w:tc>
        <w:tc>
          <w:tcPr>
            <w:tcW w:w="1559" w:type="dxa"/>
            <w:tcBorders>
              <w:top w:val="nil"/>
              <w:left w:val="nil"/>
              <w:bottom w:val="single" w:sz="8" w:space="0" w:color="000000"/>
              <w:right w:val="single" w:sz="8" w:space="0" w:color="000000"/>
            </w:tcBorders>
            <w:shd w:val="clear" w:color="auto" w:fill="auto"/>
            <w:vAlign w:val="center"/>
          </w:tcPr>
          <w:p w14:paraId="7EAD6B80" w14:textId="77777777" w:rsidR="00703680" w:rsidRPr="00D050C7" w:rsidRDefault="00703680" w:rsidP="00703680">
            <w:pPr>
              <w:jc w:val="center"/>
              <w:rPr>
                <w:bCs/>
                <w:color w:val="000000"/>
              </w:rPr>
            </w:pPr>
            <w:r w:rsidRPr="00D050C7">
              <w:rPr>
                <w:bCs/>
                <w:color w:val="000000"/>
              </w:rPr>
              <w:t>0,52</w:t>
            </w:r>
          </w:p>
        </w:tc>
        <w:tc>
          <w:tcPr>
            <w:tcW w:w="1559" w:type="dxa"/>
            <w:tcBorders>
              <w:top w:val="nil"/>
              <w:left w:val="nil"/>
              <w:bottom w:val="single" w:sz="8" w:space="0" w:color="000000"/>
              <w:right w:val="single" w:sz="8" w:space="0" w:color="000000"/>
            </w:tcBorders>
            <w:shd w:val="clear" w:color="auto" w:fill="auto"/>
            <w:vAlign w:val="center"/>
          </w:tcPr>
          <w:p w14:paraId="5E02133F" w14:textId="77777777" w:rsidR="00703680" w:rsidRPr="00D050C7" w:rsidRDefault="00703680" w:rsidP="00703680">
            <w:pPr>
              <w:jc w:val="center"/>
              <w:rPr>
                <w:bCs/>
                <w:color w:val="000000"/>
              </w:rPr>
            </w:pPr>
            <w:r w:rsidRPr="00D050C7">
              <w:rPr>
                <w:bCs/>
                <w:color w:val="000000"/>
              </w:rPr>
              <w:t>0,29</w:t>
            </w:r>
          </w:p>
        </w:tc>
        <w:tc>
          <w:tcPr>
            <w:tcW w:w="1418" w:type="dxa"/>
            <w:tcBorders>
              <w:top w:val="nil"/>
              <w:left w:val="nil"/>
              <w:bottom w:val="single" w:sz="8" w:space="0" w:color="000000"/>
              <w:right w:val="single" w:sz="8" w:space="0" w:color="000000"/>
            </w:tcBorders>
            <w:shd w:val="clear" w:color="auto" w:fill="auto"/>
            <w:vAlign w:val="center"/>
          </w:tcPr>
          <w:p w14:paraId="10A93A92" w14:textId="77777777" w:rsidR="00703680" w:rsidRPr="00D050C7" w:rsidRDefault="00703680" w:rsidP="00703680">
            <w:pPr>
              <w:jc w:val="center"/>
              <w:rPr>
                <w:bCs/>
                <w:color w:val="000000"/>
                <w:lang w:val="en-US"/>
              </w:rPr>
            </w:pPr>
            <w:r w:rsidRPr="00D050C7">
              <w:rPr>
                <w:bCs/>
                <w:color w:val="000000"/>
              </w:rPr>
              <w:t>0,0</w:t>
            </w:r>
            <w:r w:rsidRPr="00D050C7">
              <w:rPr>
                <w:bCs/>
                <w:color w:val="000000"/>
                <w:lang w:val="en-US"/>
              </w:rPr>
              <w:t>3</w:t>
            </w:r>
          </w:p>
        </w:tc>
      </w:tr>
      <w:tr w:rsidR="00703680" w:rsidRPr="00703680" w14:paraId="34E6C66B" w14:textId="77777777" w:rsidTr="00884D56">
        <w:trPr>
          <w:trHeight w:val="530"/>
        </w:trPr>
        <w:tc>
          <w:tcPr>
            <w:tcW w:w="1660" w:type="dxa"/>
            <w:vAlign w:val="center"/>
          </w:tcPr>
          <w:p w14:paraId="649DB902" w14:textId="77777777" w:rsidR="00703680" w:rsidRPr="00D050C7" w:rsidRDefault="00703680" w:rsidP="00703680">
            <w:pPr>
              <w:tabs>
                <w:tab w:val="left" w:pos="927"/>
              </w:tabs>
              <w:jc w:val="center"/>
              <w:rPr>
                <w:b/>
                <w:bCs/>
              </w:rPr>
            </w:pPr>
            <w:r w:rsidRPr="00D050C7">
              <w:t>Критерий: t</w:t>
            </w:r>
            <w:r w:rsidRPr="00D050C7">
              <w:rPr>
                <w:vertAlign w:val="subscript"/>
              </w:rPr>
              <w:t>эксп.</w:t>
            </w:r>
            <w:r w:rsidRPr="00D050C7">
              <w:t xml:space="preserve"> &lt; t</w:t>
            </w:r>
            <w:r w:rsidRPr="00D050C7">
              <w:rPr>
                <w:vertAlign w:val="subscript"/>
              </w:rPr>
              <w:t>теор.</w:t>
            </w:r>
          </w:p>
        </w:tc>
        <w:tc>
          <w:tcPr>
            <w:tcW w:w="1454" w:type="dxa"/>
            <w:tcBorders>
              <w:top w:val="nil"/>
              <w:left w:val="nil"/>
              <w:bottom w:val="single" w:sz="8" w:space="0" w:color="000000"/>
              <w:right w:val="single" w:sz="8" w:space="0" w:color="000000"/>
            </w:tcBorders>
            <w:shd w:val="clear" w:color="auto" w:fill="auto"/>
            <w:vAlign w:val="center"/>
          </w:tcPr>
          <w:p w14:paraId="11CF7C2A" w14:textId="042640EC" w:rsidR="00703680" w:rsidRPr="00D050C7" w:rsidRDefault="00703680" w:rsidP="00703680">
            <w:pPr>
              <w:jc w:val="center"/>
              <w:rPr>
                <w:color w:val="000000"/>
              </w:rPr>
            </w:pPr>
            <w:r w:rsidRPr="00D050C7">
              <w:rPr>
                <w:color w:val="000000"/>
              </w:rPr>
              <w:t>соотв.</w:t>
            </w:r>
          </w:p>
        </w:tc>
        <w:tc>
          <w:tcPr>
            <w:tcW w:w="1701" w:type="dxa"/>
            <w:tcBorders>
              <w:top w:val="nil"/>
              <w:left w:val="nil"/>
              <w:bottom w:val="single" w:sz="8" w:space="0" w:color="000000"/>
              <w:right w:val="single" w:sz="8" w:space="0" w:color="000000"/>
            </w:tcBorders>
            <w:shd w:val="clear" w:color="auto" w:fill="auto"/>
            <w:vAlign w:val="center"/>
          </w:tcPr>
          <w:p w14:paraId="5FDB0317" w14:textId="77777777" w:rsidR="00703680" w:rsidRPr="00D050C7" w:rsidRDefault="00703680" w:rsidP="00703680">
            <w:pPr>
              <w:jc w:val="center"/>
              <w:rPr>
                <w:color w:val="000000"/>
              </w:rPr>
            </w:pPr>
            <w:r w:rsidRPr="00D050C7">
              <w:rPr>
                <w:color w:val="000000"/>
              </w:rPr>
              <w:t>соотв.</w:t>
            </w:r>
          </w:p>
        </w:tc>
        <w:tc>
          <w:tcPr>
            <w:tcW w:w="1559" w:type="dxa"/>
            <w:tcBorders>
              <w:top w:val="nil"/>
              <w:left w:val="nil"/>
              <w:bottom w:val="single" w:sz="8" w:space="0" w:color="000000"/>
              <w:right w:val="single" w:sz="8" w:space="0" w:color="000000"/>
            </w:tcBorders>
            <w:shd w:val="clear" w:color="auto" w:fill="auto"/>
            <w:vAlign w:val="center"/>
          </w:tcPr>
          <w:p w14:paraId="70126D28" w14:textId="77777777" w:rsidR="00703680" w:rsidRPr="00D050C7" w:rsidRDefault="00703680" w:rsidP="00703680">
            <w:pPr>
              <w:jc w:val="center"/>
              <w:rPr>
                <w:color w:val="000000"/>
              </w:rPr>
            </w:pPr>
            <w:r w:rsidRPr="00D050C7">
              <w:rPr>
                <w:color w:val="000000"/>
              </w:rPr>
              <w:t>соотв.</w:t>
            </w:r>
          </w:p>
        </w:tc>
        <w:tc>
          <w:tcPr>
            <w:tcW w:w="1559" w:type="dxa"/>
            <w:tcBorders>
              <w:top w:val="nil"/>
              <w:left w:val="nil"/>
              <w:bottom w:val="single" w:sz="8" w:space="0" w:color="000000"/>
              <w:right w:val="single" w:sz="8" w:space="0" w:color="000000"/>
            </w:tcBorders>
            <w:shd w:val="clear" w:color="auto" w:fill="auto"/>
            <w:vAlign w:val="center"/>
          </w:tcPr>
          <w:p w14:paraId="0DF295A4" w14:textId="77777777" w:rsidR="00703680" w:rsidRPr="00D050C7" w:rsidRDefault="00703680" w:rsidP="00703680">
            <w:pPr>
              <w:jc w:val="center"/>
              <w:rPr>
                <w:color w:val="000000"/>
              </w:rPr>
            </w:pPr>
            <w:r w:rsidRPr="00D050C7">
              <w:rPr>
                <w:color w:val="000000"/>
              </w:rPr>
              <w:t>соотв.</w:t>
            </w:r>
          </w:p>
        </w:tc>
        <w:tc>
          <w:tcPr>
            <w:tcW w:w="1418" w:type="dxa"/>
            <w:tcBorders>
              <w:top w:val="nil"/>
              <w:left w:val="nil"/>
              <w:bottom w:val="single" w:sz="8" w:space="0" w:color="000000"/>
              <w:right w:val="single" w:sz="8" w:space="0" w:color="000000"/>
            </w:tcBorders>
            <w:shd w:val="clear" w:color="auto" w:fill="auto"/>
            <w:vAlign w:val="center"/>
          </w:tcPr>
          <w:p w14:paraId="2E635CAB" w14:textId="77777777" w:rsidR="00703680" w:rsidRPr="00D050C7" w:rsidRDefault="00703680" w:rsidP="00703680">
            <w:pPr>
              <w:jc w:val="center"/>
              <w:rPr>
                <w:color w:val="000000"/>
              </w:rPr>
            </w:pPr>
            <w:r w:rsidRPr="00D050C7">
              <w:rPr>
                <w:color w:val="000000"/>
              </w:rPr>
              <w:t>соотв.</w:t>
            </w:r>
          </w:p>
        </w:tc>
      </w:tr>
    </w:tbl>
    <w:p w14:paraId="1456B67D" w14:textId="6752C52D" w:rsidR="00703680" w:rsidRPr="00D050C7" w:rsidRDefault="00703680" w:rsidP="00D050C7">
      <w:pPr>
        <w:pStyle w:val="aff"/>
        <w:spacing w:after="0"/>
        <w:ind w:firstLine="709"/>
        <w:jc w:val="center"/>
        <w:rPr>
          <w:rFonts w:eastAsiaTheme="minorHAnsi"/>
          <w:i/>
          <w:highlight w:val="yellow"/>
          <w:lang w:eastAsia="en-US"/>
        </w:rPr>
      </w:pPr>
    </w:p>
    <w:p w14:paraId="5DA3950D" w14:textId="59411EC8" w:rsidR="00703680" w:rsidRDefault="00703680" w:rsidP="00790286">
      <w:pPr>
        <w:pStyle w:val="aff"/>
        <w:spacing w:after="0"/>
        <w:ind w:firstLine="709"/>
        <w:rPr>
          <w:rFonts w:eastAsiaTheme="minorHAnsi"/>
          <w:lang w:eastAsia="en-US"/>
        </w:rPr>
      </w:pPr>
      <w:r w:rsidRPr="00D050C7">
        <w:rPr>
          <w:rFonts w:eastAsiaTheme="minorHAnsi"/>
          <w:bCs/>
          <w:lang w:eastAsia="en-US"/>
        </w:rPr>
        <w:t>Критерий Фишера и последующий тест Стьюдента с учетом критерия Фишера выполнялся для всех временных точек</w:t>
      </w:r>
      <w:r w:rsidRPr="00703680">
        <w:rPr>
          <w:rFonts w:eastAsiaTheme="minorHAnsi"/>
          <w:bCs/>
          <w:lang w:eastAsia="en-US"/>
        </w:rPr>
        <w:t>.</w:t>
      </w:r>
      <w:r w:rsidRPr="00703680">
        <w:rPr>
          <w:rFonts w:eastAsiaTheme="minorHAnsi"/>
          <w:lang w:eastAsia="en-US"/>
        </w:rPr>
        <w:t xml:space="preserve"> </w:t>
      </w:r>
      <w:r w:rsidR="00790286">
        <w:rPr>
          <w:rFonts w:eastAsiaTheme="minorHAnsi"/>
          <w:lang w:eastAsia="en-US"/>
        </w:rPr>
        <w:t xml:space="preserve">Соответственно, кинетика растворения исследуемого препарата </w:t>
      </w:r>
      <w:r w:rsidR="00790286">
        <w:rPr>
          <w:rFonts w:eastAsiaTheme="minorHAnsi"/>
          <w:lang w:val="en-US" w:eastAsia="en-US"/>
        </w:rPr>
        <w:t>DT</w:t>
      </w:r>
      <w:r w:rsidR="00790286" w:rsidRPr="00790286">
        <w:rPr>
          <w:rFonts w:eastAsiaTheme="minorHAnsi"/>
          <w:lang w:eastAsia="en-US"/>
        </w:rPr>
        <w:t>-</w:t>
      </w:r>
      <w:r w:rsidR="00790286">
        <w:rPr>
          <w:rFonts w:eastAsiaTheme="minorHAnsi"/>
          <w:lang w:val="en-US" w:eastAsia="en-US"/>
        </w:rPr>
        <w:t>LNV</w:t>
      </w:r>
      <w:r w:rsidR="00790286" w:rsidRPr="00790286">
        <w:rPr>
          <w:rFonts w:eastAsiaTheme="minorHAnsi"/>
          <w:lang w:eastAsia="en-US"/>
        </w:rPr>
        <w:t xml:space="preserve"> </w:t>
      </w:r>
      <w:r w:rsidR="00790286">
        <w:rPr>
          <w:rFonts w:eastAsiaTheme="minorHAnsi"/>
          <w:lang w:eastAsia="en-US"/>
        </w:rPr>
        <w:t>эквивалентна кинетике растворения оригинального препарата Ленвима</w:t>
      </w:r>
      <w:r w:rsidR="00790286" w:rsidRPr="00790286">
        <w:rPr>
          <w:rFonts w:eastAsiaTheme="minorHAnsi"/>
          <w:vertAlign w:val="superscript"/>
          <w:lang w:eastAsia="en-US"/>
        </w:rPr>
        <w:t>®</w:t>
      </w:r>
      <w:r w:rsidR="00790286">
        <w:rPr>
          <w:rFonts w:eastAsiaTheme="minorHAnsi"/>
          <w:lang w:eastAsia="en-US"/>
        </w:rPr>
        <w:t xml:space="preserve"> в среде </w:t>
      </w:r>
      <w:r w:rsidR="00790286" w:rsidRPr="00D050C7">
        <w:t>фосфатный буферный раствор рН 6,8</w:t>
      </w:r>
      <w:r w:rsidR="00790286" w:rsidRPr="00790286">
        <w:t>.</w:t>
      </w:r>
      <w:r w:rsidR="00790286">
        <w:t xml:space="preserve"> </w:t>
      </w:r>
    </w:p>
    <w:p w14:paraId="0FBA0516" w14:textId="1179E1FE" w:rsidR="00703680" w:rsidRDefault="00703680" w:rsidP="001742A1">
      <w:pPr>
        <w:pStyle w:val="aff"/>
        <w:spacing w:after="0"/>
        <w:ind w:firstLine="709"/>
        <w:rPr>
          <w:rFonts w:eastAsiaTheme="minorHAnsi"/>
          <w:lang w:eastAsia="en-US"/>
        </w:rPr>
      </w:pPr>
    </w:p>
    <w:p w14:paraId="0BDF7EF4" w14:textId="104F1B57" w:rsidR="00703680" w:rsidRPr="00790286" w:rsidRDefault="00703680" w:rsidP="00790286">
      <w:pPr>
        <w:pStyle w:val="aff"/>
        <w:spacing w:after="0"/>
      </w:pPr>
      <w:r>
        <w:rPr>
          <w:noProof/>
          <w:lang w:eastAsia="ru-RU"/>
        </w:rPr>
        <w:drawing>
          <wp:anchor distT="0" distB="0" distL="114300" distR="114300" simplePos="0" relativeHeight="251658240" behindDoc="0" locked="0" layoutInCell="1" allowOverlap="1" wp14:anchorId="34DAD2FD" wp14:editId="4E9F0C93">
            <wp:simplePos x="0" y="0"/>
            <wp:positionH relativeFrom="margin">
              <wp:align>left</wp:align>
            </wp:positionH>
            <wp:positionV relativeFrom="paragraph">
              <wp:posOffset>372110</wp:posOffset>
            </wp:positionV>
            <wp:extent cx="5928360" cy="2103120"/>
            <wp:effectExtent l="0" t="0" r="15240" b="11430"/>
            <wp:wrapTopAndBottom/>
            <wp:docPr id="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b/>
        </w:rPr>
        <w:t>Рисунок</w:t>
      </w:r>
      <w:r w:rsidRPr="003E68EC">
        <w:rPr>
          <w:b/>
        </w:rPr>
        <w:t xml:space="preserve"> 2-</w:t>
      </w:r>
      <w:r w:rsidR="00504969">
        <w:rPr>
          <w:b/>
        </w:rPr>
        <w:t>2</w:t>
      </w:r>
      <w:r w:rsidRPr="003E68EC">
        <w:rPr>
          <w:b/>
        </w:rPr>
        <w:t>.</w:t>
      </w:r>
      <w:r>
        <w:rPr>
          <w:b/>
        </w:rPr>
        <w:t xml:space="preserve"> </w:t>
      </w:r>
      <w:r w:rsidRPr="00D050C7">
        <w:rPr>
          <w:noProof/>
        </w:rPr>
        <w:t xml:space="preserve">Усредненные профили высвобождения </w:t>
      </w:r>
      <w:r w:rsidR="00790286">
        <w:rPr>
          <w:noProof/>
        </w:rPr>
        <w:t xml:space="preserve">действующего вещества из препаратов </w:t>
      </w:r>
      <w:r w:rsidR="00790286" w:rsidRPr="007A55CB">
        <w:rPr>
          <w:color w:val="000000" w:themeColor="text1"/>
          <w:lang w:val="en-US"/>
        </w:rPr>
        <w:t>DT</w:t>
      </w:r>
      <w:r w:rsidR="00790286" w:rsidRPr="007A55CB">
        <w:rPr>
          <w:color w:val="000000" w:themeColor="text1"/>
        </w:rPr>
        <w:t>-</w:t>
      </w:r>
      <w:r w:rsidR="00790286">
        <w:rPr>
          <w:lang w:val="en-US" w:eastAsia="ru-RU"/>
        </w:rPr>
        <w:t>LNV</w:t>
      </w:r>
      <w:r w:rsidR="00790286" w:rsidRPr="007A55CB">
        <w:rPr>
          <w:color w:val="000000" w:themeColor="text1"/>
        </w:rPr>
        <w:t xml:space="preserve"> </w:t>
      </w:r>
      <w:r w:rsidR="00790286" w:rsidRPr="00904040">
        <w:rPr>
          <w:color w:val="000000" w:themeColor="text1"/>
        </w:rPr>
        <w:t xml:space="preserve">и </w:t>
      </w:r>
      <w:r w:rsidR="00790286">
        <w:rPr>
          <w:lang w:eastAsia="ru-RU"/>
        </w:rPr>
        <w:t>Ленвима</w:t>
      </w:r>
      <w:r w:rsidR="00790286" w:rsidRPr="00904040">
        <w:rPr>
          <w:vertAlign w:val="superscript"/>
          <w:lang w:eastAsia="ru-RU"/>
        </w:rPr>
        <w:t>®</w:t>
      </w:r>
      <w:r w:rsidR="00790286" w:rsidRPr="00904040">
        <w:rPr>
          <w:lang w:eastAsia="ru-RU"/>
        </w:rPr>
        <w:t xml:space="preserve"> </w:t>
      </w:r>
      <w:r w:rsidRPr="00D050C7">
        <w:rPr>
          <w:noProof/>
        </w:rPr>
        <w:t xml:space="preserve">в </w:t>
      </w:r>
      <w:r w:rsidRPr="00D050C7">
        <w:t>0,1 М растворе хлороводородной кислоты</w:t>
      </w:r>
      <w:r w:rsidR="00790286" w:rsidRPr="00790286">
        <w:t>.</w:t>
      </w:r>
    </w:p>
    <w:p w14:paraId="75C598ED" w14:textId="4F3F66D5" w:rsidR="00703680" w:rsidRDefault="00703680" w:rsidP="00790286">
      <w:pPr>
        <w:pStyle w:val="aff"/>
        <w:spacing w:after="0"/>
        <w:rPr>
          <w:b/>
        </w:rPr>
      </w:pPr>
    </w:p>
    <w:p w14:paraId="24938A57" w14:textId="4A87FE6B" w:rsidR="00703680" w:rsidRPr="00790286" w:rsidRDefault="005F593D" w:rsidP="00790286">
      <w:pPr>
        <w:pStyle w:val="aff"/>
        <w:spacing w:after="0"/>
      </w:pPr>
      <w:r>
        <w:rPr>
          <w:noProof/>
          <w:lang w:eastAsia="ru-RU"/>
        </w:rPr>
        <w:drawing>
          <wp:anchor distT="0" distB="0" distL="114300" distR="114300" simplePos="0" relativeHeight="251659264" behindDoc="0" locked="0" layoutInCell="1" allowOverlap="1" wp14:anchorId="24F39167" wp14:editId="7105A29A">
            <wp:simplePos x="0" y="0"/>
            <wp:positionH relativeFrom="margin">
              <wp:align>left</wp:align>
            </wp:positionH>
            <wp:positionV relativeFrom="paragraph">
              <wp:posOffset>400050</wp:posOffset>
            </wp:positionV>
            <wp:extent cx="5935980" cy="1958340"/>
            <wp:effectExtent l="0" t="0" r="7620" b="3810"/>
            <wp:wrapTopAndBottom/>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3680">
        <w:rPr>
          <w:b/>
        </w:rPr>
        <w:t>Рисунок</w:t>
      </w:r>
      <w:r w:rsidR="00703680" w:rsidRPr="003E68EC">
        <w:rPr>
          <w:b/>
        </w:rPr>
        <w:t xml:space="preserve"> 2-</w:t>
      </w:r>
      <w:r w:rsidR="00504969">
        <w:rPr>
          <w:b/>
        </w:rPr>
        <w:t>3</w:t>
      </w:r>
      <w:r w:rsidR="00703680" w:rsidRPr="003E68EC">
        <w:rPr>
          <w:b/>
        </w:rPr>
        <w:t>.</w:t>
      </w:r>
      <w:r w:rsidR="00703680">
        <w:rPr>
          <w:b/>
        </w:rPr>
        <w:t xml:space="preserve"> </w:t>
      </w:r>
      <w:r w:rsidR="00703680" w:rsidRPr="002B180A">
        <w:rPr>
          <w:noProof/>
        </w:rPr>
        <w:t>У</w:t>
      </w:r>
      <w:r w:rsidR="00703680" w:rsidRPr="00703680">
        <w:rPr>
          <w:noProof/>
        </w:rPr>
        <w:t xml:space="preserve">средненные </w:t>
      </w:r>
      <w:r w:rsidR="00703680" w:rsidRPr="00D050C7">
        <w:rPr>
          <w:noProof/>
        </w:rPr>
        <w:t xml:space="preserve">профили высвобождения </w:t>
      </w:r>
      <w:r>
        <w:rPr>
          <w:noProof/>
        </w:rPr>
        <w:t xml:space="preserve">действующего вещества из препаратов </w:t>
      </w:r>
      <w:r w:rsidRPr="007A55CB">
        <w:rPr>
          <w:color w:val="000000" w:themeColor="text1"/>
          <w:lang w:val="en-US"/>
        </w:rPr>
        <w:t>DT</w:t>
      </w:r>
      <w:r w:rsidRPr="007A55CB">
        <w:rPr>
          <w:color w:val="000000" w:themeColor="text1"/>
        </w:rPr>
        <w:t>-</w:t>
      </w:r>
      <w:r>
        <w:rPr>
          <w:lang w:val="en-US" w:eastAsia="ru-RU"/>
        </w:rPr>
        <w:t>LNV</w:t>
      </w:r>
      <w:r w:rsidRPr="007A55CB">
        <w:rPr>
          <w:color w:val="000000" w:themeColor="text1"/>
        </w:rPr>
        <w:t xml:space="preserve"> </w:t>
      </w:r>
      <w:r w:rsidRPr="00904040">
        <w:rPr>
          <w:color w:val="000000" w:themeColor="text1"/>
        </w:rPr>
        <w:t xml:space="preserve">и </w:t>
      </w:r>
      <w:r>
        <w:rPr>
          <w:lang w:eastAsia="ru-RU"/>
        </w:rPr>
        <w:t>Ленвима</w:t>
      </w:r>
      <w:r w:rsidRPr="00904040">
        <w:rPr>
          <w:vertAlign w:val="superscript"/>
          <w:lang w:eastAsia="ru-RU"/>
        </w:rPr>
        <w:t>®</w:t>
      </w:r>
      <w:r w:rsidRPr="00904040">
        <w:rPr>
          <w:lang w:eastAsia="ru-RU"/>
        </w:rPr>
        <w:t xml:space="preserve"> </w:t>
      </w:r>
      <w:r w:rsidR="00703680" w:rsidRPr="00D050C7">
        <w:rPr>
          <w:noProof/>
        </w:rPr>
        <w:t xml:space="preserve">в </w:t>
      </w:r>
      <w:r w:rsidR="00703680" w:rsidRPr="00D050C7">
        <w:t>ацетатном буферном растворе рН 4,5</w:t>
      </w:r>
      <w:r w:rsidR="00790286" w:rsidRPr="00790286">
        <w:t>.</w:t>
      </w:r>
    </w:p>
    <w:p w14:paraId="31514C67" w14:textId="6E144853" w:rsidR="00703680" w:rsidRDefault="005F593D" w:rsidP="001742A1">
      <w:pPr>
        <w:pStyle w:val="aff"/>
        <w:spacing w:after="0"/>
      </w:pPr>
      <w:r>
        <w:rPr>
          <w:noProof/>
          <w:lang w:eastAsia="ru-RU"/>
        </w:rPr>
        <w:lastRenderedPageBreak/>
        <w:drawing>
          <wp:anchor distT="0" distB="0" distL="114300" distR="114300" simplePos="0" relativeHeight="251660288" behindDoc="0" locked="0" layoutInCell="1" allowOverlap="1" wp14:anchorId="2E1513DC" wp14:editId="5C0FE86C">
            <wp:simplePos x="0" y="0"/>
            <wp:positionH relativeFrom="margin">
              <wp:align>right</wp:align>
            </wp:positionH>
            <wp:positionV relativeFrom="paragraph">
              <wp:posOffset>356870</wp:posOffset>
            </wp:positionV>
            <wp:extent cx="5928360" cy="1889760"/>
            <wp:effectExtent l="0" t="0" r="15240" b="15240"/>
            <wp:wrapTopAndBottom/>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03680">
        <w:rPr>
          <w:b/>
        </w:rPr>
        <w:t>Рисунок</w:t>
      </w:r>
      <w:r w:rsidR="00703680" w:rsidRPr="003E68EC">
        <w:rPr>
          <w:b/>
        </w:rPr>
        <w:t xml:space="preserve"> 2-</w:t>
      </w:r>
      <w:r w:rsidR="00504969">
        <w:rPr>
          <w:b/>
        </w:rPr>
        <w:t>4</w:t>
      </w:r>
      <w:r w:rsidR="00703680" w:rsidRPr="003E68EC">
        <w:rPr>
          <w:b/>
        </w:rPr>
        <w:t>.</w:t>
      </w:r>
      <w:r w:rsidR="00703680">
        <w:rPr>
          <w:b/>
        </w:rPr>
        <w:t xml:space="preserve"> </w:t>
      </w:r>
      <w:r w:rsidR="00703680" w:rsidRPr="002B180A">
        <w:rPr>
          <w:noProof/>
        </w:rPr>
        <w:t>У</w:t>
      </w:r>
      <w:r w:rsidR="00703680" w:rsidRPr="00703680">
        <w:rPr>
          <w:noProof/>
        </w:rPr>
        <w:t xml:space="preserve">средненные </w:t>
      </w:r>
      <w:r w:rsidR="00703680" w:rsidRPr="002B180A">
        <w:rPr>
          <w:noProof/>
        </w:rPr>
        <w:t xml:space="preserve">профили высвобождения </w:t>
      </w:r>
      <w:r>
        <w:rPr>
          <w:noProof/>
        </w:rPr>
        <w:t xml:space="preserve">действующего вещества из препаратов </w:t>
      </w:r>
      <w:r w:rsidRPr="007A55CB">
        <w:rPr>
          <w:color w:val="000000" w:themeColor="text1"/>
          <w:lang w:val="en-US"/>
        </w:rPr>
        <w:t>DT</w:t>
      </w:r>
      <w:r w:rsidRPr="007A55CB">
        <w:rPr>
          <w:color w:val="000000" w:themeColor="text1"/>
        </w:rPr>
        <w:t>-</w:t>
      </w:r>
      <w:r>
        <w:rPr>
          <w:lang w:val="en-US" w:eastAsia="ru-RU"/>
        </w:rPr>
        <w:t>LNV</w:t>
      </w:r>
      <w:r w:rsidRPr="007A55CB">
        <w:rPr>
          <w:color w:val="000000" w:themeColor="text1"/>
        </w:rPr>
        <w:t xml:space="preserve"> </w:t>
      </w:r>
      <w:r w:rsidRPr="00904040">
        <w:rPr>
          <w:color w:val="000000" w:themeColor="text1"/>
        </w:rPr>
        <w:t xml:space="preserve">и </w:t>
      </w:r>
      <w:r>
        <w:rPr>
          <w:lang w:eastAsia="ru-RU"/>
        </w:rPr>
        <w:t>Ленвима</w:t>
      </w:r>
      <w:r w:rsidRPr="00904040">
        <w:rPr>
          <w:vertAlign w:val="superscript"/>
          <w:lang w:eastAsia="ru-RU"/>
        </w:rPr>
        <w:t>®</w:t>
      </w:r>
      <w:r w:rsidRPr="005F593D">
        <w:rPr>
          <w:vertAlign w:val="superscript"/>
          <w:lang w:eastAsia="ru-RU"/>
        </w:rPr>
        <w:t xml:space="preserve"> </w:t>
      </w:r>
      <w:r w:rsidR="00703680" w:rsidRPr="002B180A">
        <w:rPr>
          <w:noProof/>
        </w:rPr>
        <w:t xml:space="preserve">в </w:t>
      </w:r>
      <w:r w:rsidR="00703680" w:rsidRPr="00D050C7">
        <w:t>фосфатном буферном растворе рН 6,8</w:t>
      </w:r>
      <w:r w:rsidRPr="005F593D">
        <w:t>.</w:t>
      </w:r>
    </w:p>
    <w:p w14:paraId="03CC492E" w14:textId="36ED2E97" w:rsidR="00703680" w:rsidRDefault="00703680" w:rsidP="00D050C7">
      <w:pPr>
        <w:rPr>
          <w:bCs/>
          <w:color w:val="FF0000"/>
          <w:lang w:eastAsia="ru-RU"/>
        </w:rPr>
      </w:pPr>
    </w:p>
    <w:p w14:paraId="0C141E5F" w14:textId="33D4B1A1" w:rsidR="00703680" w:rsidRDefault="00703680" w:rsidP="00D050C7">
      <w:pPr>
        <w:suppressAutoHyphens/>
        <w:ind w:firstLine="709"/>
      </w:pPr>
      <w:r w:rsidRPr="00703680">
        <w:rPr>
          <w:spacing w:val="-6"/>
        </w:rPr>
        <w:t xml:space="preserve">По результатам исследования кинетика растворения лекарственных препаратов </w:t>
      </w:r>
      <w:r w:rsidRPr="00703680">
        <w:t>ЛЕНВАТИНИБ</w:t>
      </w:r>
      <w:r w:rsidR="00C87C41">
        <w:t>,</w:t>
      </w:r>
      <w:r w:rsidRPr="00703680">
        <w:t xml:space="preserve"> капсулы, 4 мг производства АО «ОРТАТ», Российская Федерация признана эквивалентной препарату Ленвима</w:t>
      </w:r>
      <w:r w:rsidR="0005153E" w:rsidRPr="0005153E">
        <w:rPr>
          <w:vertAlign w:val="superscript"/>
        </w:rPr>
        <w:t>®</w:t>
      </w:r>
      <w:r w:rsidR="00C87C41">
        <w:t>,</w:t>
      </w:r>
      <w:r w:rsidRPr="00703680">
        <w:t xml:space="preserve"> капсулы, 4 мг производства «Патеон Инк.», Канада для всех сред растворения.</w:t>
      </w:r>
    </w:p>
    <w:p w14:paraId="01AF30B4" w14:textId="77777777" w:rsidR="00E36A78" w:rsidRDefault="00E36A78" w:rsidP="00D050C7">
      <w:pPr>
        <w:suppressAutoHyphens/>
        <w:ind w:firstLine="709"/>
      </w:pPr>
    </w:p>
    <w:p w14:paraId="6BA0779C" w14:textId="6DAA70EF" w:rsidR="005F4BB6" w:rsidRPr="005F4BB6" w:rsidRDefault="005F4BB6" w:rsidP="005F4BB6">
      <w:pPr>
        <w:rPr>
          <w:b/>
          <w:bCs/>
          <w:lang w:eastAsia="ru-RU"/>
        </w:rPr>
      </w:pPr>
      <w:r w:rsidRPr="005F4BB6">
        <w:rPr>
          <w:b/>
          <w:bCs/>
          <w:lang w:eastAsia="ru-RU"/>
        </w:rPr>
        <w:t xml:space="preserve">Тест сравнительной кинетики растворения препарата </w:t>
      </w:r>
      <w:r w:rsidRPr="005F4BB6">
        <w:rPr>
          <w:b/>
          <w:bCs/>
          <w:lang w:val="en-US" w:eastAsia="ru-RU"/>
        </w:rPr>
        <w:t>D</w:t>
      </w:r>
      <w:r w:rsidRPr="005F4BB6">
        <w:rPr>
          <w:b/>
          <w:lang w:val="en-US"/>
        </w:rPr>
        <w:t>T</w:t>
      </w:r>
      <w:r w:rsidRPr="005F4BB6">
        <w:rPr>
          <w:b/>
        </w:rPr>
        <w:t>-</w:t>
      </w:r>
      <w:r w:rsidRPr="005F4BB6">
        <w:rPr>
          <w:b/>
          <w:lang w:val="en-US"/>
        </w:rPr>
        <w:t>LNV</w:t>
      </w:r>
      <w:r w:rsidRPr="005F4BB6">
        <w:rPr>
          <w:b/>
          <w:bCs/>
          <w:lang w:eastAsia="ru-RU"/>
        </w:rPr>
        <w:t xml:space="preserve"> в сравнении с препаратом Ленвима</w:t>
      </w:r>
      <w:r w:rsidRPr="005F4BB6">
        <w:rPr>
          <w:b/>
          <w:vertAlign w:val="superscript"/>
          <w:lang w:eastAsia="ru-RU"/>
        </w:rPr>
        <w:t xml:space="preserve">® </w:t>
      </w:r>
      <w:r w:rsidRPr="005F4BB6">
        <w:rPr>
          <w:b/>
          <w:lang w:eastAsia="ru-RU"/>
        </w:rPr>
        <w:t xml:space="preserve">для дозировки </w:t>
      </w:r>
      <w:r>
        <w:rPr>
          <w:b/>
          <w:lang w:eastAsia="ru-RU"/>
        </w:rPr>
        <w:t>10</w:t>
      </w:r>
      <w:r w:rsidRPr="005F4BB6">
        <w:rPr>
          <w:b/>
          <w:lang w:eastAsia="ru-RU"/>
        </w:rPr>
        <w:t xml:space="preserve"> мг</w:t>
      </w:r>
      <w:r>
        <w:rPr>
          <w:b/>
          <w:bCs/>
          <w:lang w:eastAsia="ru-RU"/>
        </w:rPr>
        <w:t xml:space="preserve"> </w:t>
      </w:r>
    </w:p>
    <w:p w14:paraId="3251C35A" w14:textId="77777777" w:rsidR="005F4BB6" w:rsidRDefault="005F4BB6" w:rsidP="00F0519A">
      <w:pPr>
        <w:ind w:firstLine="709"/>
        <w:rPr>
          <w:color w:val="000000" w:themeColor="text1"/>
        </w:rPr>
      </w:pPr>
    </w:p>
    <w:p w14:paraId="1F3A8A0B" w14:textId="6F15E54B" w:rsidR="009D6448" w:rsidRDefault="009D6448" w:rsidP="009D6448">
      <w:pPr>
        <w:ind w:firstLine="709"/>
        <w:rPr>
          <w:rFonts w:eastAsia="Calibri"/>
          <w:lang w:eastAsia="en-US"/>
        </w:rPr>
      </w:pPr>
      <w:r w:rsidRPr="003E68EC">
        <w:rPr>
          <w:color w:val="000000" w:themeColor="text1"/>
        </w:rPr>
        <w:t xml:space="preserve">Для доказательства эквивалентности препарата </w:t>
      </w:r>
      <w:r w:rsidRPr="002B180A">
        <w:rPr>
          <w:bCs/>
          <w:lang w:val="en-US" w:eastAsia="ru-RU"/>
        </w:rPr>
        <w:t>D</w:t>
      </w:r>
      <w:r w:rsidRPr="002B180A">
        <w:rPr>
          <w:lang w:val="en-US"/>
        </w:rPr>
        <w:t>T</w:t>
      </w:r>
      <w:r w:rsidRPr="002B180A">
        <w:t>-</w:t>
      </w:r>
      <w:r>
        <w:rPr>
          <w:lang w:val="en-US"/>
        </w:rPr>
        <w:t>LNV</w:t>
      </w:r>
      <w:r w:rsidRPr="003E68EC">
        <w:rPr>
          <w:color w:val="000000" w:themeColor="text1"/>
        </w:rPr>
        <w:t xml:space="preserve"> были проведены исследования сравнительной кинетики растворения в сравнении с референтным препаратом </w:t>
      </w:r>
      <w:r w:rsidRPr="002B180A">
        <w:rPr>
          <w:bCs/>
          <w:lang w:eastAsia="ru-RU"/>
        </w:rPr>
        <w:t>Ленвима</w:t>
      </w:r>
      <w:r w:rsidRPr="002B180A">
        <w:rPr>
          <w:vertAlign w:val="superscript"/>
          <w:lang w:eastAsia="ru-RU"/>
        </w:rPr>
        <w:t>®</w:t>
      </w:r>
      <w:r w:rsidRPr="002B180A">
        <w:rPr>
          <w:rFonts w:eastAsia="Calibri"/>
        </w:rPr>
        <w:t xml:space="preserve"> </w:t>
      </w:r>
      <w:r w:rsidRPr="002B180A">
        <w:t>(</w:t>
      </w:r>
      <w:r w:rsidRPr="002B180A">
        <w:rPr>
          <w:bCs/>
          <w:lang w:eastAsia="ru-RU"/>
        </w:rPr>
        <w:t>Эйсай Юроп Лимитед, Соединенное Королевство</w:t>
      </w:r>
      <w:r w:rsidRPr="002B180A">
        <w:t>)</w:t>
      </w:r>
      <w:r w:rsidRPr="00D050C7">
        <w:t xml:space="preserve"> </w:t>
      </w:r>
      <w:r w:rsidRPr="003E68EC">
        <w:rPr>
          <w:rFonts w:eastAsiaTheme="minorHAnsi"/>
          <w:color w:val="000000" w:themeColor="text1"/>
          <w:lang w:eastAsia="en-US"/>
        </w:rPr>
        <w:t xml:space="preserve">в дозировке </w:t>
      </w:r>
      <w:r>
        <w:rPr>
          <w:rFonts w:eastAsiaTheme="minorHAnsi"/>
          <w:color w:val="000000" w:themeColor="text1"/>
          <w:lang w:eastAsia="en-US"/>
        </w:rPr>
        <w:t>10</w:t>
      </w:r>
      <w:r w:rsidRPr="003E68EC">
        <w:rPr>
          <w:rFonts w:eastAsiaTheme="minorHAnsi"/>
          <w:color w:val="000000" w:themeColor="text1"/>
          <w:lang w:eastAsia="en-US"/>
        </w:rPr>
        <w:t xml:space="preserve"> мг. </w:t>
      </w:r>
      <w:r w:rsidRPr="003E68EC">
        <w:rPr>
          <w:rFonts w:eastAsia="Calibri"/>
          <w:lang w:eastAsia="en-US"/>
        </w:rPr>
        <w:t xml:space="preserve">Исследование проводили </w:t>
      </w:r>
      <w:r>
        <w:rPr>
          <w:rFonts w:eastAsia="Calibri"/>
          <w:lang w:eastAsia="en-US"/>
        </w:rPr>
        <w:t xml:space="preserve">на аппарате «Лопастная мешалка» при скорости вращения 50 об/мин при температуре </w:t>
      </w:r>
      <w:r w:rsidRPr="003E68EC">
        <w:rPr>
          <w:rFonts w:eastAsia="Calibri"/>
          <w:lang w:eastAsia="en-US"/>
        </w:rPr>
        <w:t xml:space="preserve">37 ± 0,5 </w:t>
      </w:r>
      <w:r w:rsidRPr="003E68EC">
        <w:rPr>
          <w:rFonts w:eastAsia="Calibri"/>
          <w:vertAlign w:val="superscript"/>
          <w:lang w:eastAsia="en-US"/>
        </w:rPr>
        <w:t>о</w:t>
      </w:r>
      <w:r w:rsidRPr="003E68EC">
        <w:rPr>
          <w:rFonts w:eastAsia="Calibri"/>
          <w:lang w:eastAsia="en-US"/>
        </w:rPr>
        <w:t>С</w:t>
      </w:r>
      <w:r>
        <w:rPr>
          <w:rFonts w:eastAsia="Calibri"/>
          <w:lang w:eastAsia="en-US"/>
        </w:rPr>
        <w:t>. Объем среды растворения – 900 мл. Испытания проводили с использованием трех сред растворения:</w:t>
      </w:r>
    </w:p>
    <w:p w14:paraId="23CE78ED" w14:textId="77777777" w:rsidR="009D6448" w:rsidRDefault="009D6448" w:rsidP="009D6448">
      <w:pPr>
        <w:pStyle w:val="af3"/>
        <w:numPr>
          <w:ilvl w:val="0"/>
          <w:numId w:val="43"/>
        </w:numPr>
        <w:rPr>
          <w:rFonts w:eastAsia="Calibri"/>
          <w:lang w:eastAsia="en-US"/>
        </w:rPr>
      </w:pPr>
      <w:r>
        <w:rPr>
          <w:rFonts w:eastAsia="Calibri"/>
          <w:lang w:eastAsia="en-US"/>
        </w:rPr>
        <w:t>0,1 М раствор хлороводородной кислоты</w:t>
      </w:r>
      <w:r w:rsidRPr="00D050C7">
        <w:rPr>
          <w:rFonts w:eastAsia="Calibri"/>
          <w:lang w:eastAsia="en-US"/>
        </w:rPr>
        <w:t xml:space="preserve"> </w:t>
      </w:r>
      <w:r>
        <w:rPr>
          <w:rFonts w:eastAsia="Calibri"/>
          <w:lang w:eastAsia="en-US"/>
        </w:rPr>
        <w:t>(среда по проекту НД).;</w:t>
      </w:r>
    </w:p>
    <w:p w14:paraId="4301E707" w14:textId="77777777" w:rsidR="009D6448" w:rsidRDefault="009D6448" w:rsidP="009D6448">
      <w:pPr>
        <w:pStyle w:val="af3"/>
        <w:numPr>
          <w:ilvl w:val="0"/>
          <w:numId w:val="43"/>
        </w:numPr>
        <w:rPr>
          <w:rFonts w:eastAsia="Calibri"/>
          <w:lang w:eastAsia="en-US"/>
        </w:rPr>
      </w:pPr>
      <w:r>
        <w:rPr>
          <w:rFonts w:eastAsia="Calibri"/>
          <w:lang w:eastAsia="en-US"/>
        </w:rPr>
        <w:t xml:space="preserve">Ацетатный буферный раствор с </w:t>
      </w:r>
      <w:r>
        <w:rPr>
          <w:rFonts w:eastAsia="Calibri"/>
          <w:lang w:val="en-GB" w:eastAsia="en-US"/>
        </w:rPr>
        <w:t>pH</w:t>
      </w:r>
      <w:r w:rsidRPr="00285388">
        <w:rPr>
          <w:rFonts w:eastAsia="Calibri"/>
          <w:lang w:eastAsia="en-US"/>
        </w:rPr>
        <w:t xml:space="preserve"> </w:t>
      </w:r>
      <w:r>
        <w:rPr>
          <w:rFonts w:eastAsia="Calibri"/>
          <w:lang w:eastAsia="en-US"/>
        </w:rPr>
        <w:t>4,5</w:t>
      </w:r>
    </w:p>
    <w:p w14:paraId="3B08C399" w14:textId="77777777" w:rsidR="009D6448" w:rsidRPr="00757496" w:rsidRDefault="009D6448" w:rsidP="009D6448">
      <w:pPr>
        <w:pStyle w:val="af3"/>
        <w:numPr>
          <w:ilvl w:val="0"/>
          <w:numId w:val="43"/>
        </w:numPr>
        <w:rPr>
          <w:rFonts w:eastAsia="Calibri"/>
          <w:lang w:eastAsia="en-US"/>
        </w:rPr>
      </w:pPr>
      <w:r>
        <w:rPr>
          <w:rFonts w:eastAsia="Calibri"/>
          <w:lang w:eastAsia="en-US"/>
        </w:rPr>
        <w:t xml:space="preserve">Фосфатный буферный раствор с </w:t>
      </w:r>
      <w:r>
        <w:rPr>
          <w:rFonts w:eastAsia="Calibri"/>
          <w:lang w:val="en-GB" w:eastAsia="en-US"/>
        </w:rPr>
        <w:t>pH</w:t>
      </w:r>
      <w:r w:rsidRPr="00285388">
        <w:rPr>
          <w:rFonts w:eastAsia="Calibri"/>
          <w:lang w:eastAsia="en-US"/>
        </w:rPr>
        <w:t xml:space="preserve"> 6</w:t>
      </w:r>
      <w:r>
        <w:rPr>
          <w:rFonts w:eastAsia="Calibri"/>
          <w:lang w:eastAsia="en-US"/>
        </w:rPr>
        <w:t xml:space="preserve">,8 </w:t>
      </w:r>
    </w:p>
    <w:p w14:paraId="5A448611" w14:textId="77777777" w:rsidR="009D6448" w:rsidRPr="00943E1B" w:rsidRDefault="009D6448" w:rsidP="009D6448">
      <w:pPr>
        <w:ind w:firstLine="709"/>
        <w:rPr>
          <w:rFonts w:eastAsia="Calibri"/>
          <w:lang w:eastAsia="en-US"/>
        </w:rPr>
      </w:pPr>
      <w:r w:rsidRPr="007D0F3E">
        <w:rPr>
          <w:rFonts w:eastAsia="Calibri"/>
          <w:lang w:eastAsia="en-US"/>
        </w:rPr>
        <w:t xml:space="preserve">Временные точки отбора проб: 10 мин, 15 мин, 20 мин, 30 мин и 45 мин. Количественное определение высвободившихся </w:t>
      </w:r>
      <w:r>
        <w:rPr>
          <w:rFonts w:eastAsia="Calibri"/>
          <w:lang w:eastAsia="en-US"/>
        </w:rPr>
        <w:t xml:space="preserve">ленватиниба </w:t>
      </w:r>
      <w:r w:rsidRPr="007D0F3E">
        <w:rPr>
          <w:rFonts w:eastAsia="Calibri"/>
          <w:lang w:eastAsia="en-US"/>
        </w:rPr>
        <w:t xml:space="preserve">проводили методом </w:t>
      </w:r>
      <w:r>
        <w:rPr>
          <w:rFonts w:eastAsia="Calibri"/>
          <w:lang w:eastAsia="en-US"/>
        </w:rPr>
        <w:t>УФ-спектрофотометрии</w:t>
      </w:r>
      <w:r w:rsidRPr="007D0F3E">
        <w:rPr>
          <w:rFonts w:eastAsia="Calibri"/>
          <w:lang w:eastAsia="en-US"/>
        </w:rPr>
        <w:t xml:space="preserve"> в соответствии с </w:t>
      </w:r>
      <w:r w:rsidRPr="00943E1B">
        <w:rPr>
          <w:rFonts w:eastAsia="Calibri"/>
          <w:lang w:eastAsia="en-US"/>
        </w:rPr>
        <w:t xml:space="preserve">требованиями ФЕАЭС </w:t>
      </w:r>
      <w:r w:rsidRPr="00943E1B">
        <w:rPr>
          <w:i/>
          <w:spacing w:val="-6"/>
        </w:rPr>
        <w:t>2.1.2.24 «Абсорбционная спектрофотометрия в ультрафиолетовой и видимой областях».</w:t>
      </w:r>
    </w:p>
    <w:p w14:paraId="37CAE083" w14:textId="4C0D757F" w:rsidR="00F0519A" w:rsidRDefault="009D6448" w:rsidP="009D6448">
      <w:pPr>
        <w:ind w:firstLine="851"/>
        <w:rPr>
          <w:color w:val="000000" w:themeColor="text1"/>
        </w:rPr>
      </w:pPr>
      <w:r w:rsidRPr="003E68EC">
        <w:rPr>
          <w:color w:val="000000" w:themeColor="text1"/>
        </w:rPr>
        <w:t xml:space="preserve">Результаты теста сравнительной кинетики растворения (ТСКР) </w:t>
      </w:r>
      <w:r>
        <w:rPr>
          <w:color w:val="000000" w:themeColor="text1"/>
        </w:rPr>
        <w:t xml:space="preserve">для дозировки 10 мг </w:t>
      </w:r>
      <w:r w:rsidRPr="003E68EC">
        <w:rPr>
          <w:color w:val="000000" w:themeColor="text1"/>
        </w:rPr>
        <w:t>приведены в таблиц</w:t>
      </w:r>
      <w:r>
        <w:rPr>
          <w:color w:val="000000" w:themeColor="text1"/>
        </w:rPr>
        <w:t>ах</w:t>
      </w:r>
      <w:r w:rsidRPr="003E68EC">
        <w:rPr>
          <w:color w:val="000000" w:themeColor="text1"/>
        </w:rPr>
        <w:t xml:space="preserve"> </w:t>
      </w:r>
      <w:r w:rsidR="00F0519A" w:rsidRPr="003E68EC">
        <w:rPr>
          <w:color w:val="000000" w:themeColor="text1"/>
        </w:rPr>
        <w:t>2-</w:t>
      </w:r>
      <w:r w:rsidR="00F0519A">
        <w:rPr>
          <w:color w:val="000000" w:themeColor="text1"/>
        </w:rPr>
        <w:t xml:space="preserve">8 </w:t>
      </w:r>
      <w:r w:rsidRPr="003E68EC">
        <w:rPr>
          <w:color w:val="000000" w:themeColor="text1"/>
        </w:rPr>
        <w:t>–</w:t>
      </w:r>
      <w:r w:rsidR="00F0519A">
        <w:rPr>
          <w:color w:val="000000" w:themeColor="text1"/>
        </w:rPr>
        <w:t xml:space="preserve"> 2-</w:t>
      </w:r>
      <w:r>
        <w:rPr>
          <w:color w:val="000000" w:themeColor="text1"/>
        </w:rPr>
        <w:t>12</w:t>
      </w:r>
      <w:r w:rsidR="00F0519A" w:rsidRPr="003E68EC">
        <w:rPr>
          <w:color w:val="000000" w:themeColor="text1"/>
        </w:rPr>
        <w:t xml:space="preserve"> и на рисунках 2-</w:t>
      </w:r>
      <w:r w:rsidR="00C87C41">
        <w:rPr>
          <w:color w:val="000000" w:themeColor="text1"/>
        </w:rPr>
        <w:t>6</w:t>
      </w:r>
      <w:r w:rsidR="00F0519A" w:rsidRPr="003E68EC">
        <w:rPr>
          <w:color w:val="000000" w:themeColor="text1"/>
        </w:rPr>
        <w:t xml:space="preserve"> – 2-</w:t>
      </w:r>
      <w:r w:rsidR="00C87C41">
        <w:rPr>
          <w:color w:val="000000" w:themeColor="text1"/>
        </w:rPr>
        <w:t>8</w:t>
      </w:r>
      <w:r w:rsidR="00F0519A" w:rsidRPr="003E68EC">
        <w:rPr>
          <w:color w:val="000000" w:themeColor="text1"/>
        </w:rPr>
        <w:t>.</w:t>
      </w:r>
    </w:p>
    <w:p w14:paraId="3EFE483B" w14:textId="77777777" w:rsidR="00281A13" w:rsidRDefault="00281A13" w:rsidP="00281A13">
      <w:pPr>
        <w:pStyle w:val="aff"/>
        <w:spacing w:after="0"/>
        <w:ind w:firstLine="709"/>
        <w:rPr>
          <w:bCs/>
        </w:rPr>
      </w:pPr>
      <w:r w:rsidRPr="002B180A">
        <w:rPr>
          <w:rFonts w:eastAsiaTheme="minorHAnsi"/>
          <w:lang w:eastAsia="en-US"/>
        </w:rPr>
        <w:t>Результаты исследования эквивалентности профилей в среде – фосфатный буферный раствор рН 6,8, не являются достоверными так как значения относительного стандартного отклонения (</w:t>
      </w:r>
      <w:r>
        <w:rPr>
          <w:rFonts w:eastAsiaTheme="minorHAnsi"/>
          <w:lang w:eastAsia="en-US"/>
        </w:rPr>
        <w:t>ОСР</w:t>
      </w:r>
      <w:r w:rsidRPr="002B180A">
        <w:rPr>
          <w:rFonts w:eastAsiaTheme="minorHAnsi"/>
          <w:lang w:eastAsia="en-US"/>
        </w:rPr>
        <w:t xml:space="preserve">, %) для референтного и исследуемого лекарственных препаратов не соответствуют </w:t>
      </w:r>
      <w:r w:rsidRPr="002B180A">
        <w:t xml:space="preserve">требованиям </w:t>
      </w:r>
      <w:r>
        <w:t>ЕАЭС</w:t>
      </w:r>
      <w:r w:rsidRPr="002B180A">
        <w:t>.</w:t>
      </w:r>
      <w:r>
        <w:t xml:space="preserve"> </w:t>
      </w:r>
      <w:r w:rsidRPr="002B180A">
        <w:rPr>
          <w:bCs/>
        </w:rPr>
        <w:t xml:space="preserve">Для сравнительных тестов кинетики растворения исследуемого лекарственного препарата и референтного препарата в среде фосфатный буферный раствор рН 6,8 была проведена статистическая оценка результатов кинетики растворения. Для каждой временной точки был проведен статистический анализ данных по критерию Фишера и критерию Стьюдента, так как применение фактора подобия </w:t>
      </w:r>
      <w:r w:rsidRPr="002B180A">
        <w:rPr>
          <w:bCs/>
          <w:i/>
          <w:lang w:val="en-US"/>
        </w:rPr>
        <w:t>f</w:t>
      </w:r>
      <w:r w:rsidRPr="002B180A">
        <w:rPr>
          <w:bCs/>
          <w:i/>
          <w:vertAlign w:val="subscript"/>
        </w:rPr>
        <w:t>2</w:t>
      </w:r>
      <w:r w:rsidRPr="002B180A">
        <w:rPr>
          <w:bCs/>
        </w:rPr>
        <w:t xml:space="preserve"> не приемлемо.</w:t>
      </w:r>
    </w:p>
    <w:p w14:paraId="67E3FDC3" w14:textId="77777777" w:rsidR="00281A13" w:rsidRDefault="00281A13" w:rsidP="00F0519A">
      <w:pPr>
        <w:rPr>
          <w:b/>
        </w:rPr>
      </w:pPr>
    </w:p>
    <w:p w14:paraId="1C1D898E" w14:textId="77777777" w:rsidR="00281A13" w:rsidRDefault="00281A13" w:rsidP="009D6448">
      <w:pPr>
        <w:rPr>
          <w:b/>
        </w:rPr>
        <w:sectPr w:rsidR="00281A13" w:rsidSect="00AB01E2">
          <w:pgSz w:w="11906" w:h="16838"/>
          <w:pgMar w:top="1134" w:right="849" w:bottom="1134" w:left="1701" w:header="708" w:footer="709" w:gutter="0"/>
          <w:cols w:space="708"/>
          <w:docGrid w:linePitch="360"/>
        </w:sectPr>
      </w:pPr>
    </w:p>
    <w:p w14:paraId="6BF2309C" w14:textId="31DD9157" w:rsidR="00F0519A" w:rsidRDefault="00F0519A" w:rsidP="00E36A78">
      <w:pPr>
        <w:rPr>
          <w:color w:val="000000" w:themeColor="text1"/>
        </w:rPr>
      </w:pPr>
      <w:r w:rsidRPr="003E68EC">
        <w:rPr>
          <w:b/>
        </w:rPr>
        <w:lastRenderedPageBreak/>
        <w:t>Таблица 2-</w:t>
      </w:r>
      <w:r>
        <w:rPr>
          <w:b/>
        </w:rPr>
        <w:t>8</w:t>
      </w:r>
      <w:r w:rsidRPr="003E68EC">
        <w:rPr>
          <w:b/>
        </w:rPr>
        <w:t>.</w:t>
      </w:r>
      <w:r w:rsidRPr="003E68EC">
        <w:t xml:space="preserve"> </w:t>
      </w:r>
      <w:r w:rsidRPr="003E68EC">
        <w:rPr>
          <w:color w:val="000000" w:themeColor="text1"/>
        </w:rPr>
        <w:t>Результаты теста сравнительной кинетики</w:t>
      </w:r>
      <w:r w:rsidRPr="002B180A">
        <w:rPr>
          <w:color w:val="000000" w:themeColor="text1"/>
        </w:rPr>
        <w:t xml:space="preserve"> </w:t>
      </w:r>
      <w:r w:rsidRPr="003E68EC">
        <w:rPr>
          <w:color w:val="000000" w:themeColor="text1"/>
        </w:rPr>
        <w:t xml:space="preserve">растворения препарата </w:t>
      </w:r>
      <w:r w:rsidRPr="002B180A">
        <w:rPr>
          <w:bCs/>
          <w:lang w:val="en-US" w:eastAsia="ru-RU"/>
        </w:rPr>
        <w:t>D</w:t>
      </w:r>
      <w:r w:rsidRPr="002B180A">
        <w:rPr>
          <w:lang w:val="en-US"/>
        </w:rPr>
        <w:t>T</w:t>
      </w:r>
      <w:r w:rsidRPr="002B180A">
        <w:t>-</w:t>
      </w:r>
      <w:r>
        <w:rPr>
          <w:lang w:val="en-US"/>
        </w:rPr>
        <w:t>LNV</w:t>
      </w:r>
      <w:r w:rsidRPr="003E68EC">
        <w:rPr>
          <w:color w:val="000000" w:themeColor="text1"/>
        </w:rPr>
        <w:t xml:space="preserve">, таблетки, </w:t>
      </w:r>
      <w:r w:rsidR="009D6448">
        <w:rPr>
          <w:color w:val="000000" w:themeColor="text1"/>
        </w:rPr>
        <w:t>10</w:t>
      </w:r>
      <w:r w:rsidRPr="003E68EC">
        <w:rPr>
          <w:color w:val="000000" w:themeColor="text1"/>
        </w:rPr>
        <w:t xml:space="preserve"> мг в сравнении с препаратом </w:t>
      </w:r>
      <w:r w:rsidRPr="002B180A">
        <w:rPr>
          <w:bCs/>
          <w:lang w:eastAsia="ru-RU"/>
        </w:rPr>
        <w:t>Ленвима</w:t>
      </w:r>
      <w:r w:rsidRPr="002B180A">
        <w:rPr>
          <w:vertAlign w:val="superscript"/>
          <w:lang w:eastAsia="ru-RU"/>
        </w:rPr>
        <w:t>®</w:t>
      </w:r>
      <w:r w:rsidR="009D6448">
        <w:rPr>
          <w:vertAlign w:val="superscript"/>
          <w:lang w:eastAsia="ru-RU"/>
        </w:rPr>
        <w:t xml:space="preserve"> </w:t>
      </w:r>
      <w:r>
        <w:rPr>
          <w:color w:val="000000" w:themeColor="text1"/>
        </w:rPr>
        <w:t>капсулы</w:t>
      </w:r>
      <w:r w:rsidRPr="003E68EC">
        <w:rPr>
          <w:color w:val="000000" w:themeColor="text1"/>
        </w:rPr>
        <w:t xml:space="preserve">, </w:t>
      </w:r>
      <w:r w:rsidR="009D6448">
        <w:rPr>
          <w:color w:val="000000" w:themeColor="text1"/>
        </w:rPr>
        <w:t>10</w:t>
      </w:r>
      <w:r>
        <w:rPr>
          <w:color w:val="000000" w:themeColor="text1"/>
        </w:rPr>
        <w:t xml:space="preserve"> </w:t>
      </w:r>
      <w:r w:rsidR="009D6448">
        <w:rPr>
          <w:color w:val="000000" w:themeColor="text1"/>
        </w:rPr>
        <w:t>мг.</w:t>
      </w:r>
    </w:p>
    <w:tbl>
      <w:tblPr>
        <w:tblW w:w="9346" w:type="dxa"/>
        <w:jc w:val="center"/>
        <w:tblLayout w:type="fixed"/>
        <w:tblLook w:val="04A0" w:firstRow="1" w:lastRow="0" w:firstColumn="1" w:lastColumn="0" w:noHBand="0" w:noVBand="1"/>
      </w:tblPr>
      <w:tblGrid>
        <w:gridCol w:w="3118"/>
        <w:gridCol w:w="993"/>
        <w:gridCol w:w="2835"/>
        <w:gridCol w:w="2400"/>
      </w:tblGrid>
      <w:tr w:rsidR="00F0519A" w:rsidRPr="00F0519A" w14:paraId="3EBDA578" w14:textId="77777777" w:rsidTr="009D6448">
        <w:trPr>
          <w:trHeight w:val="60"/>
          <w:jc w:val="center"/>
        </w:trPr>
        <w:tc>
          <w:tcPr>
            <w:tcW w:w="3118" w:type="dxa"/>
            <w:vMerge w:val="restart"/>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hideMark/>
          </w:tcPr>
          <w:p w14:paraId="24C84DE9" w14:textId="77777777" w:rsidR="00F0519A" w:rsidRPr="009D6448" w:rsidRDefault="00F0519A" w:rsidP="00D050C7">
            <w:pPr>
              <w:jc w:val="center"/>
              <w:rPr>
                <w:b/>
                <w:bCs/>
                <w:color w:val="000000"/>
              </w:rPr>
            </w:pPr>
            <w:r w:rsidRPr="009D6448">
              <w:rPr>
                <w:b/>
                <w:bCs/>
                <w:color w:val="000000"/>
              </w:rPr>
              <w:t>Среда</w:t>
            </w:r>
          </w:p>
          <w:p w14:paraId="3361B4F1" w14:textId="77777777" w:rsidR="00F0519A" w:rsidRPr="009D6448" w:rsidRDefault="00F0519A" w:rsidP="00D050C7">
            <w:pPr>
              <w:jc w:val="center"/>
              <w:rPr>
                <w:b/>
                <w:bCs/>
                <w:color w:val="000000"/>
              </w:rPr>
            </w:pPr>
            <w:r w:rsidRPr="009D6448">
              <w:rPr>
                <w:b/>
                <w:bCs/>
                <w:color w:val="000000"/>
              </w:rPr>
              <w:t>растворения</w:t>
            </w:r>
          </w:p>
        </w:tc>
        <w:tc>
          <w:tcPr>
            <w:tcW w:w="993" w:type="dxa"/>
            <w:vMerge w:val="restart"/>
            <w:tcBorders>
              <w:top w:val="single" w:sz="8" w:space="0" w:color="000000"/>
              <w:left w:val="single" w:sz="8" w:space="0" w:color="auto"/>
              <w:bottom w:val="single" w:sz="8" w:space="0" w:color="000000"/>
              <w:right w:val="single" w:sz="8" w:space="0" w:color="auto"/>
            </w:tcBorders>
            <w:shd w:val="clear" w:color="auto" w:fill="D9D9D9" w:themeFill="background1" w:themeFillShade="D9"/>
            <w:vAlign w:val="center"/>
            <w:hideMark/>
          </w:tcPr>
          <w:p w14:paraId="46675E76" w14:textId="77777777" w:rsidR="00F0519A" w:rsidRPr="009D6448" w:rsidRDefault="00F0519A" w:rsidP="00D050C7">
            <w:pPr>
              <w:ind w:left="-113" w:right="-113"/>
              <w:jc w:val="center"/>
              <w:rPr>
                <w:b/>
                <w:bCs/>
                <w:color w:val="000000"/>
              </w:rPr>
            </w:pPr>
            <w:r w:rsidRPr="009D6448">
              <w:rPr>
                <w:b/>
                <w:bCs/>
                <w:color w:val="000000"/>
              </w:rPr>
              <w:t>Время,</w:t>
            </w:r>
          </w:p>
          <w:p w14:paraId="069FB7B4" w14:textId="77777777" w:rsidR="00F0519A" w:rsidRPr="009D6448" w:rsidRDefault="00F0519A" w:rsidP="00D050C7">
            <w:pPr>
              <w:ind w:left="-113" w:right="-113"/>
              <w:jc w:val="center"/>
              <w:rPr>
                <w:b/>
                <w:bCs/>
                <w:color w:val="000000"/>
              </w:rPr>
            </w:pPr>
            <w:r w:rsidRPr="009D6448">
              <w:rPr>
                <w:b/>
                <w:bCs/>
                <w:color w:val="000000"/>
              </w:rPr>
              <w:t>мин</w:t>
            </w:r>
          </w:p>
        </w:tc>
        <w:tc>
          <w:tcPr>
            <w:tcW w:w="5235" w:type="dxa"/>
            <w:gridSpan w:val="2"/>
            <w:tcBorders>
              <w:top w:val="single" w:sz="8" w:space="0" w:color="000000"/>
              <w:left w:val="nil"/>
              <w:bottom w:val="single" w:sz="4" w:space="0" w:color="auto"/>
              <w:right w:val="single" w:sz="4" w:space="0" w:color="000000"/>
            </w:tcBorders>
            <w:shd w:val="clear" w:color="auto" w:fill="D9D9D9" w:themeFill="background1" w:themeFillShade="D9"/>
            <w:vAlign w:val="center"/>
            <w:hideMark/>
          </w:tcPr>
          <w:p w14:paraId="385717E8" w14:textId="77777777" w:rsidR="00F0519A" w:rsidRPr="009D6448" w:rsidRDefault="00F0519A" w:rsidP="00D050C7">
            <w:pPr>
              <w:jc w:val="center"/>
              <w:rPr>
                <w:b/>
                <w:bCs/>
                <w:color w:val="000000"/>
              </w:rPr>
            </w:pPr>
            <w:r w:rsidRPr="009D6448">
              <w:rPr>
                <w:b/>
                <w:bCs/>
                <w:color w:val="000000"/>
              </w:rPr>
              <w:t>Количество высвободившегося</w:t>
            </w:r>
          </w:p>
          <w:p w14:paraId="003CFCDF" w14:textId="77777777" w:rsidR="00F0519A" w:rsidRPr="009D6448" w:rsidRDefault="00F0519A" w:rsidP="00D050C7">
            <w:pPr>
              <w:jc w:val="center"/>
              <w:rPr>
                <w:b/>
                <w:bCs/>
                <w:color w:val="000000"/>
              </w:rPr>
            </w:pPr>
            <w:r w:rsidRPr="009D6448">
              <w:rPr>
                <w:b/>
                <w:bCs/>
                <w:color w:val="000000"/>
              </w:rPr>
              <w:t>активного ингредиента, %</w:t>
            </w:r>
          </w:p>
        </w:tc>
      </w:tr>
      <w:tr w:rsidR="00F0519A" w:rsidRPr="00F0519A" w14:paraId="7233A8D8" w14:textId="77777777" w:rsidTr="009D6448">
        <w:trPr>
          <w:trHeight w:val="836"/>
          <w:jc w:val="center"/>
        </w:trPr>
        <w:tc>
          <w:tcPr>
            <w:tcW w:w="3118" w:type="dxa"/>
            <w:vMerge/>
            <w:tcBorders>
              <w:top w:val="single" w:sz="8" w:space="0" w:color="000000"/>
              <w:left w:val="single" w:sz="8" w:space="0" w:color="000000"/>
              <w:bottom w:val="single" w:sz="8" w:space="0" w:color="000000"/>
              <w:right w:val="single" w:sz="8" w:space="0" w:color="auto"/>
            </w:tcBorders>
            <w:shd w:val="clear" w:color="auto" w:fill="D9D9D9" w:themeFill="background1" w:themeFillShade="D9"/>
            <w:vAlign w:val="center"/>
          </w:tcPr>
          <w:p w14:paraId="0C81B7C0" w14:textId="77777777" w:rsidR="00F0519A" w:rsidRPr="009D6448" w:rsidRDefault="00F0519A" w:rsidP="00D050C7">
            <w:pPr>
              <w:jc w:val="center"/>
              <w:rPr>
                <w:b/>
                <w:bCs/>
                <w:color w:val="000000"/>
              </w:rPr>
            </w:pPr>
          </w:p>
        </w:tc>
        <w:tc>
          <w:tcPr>
            <w:tcW w:w="993" w:type="dxa"/>
            <w:vMerge/>
            <w:tcBorders>
              <w:top w:val="single" w:sz="8" w:space="0" w:color="000000"/>
              <w:left w:val="single" w:sz="8" w:space="0" w:color="auto"/>
              <w:bottom w:val="single" w:sz="8" w:space="0" w:color="000000"/>
              <w:right w:val="single" w:sz="4" w:space="0" w:color="auto"/>
            </w:tcBorders>
            <w:shd w:val="clear" w:color="auto" w:fill="D9D9D9" w:themeFill="background1" w:themeFillShade="D9"/>
            <w:vAlign w:val="center"/>
          </w:tcPr>
          <w:p w14:paraId="677309BA" w14:textId="77777777" w:rsidR="00F0519A" w:rsidRPr="009D6448" w:rsidRDefault="00F0519A" w:rsidP="00D050C7">
            <w:pPr>
              <w:ind w:left="-113" w:right="-113"/>
              <w:jc w:val="center"/>
              <w:rPr>
                <w:b/>
                <w:bCs/>
                <w:color w:val="000000"/>
              </w:rPr>
            </w:pPr>
          </w:p>
        </w:tc>
        <w:tc>
          <w:tcPr>
            <w:tcW w:w="2835" w:type="dxa"/>
            <w:tcBorders>
              <w:top w:val="single" w:sz="4" w:space="0" w:color="auto"/>
              <w:left w:val="single" w:sz="4" w:space="0" w:color="auto"/>
              <w:bottom w:val="single" w:sz="4" w:space="0" w:color="auto"/>
              <w:right w:val="single" w:sz="4" w:space="0" w:color="000000"/>
            </w:tcBorders>
            <w:shd w:val="clear" w:color="auto" w:fill="D9D9D9" w:themeFill="background1" w:themeFillShade="D9"/>
            <w:vAlign w:val="center"/>
          </w:tcPr>
          <w:p w14:paraId="434921A0" w14:textId="486664CD" w:rsidR="00F0519A" w:rsidRPr="009D6448" w:rsidRDefault="00F0519A" w:rsidP="00D050C7">
            <w:pPr>
              <w:jc w:val="center"/>
              <w:rPr>
                <w:b/>
                <w:bCs/>
                <w:color w:val="000000"/>
              </w:rPr>
            </w:pPr>
            <w:r w:rsidRPr="009D6448">
              <w:rPr>
                <w:b/>
                <w:bCs/>
                <w:color w:val="000000"/>
              </w:rPr>
              <w:t>ЛЕНВАТИНИБ</w:t>
            </w:r>
            <w:r w:rsidR="009D6448">
              <w:rPr>
                <w:b/>
                <w:bCs/>
                <w:color w:val="000000"/>
              </w:rPr>
              <w:t>,</w:t>
            </w:r>
          </w:p>
          <w:p w14:paraId="679BD708" w14:textId="070E007C" w:rsidR="00F0519A" w:rsidRPr="009D6448" w:rsidRDefault="00F0519A" w:rsidP="00D050C7">
            <w:pPr>
              <w:jc w:val="center"/>
              <w:rPr>
                <w:b/>
                <w:bCs/>
                <w:color w:val="000000"/>
              </w:rPr>
            </w:pPr>
            <w:r w:rsidRPr="009D6448">
              <w:rPr>
                <w:b/>
                <w:bCs/>
                <w:color w:val="000000"/>
              </w:rPr>
              <w:t>капсулы</w:t>
            </w:r>
            <w:r w:rsidR="009D6448">
              <w:rPr>
                <w:b/>
                <w:bCs/>
                <w:color w:val="000000"/>
              </w:rPr>
              <w:t xml:space="preserve"> 10 мг,</w:t>
            </w:r>
          </w:p>
          <w:p w14:paraId="60953AED" w14:textId="77777777" w:rsidR="00F0519A" w:rsidRPr="009D6448" w:rsidRDefault="00F0519A" w:rsidP="00D050C7">
            <w:pPr>
              <w:jc w:val="center"/>
              <w:rPr>
                <w:b/>
                <w:bCs/>
                <w:color w:val="000000"/>
              </w:rPr>
            </w:pPr>
            <w:r w:rsidRPr="009D6448">
              <w:rPr>
                <w:b/>
              </w:rPr>
              <w:t>с. 011222</w:t>
            </w:r>
          </w:p>
        </w:tc>
        <w:tc>
          <w:tcPr>
            <w:tcW w:w="24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ACC7C8C" w14:textId="77777777" w:rsidR="009D6448" w:rsidRDefault="009D6448" w:rsidP="00D050C7">
            <w:pPr>
              <w:jc w:val="center"/>
              <w:rPr>
                <w:b/>
              </w:rPr>
            </w:pPr>
            <w:r>
              <w:rPr>
                <w:b/>
              </w:rPr>
              <w:t>Ленвима</w:t>
            </w:r>
            <w:r w:rsidRPr="009D6448">
              <w:rPr>
                <w:b/>
                <w:vertAlign w:val="superscript"/>
                <w:lang w:val="en-US"/>
              </w:rPr>
              <w:t>®</w:t>
            </w:r>
            <w:r>
              <w:rPr>
                <w:b/>
              </w:rPr>
              <w:t xml:space="preserve">, </w:t>
            </w:r>
          </w:p>
          <w:p w14:paraId="57FE4B32" w14:textId="77777777" w:rsidR="009D6448" w:rsidRDefault="009D6448" w:rsidP="00D050C7">
            <w:pPr>
              <w:jc w:val="center"/>
              <w:rPr>
                <w:b/>
              </w:rPr>
            </w:pPr>
            <w:r>
              <w:rPr>
                <w:b/>
              </w:rPr>
              <w:t>капсулы, 10 мг</w:t>
            </w:r>
            <w:r w:rsidR="00F0519A" w:rsidRPr="009D6448">
              <w:rPr>
                <w:b/>
              </w:rPr>
              <w:t xml:space="preserve">, </w:t>
            </w:r>
          </w:p>
          <w:p w14:paraId="58027AF3" w14:textId="36BF42AF" w:rsidR="00F0519A" w:rsidRPr="009D6448" w:rsidRDefault="00F0519A" w:rsidP="00D050C7">
            <w:pPr>
              <w:jc w:val="center"/>
              <w:rPr>
                <w:b/>
                <w:bCs/>
                <w:color w:val="000000"/>
              </w:rPr>
            </w:pPr>
            <w:r w:rsidRPr="009D6448">
              <w:rPr>
                <w:b/>
              </w:rPr>
              <w:t xml:space="preserve">с. </w:t>
            </w:r>
            <w:r w:rsidRPr="009D6448">
              <w:rPr>
                <w:rFonts w:eastAsiaTheme="minorHAnsi"/>
                <w:b/>
                <w:lang w:eastAsia="en-US"/>
              </w:rPr>
              <w:t>133838</w:t>
            </w:r>
          </w:p>
        </w:tc>
      </w:tr>
      <w:tr w:rsidR="00F0519A" w:rsidRPr="00F0519A" w14:paraId="49092AA7" w14:textId="77777777" w:rsidTr="009D6448">
        <w:trPr>
          <w:trHeight w:val="60"/>
          <w:jc w:val="center"/>
        </w:trPr>
        <w:tc>
          <w:tcPr>
            <w:tcW w:w="3118" w:type="dxa"/>
            <w:tcBorders>
              <w:top w:val="single" w:sz="8" w:space="0" w:color="000000"/>
              <w:left w:val="single" w:sz="8" w:space="0" w:color="000000"/>
              <w:bottom w:val="single" w:sz="8" w:space="0" w:color="000000"/>
              <w:right w:val="single" w:sz="8" w:space="0" w:color="auto"/>
            </w:tcBorders>
            <w:vAlign w:val="center"/>
          </w:tcPr>
          <w:p w14:paraId="42E16E3D" w14:textId="77777777" w:rsidR="00F0519A" w:rsidRPr="00D050C7" w:rsidRDefault="00F0519A" w:rsidP="00D050C7">
            <w:pPr>
              <w:jc w:val="center"/>
              <w:rPr>
                <w:color w:val="000000"/>
              </w:rPr>
            </w:pPr>
            <w:r w:rsidRPr="00D050C7">
              <w:t>0,1 М раствор хлороводородной кислоты (среда по проекту НД)</w:t>
            </w:r>
          </w:p>
        </w:tc>
        <w:tc>
          <w:tcPr>
            <w:tcW w:w="993" w:type="dxa"/>
            <w:tcBorders>
              <w:top w:val="single" w:sz="8" w:space="0" w:color="000000"/>
              <w:left w:val="single" w:sz="8" w:space="0" w:color="auto"/>
              <w:bottom w:val="single" w:sz="8" w:space="0" w:color="000000"/>
              <w:right w:val="single" w:sz="8" w:space="0" w:color="auto"/>
            </w:tcBorders>
            <w:vAlign w:val="center"/>
          </w:tcPr>
          <w:p w14:paraId="5D4EF918" w14:textId="77777777" w:rsidR="00F0519A" w:rsidRPr="00D050C7" w:rsidRDefault="00F0519A" w:rsidP="00D050C7">
            <w:pPr>
              <w:ind w:left="-113" w:right="-113"/>
              <w:jc w:val="center"/>
              <w:rPr>
                <w:color w:val="000000"/>
              </w:rPr>
            </w:pPr>
            <w:r w:rsidRPr="00D050C7">
              <w:rPr>
                <w:color w:val="000000"/>
              </w:rPr>
              <w:t>10</w:t>
            </w:r>
          </w:p>
          <w:p w14:paraId="39B6ECE1" w14:textId="77777777" w:rsidR="00F0519A" w:rsidRPr="00D050C7" w:rsidRDefault="00F0519A" w:rsidP="00D050C7">
            <w:pPr>
              <w:ind w:left="-113" w:right="-113"/>
              <w:jc w:val="center"/>
              <w:rPr>
                <w:color w:val="000000"/>
              </w:rPr>
            </w:pPr>
            <w:r w:rsidRPr="00D050C7">
              <w:rPr>
                <w:color w:val="000000"/>
              </w:rPr>
              <w:t>15</w:t>
            </w:r>
          </w:p>
          <w:p w14:paraId="39AA4171" w14:textId="77777777" w:rsidR="00F0519A" w:rsidRPr="00D050C7" w:rsidRDefault="00F0519A" w:rsidP="00D050C7">
            <w:pPr>
              <w:ind w:left="-113" w:right="-113"/>
              <w:jc w:val="center"/>
              <w:rPr>
                <w:color w:val="000000"/>
              </w:rPr>
            </w:pPr>
            <w:r w:rsidRPr="00D050C7">
              <w:rPr>
                <w:color w:val="000000"/>
              </w:rPr>
              <w:t>20</w:t>
            </w:r>
          </w:p>
          <w:p w14:paraId="539D4D63" w14:textId="77777777" w:rsidR="00F0519A" w:rsidRPr="00D050C7" w:rsidRDefault="00F0519A" w:rsidP="00D050C7">
            <w:pPr>
              <w:ind w:left="-113" w:right="-113"/>
              <w:jc w:val="center"/>
              <w:rPr>
                <w:color w:val="000000"/>
              </w:rPr>
            </w:pPr>
            <w:r w:rsidRPr="00D050C7">
              <w:rPr>
                <w:color w:val="000000"/>
              </w:rPr>
              <w:t>30</w:t>
            </w:r>
          </w:p>
          <w:p w14:paraId="54AEB7CA" w14:textId="77777777" w:rsidR="00F0519A" w:rsidRPr="00D050C7" w:rsidRDefault="00F0519A" w:rsidP="00D050C7">
            <w:pPr>
              <w:ind w:left="-113" w:right="-113"/>
              <w:jc w:val="center"/>
              <w:rPr>
                <w:color w:val="000000"/>
              </w:rPr>
            </w:pPr>
            <w:r w:rsidRPr="00D050C7">
              <w:rPr>
                <w:color w:val="000000"/>
              </w:rPr>
              <w:t>45</w:t>
            </w:r>
          </w:p>
        </w:tc>
        <w:tc>
          <w:tcPr>
            <w:tcW w:w="2835" w:type="dxa"/>
            <w:tcBorders>
              <w:top w:val="single" w:sz="4" w:space="0" w:color="auto"/>
              <w:left w:val="single" w:sz="8" w:space="0" w:color="auto"/>
              <w:bottom w:val="single" w:sz="8" w:space="0" w:color="000000"/>
              <w:right w:val="single" w:sz="8" w:space="0" w:color="auto"/>
            </w:tcBorders>
            <w:vAlign w:val="center"/>
          </w:tcPr>
          <w:p w14:paraId="4DCD9EA4" w14:textId="77777777" w:rsidR="00F0519A" w:rsidRPr="00D050C7" w:rsidRDefault="00F0519A" w:rsidP="00D050C7">
            <w:pPr>
              <w:jc w:val="center"/>
              <w:rPr>
                <w:color w:val="000000"/>
              </w:rPr>
            </w:pPr>
            <w:r w:rsidRPr="00D050C7">
              <w:rPr>
                <w:color w:val="000000"/>
              </w:rPr>
              <w:t>62</w:t>
            </w:r>
          </w:p>
          <w:p w14:paraId="644BE6BF" w14:textId="77777777" w:rsidR="00F0519A" w:rsidRPr="00D050C7" w:rsidRDefault="00F0519A" w:rsidP="00D050C7">
            <w:pPr>
              <w:jc w:val="center"/>
              <w:rPr>
                <w:color w:val="000000"/>
              </w:rPr>
            </w:pPr>
            <w:r w:rsidRPr="00D050C7">
              <w:rPr>
                <w:color w:val="000000"/>
              </w:rPr>
              <w:t>77</w:t>
            </w:r>
          </w:p>
          <w:p w14:paraId="4EE0202D" w14:textId="77777777" w:rsidR="00F0519A" w:rsidRPr="00D050C7" w:rsidRDefault="00F0519A" w:rsidP="00D050C7">
            <w:pPr>
              <w:jc w:val="center"/>
              <w:rPr>
                <w:color w:val="000000"/>
              </w:rPr>
            </w:pPr>
            <w:r w:rsidRPr="00D050C7">
              <w:rPr>
                <w:color w:val="000000"/>
              </w:rPr>
              <w:t>88</w:t>
            </w:r>
          </w:p>
          <w:p w14:paraId="073F42AE" w14:textId="77777777" w:rsidR="00F0519A" w:rsidRPr="00D050C7" w:rsidRDefault="00F0519A" w:rsidP="00D050C7">
            <w:pPr>
              <w:jc w:val="center"/>
              <w:rPr>
                <w:color w:val="000000"/>
              </w:rPr>
            </w:pPr>
            <w:r w:rsidRPr="00D050C7">
              <w:rPr>
                <w:color w:val="000000"/>
              </w:rPr>
              <w:t>91</w:t>
            </w:r>
          </w:p>
          <w:p w14:paraId="20EDC902" w14:textId="77777777" w:rsidR="00F0519A" w:rsidRPr="00D050C7" w:rsidRDefault="00F0519A" w:rsidP="00D050C7">
            <w:pPr>
              <w:jc w:val="center"/>
              <w:rPr>
                <w:color w:val="000000"/>
              </w:rPr>
            </w:pPr>
            <w:r w:rsidRPr="00D050C7">
              <w:rPr>
                <w:color w:val="000000"/>
              </w:rPr>
              <w:t>94</w:t>
            </w:r>
          </w:p>
        </w:tc>
        <w:tc>
          <w:tcPr>
            <w:tcW w:w="2400" w:type="dxa"/>
            <w:tcBorders>
              <w:top w:val="single" w:sz="4" w:space="0" w:color="auto"/>
              <w:left w:val="single" w:sz="8" w:space="0" w:color="auto"/>
              <w:bottom w:val="single" w:sz="8" w:space="0" w:color="000000"/>
              <w:right w:val="single" w:sz="8" w:space="0" w:color="auto"/>
            </w:tcBorders>
            <w:vAlign w:val="center"/>
          </w:tcPr>
          <w:p w14:paraId="5D450341" w14:textId="77777777" w:rsidR="00F0519A" w:rsidRPr="00D050C7" w:rsidRDefault="00F0519A" w:rsidP="00D050C7">
            <w:pPr>
              <w:jc w:val="center"/>
              <w:rPr>
                <w:color w:val="000000"/>
              </w:rPr>
            </w:pPr>
            <w:r w:rsidRPr="00D050C7">
              <w:rPr>
                <w:color w:val="000000"/>
              </w:rPr>
              <w:t>75</w:t>
            </w:r>
          </w:p>
          <w:p w14:paraId="3B9AB0ED" w14:textId="77777777" w:rsidR="00F0519A" w:rsidRPr="00D050C7" w:rsidRDefault="00F0519A" w:rsidP="00D050C7">
            <w:pPr>
              <w:jc w:val="center"/>
              <w:rPr>
                <w:color w:val="000000"/>
              </w:rPr>
            </w:pPr>
            <w:r w:rsidRPr="00D050C7">
              <w:rPr>
                <w:color w:val="000000"/>
              </w:rPr>
              <w:t>85</w:t>
            </w:r>
          </w:p>
          <w:p w14:paraId="3882458C" w14:textId="77777777" w:rsidR="00F0519A" w:rsidRPr="00D050C7" w:rsidRDefault="00F0519A" w:rsidP="00D050C7">
            <w:pPr>
              <w:jc w:val="center"/>
              <w:rPr>
                <w:color w:val="000000"/>
              </w:rPr>
            </w:pPr>
            <w:r w:rsidRPr="00D050C7">
              <w:rPr>
                <w:color w:val="000000"/>
              </w:rPr>
              <w:t>91</w:t>
            </w:r>
          </w:p>
          <w:p w14:paraId="78B2D057" w14:textId="77777777" w:rsidR="00F0519A" w:rsidRPr="00D050C7" w:rsidRDefault="00F0519A" w:rsidP="00D050C7">
            <w:pPr>
              <w:jc w:val="center"/>
              <w:rPr>
                <w:color w:val="000000"/>
              </w:rPr>
            </w:pPr>
            <w:r w:rsidRPr="00D050C7">
              <w:rPr>
                <w:color w:val="000000"/>
              </w:rPr>
              <w:t>96</w:t>
            </w:r>
          </w:p>
          <w:p w14:paraId="7EEF9A8E" w14:textId="77777777" w:rsidR="00F0519A" w:rsidRPr="00D050C7" w:rsidRDefault="00F0519A" w:rsidP="00D050C7">
            <w:pPr>
              <w:jc w:val="center"/>
              <w:rPr>
                <w:color w:val="000000"/>
              </w:rPr>
            </w:pPr>
            <w:r w:rsidRPr="00D050C7">
              <w:rPr>
                <w:color w:val="000000"/>
              </w:rPr>
              <w:t>98</w:t>
            </w:r>
          </w:p>
        </w:tc>
      </w:tr>
      <w:tr w:rsidR="005F593D" w:rsidRPr="00F0519A" w14:paraId="4DBF2247" w14:textId="77777777" w:rsidTr="009D6448">
        <w:trPr>
          <w:trHeight w:val="145"/>
          <w:jc w:val="center"/>
        </w:trPr>
        <w:tc>
          <w:tcPr>
            <w:tcW w:w="4111" w:type="dxa"/>
            <w:gridSpan w:val="2"/>
            <w:tcBorders>
              <w:top w:val="single" w:sz="8" w:space="0" w:color="000000"/>
              <w:left w:val="single" w:sz="8" w:space="0" w:color="000000"/>
              <w:bottom w:val="single" w:sz="8" w:space="0" w:color="000000"/>
              <w:right w:val="single" w:sz="8" w:space="0" w:color="auto"/>
            </w:tcBorders>
            <w:shd w:val="clear" w:color="auto" w:fill="auto"/>
            <w:vAlign w:val="center"/>
          </w:tcPr>
          <w:p w14:paraId="7FB62640" w14:textId="77777777" w:rsidR="005F593D" w:rsidRPr="00D050C7" w:rsidRDefault="005F593D" w:rsidP="00D050C7">
            <w:pPr>
              <w:ind w:left="-113" w:right="-113"/>
              <w:jc w:val="center"/>
              <w:rPr>
                <w:b/>
                <w:i/>
                <w:color w:val="000000"/>
              </w:rPr>
            </w:pPr>
            <w:r w:rsidRPr="00D050C7">
              <w:rPr>
                <w:b/>
                <w:i/>
                <w:color w:val="000000"/>
              </w:rPr>
              <w:t>Фактор подобия f2</w:t>
            </w:r>
          </w:p>
        </w:tc>
        <w:tc>
          <w:tcPr>
            <w:tcW w:w="5235" w:type="dxa"/>
            <w:gridSpan w:val="2"/>
            <w:tcBorders>
              <w:top w:val="nil"/>
              <w:left w:val="single" w:sz="8" w:space="0" w:color="auto"/>
              <w:bottom w:val="single" w:sz="8" w:space="0" w:color="000000"/>
              <w:right w:val="single" w:sz="8" w:space="0" w:color="auto"/>
            </w:tcBorders>
            <w:vAlign w:val="center"/>
          </w:tcPr>
          <w:p w14:paraId="660E4D7A" w14:textId="115A64C0" w:rsidR="005F593D" w:rsidRPr="00D050C7" w:rsidRDefault="005F593D" w:rsidP="00D050C7">
            <w:pPr>
              <w:jc w:val="center"/>
            </w:pPr>
            <w:r w:rsidRPr="00D050C7">
              <w:rPr>
                <w:b/>
                <w:i/>
              </w:rPr>
              <w:t>51</w:t>
            </w:r>
          </w:p>
        </w:tc>
      </w:tr>
      <w:tr w:rsidR="00F0519A" w:rsidRPr="00F0519A" w14:paraId="640858EC" w14:textId="77777777" w:rsidTr="009D6448">
        <w:tblPrEx>
          <w:jc w:val="left"/>
        </w:tblPrEx>
        <w:trPr>
          <w:trHeight w:val="75"/>
        </w:trPr>
        <w:tc>
          <w:tcPr>
            <w:tcW w:w="3118" w:type="dxa"/>
            <w:tcBorders>
              <w:top w:val="single" w:sz="4" w:space="0" w:color="auto"/>
              <w:left w:val="single" w:sz="8" w:space="0" w:color="000000"/>
              <w:bottom w:val="single" w:sz="8" w:space="0" w:color="000000"/>
              <w:right w:val="single" w:sz="4" w:space="0" w:color="auto"/>
            </w:tcBorders>
            <w:shd w:val="clear" w:color="auto" w:fill="auto"/>
            <w:vAlign w:val="center"/>
          </w:tcPr>
          <w:p w14:paraId="3892D948" w14:textId="77777777" w:rsidR="00F0519A" w:rsidRPr="00D050C7" w:rsidRDefault="00F0519A" w:rsidP="00D050C7">
            <w:pPr>
              <w:jc w:val="center"/>
            </w:pPr>
            <w:r w:rsidRPr="00D050C7">
              <w:t>Ацетатный буферный раствор рН 4,5</w:t>
            </w:r>
          </w:p>
        </w:tc>
        <w:tc>
          <w:tcPr>
            <w:tcW w:w="993" w:type="dxa"/>
            <w:tcBorders>
              <w:top w:val="single" w:sz="4" w:space="0" w:color="auto"/>
              <w:left w:val="single" w:sz="8" w:space="0" w:color="000000"/>
              <w:bottom w:val="single" w:sz="8" w:space="0" w:color="000000"/>
              <w:right w:val="single" w:sz="4" w:space="0" w:color="auto"/>
            </w:tcBorders>
            <w:shd w:val="clear" w:color="auto" w:fill="auto"/>
            <w:vAlign w:val="center"/>
          </w:tcPr>
          <w:p w14:paraId="74A670AD" w14:textId="77777777" w:rsidR="00F0519A" w:rsidRPr="00D050C7" w:rsidRDefault="00F0519A" w:rsidP="00D050C7">
            <w:pPr>
              <w:ind w:left="-113" w:right="-113"/>
              <w:jc w:val="center"/>
              <w:rPr>
                <w:color w:val="000000"/>
              </w:rPr>
            </w:pPr>
            <w:r w:rsidRPr="00D050C7">
              <w:rPr>
                <w:color w:val="000000"/>
              </w:rPr>
              <w:t>10</w:t>
            </w:r>
          </w:p>
          <w:p w14:paraId="303D8EAA" w14:textId="77777777" w:rsidR="00F0519A" w:rsidRPr="00D050C7" w:rsidRDefault="00F0519A" w:rsidP="00D050C7">
            <w:pPr>
              <w:ind w:left="-113" w:right="-113"/>
              <w:jc w:val="center"/>
              <w:rPr>
                <w:color w:val="000000"/>
              </w:rPr>
            </w:pPr>
            <w:r w:rsidRPr="00D050C7">
              <w:rPr>
                <w:color w:val="000000"/>
              </w:rPr>
              <w:t>15</w:t>
            </w:r>
          </w:p>
          <w:p w14:paraId="4496E64D" w14:textId="77777777" w:rsidR="00F0519A" w:rsidRPr="00D050C7" w:rsidRDefault="00F0519A" w:rsidP="00D050C7">
            <w:pPr>
              <w:ind w:left="-113" w:right="-113"/>
              <w:jc w:val="center"/>
              <w:rPr>
                <w:color w:val="000000"/>
              </w:rPr>
            </w:pPr>
            <w:r w:rsidRPr="00D050C7">
              <w:rPr>
                <w:color w:val="000000"/>
              </w:rPr>
              <w:t>20</w:t>
            </w:r>
          </w:p>
          <w:p w14:paraId="6C0DE9F1" w14:textId="77777777" w:rsidR="00F0519A" w:rsidRPr="00D050C7" w:rsidRDefault="00F0519A" w:rsidP="00D050C7">
            <w:pPr>
              <w:ind w:left="-113" w:right="-113"/>
              <w:jc w:val="center"/>
              <w:rPr>
                <w:color w:val="000000"/>
              </w:rPr>
            </w:pPr>
            <w:r w:rsidRPr="00D050C7">
              <w:rPr>
                <w:color w:val="000000"/>
              </w:rPr>
              <w:t>30</w:t>
            </w:r>
          </w:p>
          <w:p w14:paraId="6CD4B7D0" w14:textId="77777777" w:rsidR="00F0519A" w:rsidRPr="00D050C7" w:rsidRDefault="00F0519A" w:rsidP="00D050C7">
            <w:pPr>
              <w:jc w:val="center"/>
              <w:rPr>
                <w:bCs/>
                <w:lang w:val="en-US"/>
              </w:rPr>
            </w:pPr>
            <w:r w:rsidRPr="00D050C7">
              <w:rPr>
                <w:color w:val="000000"/>
              </w:rPr>
              <w:t>45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79C8ABE" w14:textId="77777777" w:rsidR="00F0519A" w:rsidRPr="00D050C7" w:rsidRDefault="00F0519A" w:rsidP="00D050C7">
            <w:pPr>
              <w:jc w:val="center"/>
              <w:rPr>
                <w:bCs/>
              </w:rPr>
            </w:pPr>
            <w:r w:rsidRPr="00D050C7">
              <w:rPr>
                <w:bCs/>
              </w:rPr>
              <w:t>10</w:t>
            </w:r>
          </w:p>
          <w:p w14:paraId="0B836F52" w14:textId="77777777" w:rsidR="00F0519A" w:rsidRPr="00D050C7" w:rsidRDefault="00F0519A" w:rsidP="00D050C7">
            <w:pPr>
              <w:jc w:val="center"/>
              <w:rPr>
                <w:bCs/>
              </w:rPr>
            </w:pPr>
            <w:r w:rsidRPr="00D050C7">
              <w:rPr>
                <w:bCs/>
              </w:rPr>
              <w:t>20</w:t>
            </w:r>
          </w:p>
          <w:p w14:paraId="4C525D87" w14:textId="77777777" w:rsidR="00F0519A" w:rsidRPr="00D050C7" w:rsidRDefault="00F0519A" w:rsidP="00D050C7">
            <w:pPr>
              <w:jc w:val="center"/>
              <w:rPr>
                <w:bCs/>
              </w:rPr>
            </w:pPr>
            <w:r w:rsidRPr="00D050C7">
              <w:rPr>
                <w:bCs/>
              </w:rPr>
              <w:t>26</w:t>
            </w:r>
          </w:p>
          <w:p w14:paraId="0EDADB7D" w14:textId="77777777" w:rsidR="00F0519A" w:rsidRPr="00D050C7" w:rsidRDefault="00F0519A" w:rsidP="00D050C7">
            <w:pPr>
              <w:jc w:val="center"/>
              <w:rPr>
                <w:bCs/>
              </w:rPr>
            </w:pPr>
            <w:r w:rsidRPr="00D050C7">
              <w:rPr>
                <w:bCs/>
              </w:rPr>
              <w:t>34</w:t>
            </w:r>
          </w:p>
          <w:p w14:paraId="7D22FCE9" w14:textId="77777777" w:rsidR="00F0519A" w:rsidRPr="00D050C7" w:rsidRDefault="00F0519A" w:rsidP="00D050C7">
            <w:pPr>
              <w:jc w:val="center"/>
              <w:rPr>
                <w:bCs/>
              </w:rPr>
            </w:pPr>
            <w:r w:rsidRPr="00D050C7">
              <w:rPr>
                <w:bCs/>
              </w:rPr>
              <w:t>39</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14:paraId="424D60D1" w14:textId="77777777" w:rsidR="00F0519A" w:rsidRPr="00D050C7" w:rsidRDefault="00F0519A" w:rsidP="00D050C7">
            <w:pPr>
              <w:jc w:val="center"/>
              <w:rPr>
                <w:bCs/>
              </w:rPr>
            </w:pPr>
            <w:r w:rsidRPr="00D050C7">
              <w:rPr>
                <w:bCs/>
              </w:rPr>
              <w:t>16</w:t>
            </w:r>
          </w:p>
          <w:p w14:paraId="2D881A9A" w14:textId="77777777" w:rsidR="00F0519A" w:rsidRPr="00D050C7" w:rsidRDefault="00F0519A" w:rsidP="00D050C7">
            <w:pPr>
              <w:jc w:val="center"/>
              <w:rPr>
                <w:bCs/>
              </w:rPr>
            </w:pPr>
            <w:r w:rsidRPr="00D050C7">
              <w:rPr>
                <w:bCs/>
              </w:rPr>
              <w:t>25</w:t>
            </w:r>
          </w:p>
          <w:p w14:paraId="59715644" w14:textId="77777777" w:rsidR="00F0519A" w:rsidRPr="00D050C7" w:rsidRDefault="00F0519A" w:rsidP="00D050C7">
            <w:pPr>
              <w:jc w:val="center"/>
              <w:rPr>
                <w:bCs/>
              </w:rPr>
            </w:pPr>
            <w:r w:rsidRPr="00D050C7">
              <w:rPr>
                <w:bCs/>
              </w:rPr>
              <w:t>31</w:t>
            </w:r>
          </w:p>
          <w:p w14:paraId="6C07641D" w14:textId="77777777" w:rsidR="00F0519A" w:rsidRPr="00D050C7" w:rsidRDefault="00F0519A" w:rsidP="00D050C7">
            <w:pPr>
              <w:jc w:val="center"/>
              <w:rPr>
                <w:bCs/>
              </w:rPr>
            </w:pPr>
            <w:r w:rsidRPr="00D050C7">
              <w:rPr>
                <w:bCs/>
              </w:rPr>
              <w:t>36</w:t>
            </w:r>
          </w:p>
          <w:p w14:paraId="72989E93" w14:textId="77777777" w:rsidR="00F0519A" w:rsidRPr="00D050C7" w:rsidRDefault="00F0519A" w:rsidP="00D050C7">
            <w:pPr>
              <w:jc w:val="center"/>
              <w:rPr>
                <w:bCs/>
              </w:rPr>
            </w:pPr>
            <w:r w:rsidRPr="00D050C7">
              <w:rPr>
                <w:bCs/>
              </w:rPr>
              <w:t>42</w:t>
            </w:r>
          </w:p>
        </w:tc>
      </w:tr>
      <w:tr w:rsidR="005F593D" w:rsidRPr="00F0519A" w14:paraId="1613459B" w14:textId="77777777" w:rsidTr="00E36A78">
        <w:tblPrEx>
          <w:jc w:val="left"/>
        </w:tblPrEx>
        <w:trPr>
          <w:trHeight w:val="54"/>
        </w:trPr>
        <w:tc>
          <w:tcPr>
            <w:tcW w:w="4111" w:type="dxa"/>
            <w:gridSpan w:val="2"/>
            <w:tcBorders>
              <w:top w:val="single" w:sz="4" w:space="0" w:color="auto"/>
              <w:left w:val="single" w:sz="8" w:space="0" w:color="000000"/>
              <w:bottom w:val="single" w:sz="8" w:space="0" w:color="000000"/>
              <w:right w:val="single" w:sz="4" w:space="0" w:color="auto"/>
            </w:tcBorders>
            <w:shd w:val="clear" w:color="auto" w:fill="auto"/>
            <w:vAlign w:val="center"/>
          </w:tcPr>
          <w:p w14:paraId="2F4848C0" w14:textId="77777777" w:rsidR="005F593D" w:rsidRPr="00D050C7" w:rsidRDefault="005F593D" w:rsidP="00D050C7">
            <w:pPr>
              <w:jc w:val="center"/>
              <w:rPr>
                <w:bCs/>
                <w:lang w:val="en-US"/>
              </w:rPr>
            </w:pPr>
            <w:r w:rsidRPr="00D050C7">
              <w:rPr>
                <w:b/>
                <w:i/>
              </w:rPr>
              <w:t>Фактор подобия f2</w:t>
            </w:r>
          </w:p>
        </w:tc>
        <w:tc>
          <w:tcPr>
            <w:tcW w:w="5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B9698E" w14:textId="14B2B869" w:rsidR="005F593D" w:rsidRPr="005F593D" w:rsidRDefault="005F593D" w:rsidP="005F593D">
            <w:pPr>
              <w:jc w:val="center"/>
              <w:rPr>
                <w:b/>
                <w:bCs/>
                <w:i/>
              </w:rPr>
            </w:pPr>
            <w:r w:rsidRPr="00D050C7">
              <w:rPr>
                <w:b/>
                <w:bCs/>
                <w:i/>
              </w:rPr>
              <w:t>67</w:t>
            </w:r>
          </w:p>
        </w:tc>
      </w:tr>
      <w:tr w:rsidR="00F0519A" w:rsidRPr="00F0519A" w14:paraId="786C53FC" w14:textId="77777777" w:rsidTr="009D6448">
        <w:tblPrEx>
          <w:jc w:val="left"/>
        </w:tblPrEx>
        <w:trPr>
          <w:trHeight w:val="75"/>
        </w:trPr>
        <w:tc>
          <w:tcPr>
            <w:tcW w:w="3118" w:type="dxa"/>
            <w:tcBorders>
              <w:top w:val="single" w:sz="4" w:space="0" w:color="auto"/>
              <w:left w:val="single" w:sz="8" w:space="0" w:color="000000"/>
              <w:bottom w:val="single" w:sz="8" w:space="0" w:color="000000"/>
              <w:right w:val="single" w:sz="4" w:space="0" w:color="auto"/>
            </w:tcBorders>
            <w:shd w:val="clear" w:color="auto" w:fill="auto"/>
            <w:vAlign w:val="center"/>
          </w:tcPr>
          <w:p w14:paraId="7C620DB1" w14:textId="77777777" w:rsidR="00F0519A" w:rsidRPr="00D050C7" w:rsidRDefault="00F0519A" w:rsidP="00D050C7">
            <w:pPr>
              <w:jc w:val="center"/>
            </w:pPr>
            <w:r w:rsidRPr="00D050C7">
              <w:rPr>
                <w:color w:val="000000"/>
              </w:rPr>
              <w:t xml:space="preserve">Фосфатный буферный раствор рН 6,8 </w:t>
            </w:r>
          </w:p>
        </w:tc>
        <w:tc>
          <w:tcPr>
            <w:tcW w:w="993" w:type="dxa"/>
            <w:tcBorders>
              <w:top w:val="single" w:sz="4" w:space="0" w:color="auto"/>
              <w:left w:val="single" w:sz="8" w:space="0" w:color="000000"/>
              <w:bottom w:val="single" w:sz="8" w:space="0" w:color="000000"/>
              <w:right w:val="single" w:sz="4" w:space="0" w:color="auto"/>
            </w:tcBorders>
            <w:shd w:val="clear" w:color="auto" w:fill="auto"/>
            <w:vAlign w:val="center"/>
          </w:tcPr>
          <w:p w14:paraId="58B43CF4" w14:textId="77777777" w:rsidR="00F0519A" w:rsidRPr="00D050C7" w:rsidRDefault="00F0519A" w:rsidP="00D050C7">
            <w:pPr>
              <w:ind w:left="-113" w:right="-113"/>
              <w:jc w:val="center"/>
              <w:rPr>
                <w:color w:val="000000"/>
              </w:rPr>
            </w:pPr>
            <w:r w:rsidRPr="00D050C7">
              <w:rPr>
                <w:color w:val="000000"/>
              </w:rPr>
              <w:t>10</w:t>
            </w:r>
          </w:p>
          <w:p w14:paraId="15934E03" w14:textId="77777777" w:rsidR="00F0519A" w:rsidRPr="00D050C7" w:rsidRDefault="00F0519A" w:rsidP="00D050C7">
            <w:pPr>
              <w:ind w:left="-113" w:right="-113"/>
              <w:jc w:val="center"/>
              <w:rPr>
                <w:color w:val="000000"/>
              </w:rPr>
            </w:pPr>
            <w:r w:rsidRPr="00D050C7">
              <w:rPr>
                <w:color w:val="000000"/>
              </w:rPr>
              <w:t>15</w:t>
            </w:r>
          </w:p>
          <w:p w14:paraId="4F2475BF" w14:textId="77777777" w:rsidR="00F0519A" w:rsidRPr="00D050C7" w:rsidRDefault="00F0519A" w:rsidP="00D050C7">
            <w:pPr>
              <w:ind w:left="-113" w:right="-113"/>
              <w:jc w:val="center"/>
              <w:rPr>
                <w:color w:val="000000"/>
              </w:rPr>
            </w:pPr>
            <w:r w:rsidRPr="00D050C7">
              <w:rPr>
                <w:color w:val="000000"/>
              </w:rPr>
              <w:t>20</w:t>
            </w:r>
          </w:p>
          <w:p w14:paraId="44C6041E" w14:textId="77777777" w:rsidR="00F0519A" w:rsidRPr="00D050C7" w:rsidRDefault="00F0519A" w:rsidP="00D050C7">
            <w:pPr>
              <w:ind w:left="-113" w:right="-113"/>
              <w:jc w:val="center"/>
              <w:rPr>
                <w:color w:val="000000"/>
              </w:rPr>
            </w:pPr>
            <w:r w:rsidRPr="00D050C7">
              <w:rPr>
                <w:color w:val="000000"/>
              </w:rPr>
              <w:t>30</w:t>
            </w:r>
          </w:p>
          <w:p w14:paraId="7B98C3AB" w14:textId="77777777" w:rsidR="00F0519A" w:rsidRPr="00D050C7" w:rsidRDefault="00F0519A" w:rsidP="00D050C7">
            <w:pPr>
              <w:jc w:val="center"/>
              <w:rPr>
                <w:bCs/>
                <w:lang w:val="en-US"/>
              </w:rPr>
            </w:pPr>
            <w:r w:rsidRPr="00D050C7">
              <w:rPr>
                <w:color w:val="000000"/>
              </w:rPr>
              <w:t>45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E976FFB" w14:textId="77777777" w:rsidR="00F0519A" w:rsidRPr="00D050C7" w:rsidRDefault="00F0519A" w:rsidP="00D050C7">
            <w:pPr>
              <w:jc w:val="center"/>
              <w:rPr>
                <w:bCs/>
                <w:lang w:val="en-US"/>
              </w:rPr>
            </w:pPr>
            <w:r w:rsidRPr="00D050C7">
              <w:rPr>
                <w:bCs/>
                <w:lang w:val="en-US"/>
              </w:rPr>
              <w:t>2</w:t>
            </w:r>
          </w:p>
          <w:p w14:paraId="02AFC994" w14:textId="77777777" w:rsidR="00F0519A" w:rsidRPr="00D050C7" w:rsidRDefault="00F0519A" w:rsidP="00D050C7">
            <w:pPr>
              <w:jc w:val="center"/>
              <w:rPr>
                <w:bCs/>
                <w:lang w:val="en-US"/>
              </w:rPr>
            </w:pPr>
            <w:r w:rsidRPr="00D050C7">
              <w:rPr>
                <w:bCs/>
                <w:lang w:val="en-US"/>
              </w:rPr>
              <w:t>6</w:t>
            </w:r>
          </w:p>
          <w:p w14:paraId="2CD4DAA1" w14:textId="77777777" w:rsidR="00F0519A" w:rsidRPr="00D050C7" w:rsidRDefault="00F0519A" w:rsidP="00D050C7">
            <w:pPr>
              <w:jc w:val="center"/>
              <w:rPr>
                <w:bCs/>
                <w:lang w:val="en-US"/>
              </w:rPr>
            </w:pPr>
            <w:r w:rsidRPr="00D050C7">
              <w:rPr>
                <w:bCs/>
                <w:lang w:val="en-US"/>
              </w:rPr>
              <w:t>8</w:t>
            </w:r>
          </w:p>
          <w:p w14:paraId="7CD41E3D" w14:textId="77777777" w:rsidR="00F0519A" w:rsidRPr="00D050C7" w:rsidRDefault="00F0519A" w:rsidP="00D050C7">
            <w:pPr>
              <w:jc w:val="center"/>
              <w:rPr>
                <w:bCs/>
                <w:lang w:val="en-US"/>
              </w:rPr>
            </w:pPr>
            <w:r w:rsidRPr="00D050C7">
              <w:rPr>
                <w:bCs/>
                <w:lang w:val="en-US"/>
              </w:rPr>
              <w:t>11</w:t>
            </w:r>
          </w:p>
          <w:p w14:paraId="70991380" w14:textId="77777777" w:rsidR="00F0519A" w:rsidRPr="00D050C7" w:rsidRDefault="00F0519A" w:rsidP="00D050C7">
            <w:pPr>
              <w:jc w:val="center"/>
              <w:rPr>
                <w:bCs/>
                <w:lang w:val="en-US"/>
              </w:rPr>
            </w:pPr>
            <w:r w:rsidRPr="00D050C7">
              <w:rPr>
                <w:bCs/>
                <w:lang w:val="en-US"/>
              </w:rPr>
              <w:t>14</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14:paraId="3B8E13C1" w14:textId="77777777" w:rsidR="00F0519A" w:rsidRPr="00D050C7" w:rsidRDefault="00F0519A" w:rsidP="00D050C7">
            <w:pPr>
              <w:jc w:val="center"/>
              <w:rPr>
                <w:bCs/>
                <w:lang w:val="en-US"/>
              </w:rPr>
            </w:pPr>
            <w:r w:rsidRPr="00D050C7">
              <w:rPr>
                <w:bCs/>
                <w:lang w:val="en-US"/>
              </w:rPr>
              <w:t>5</w:t>
            </w:r>
          </w:p>
          <w:p w14:paraId="5498AF80" w14:textId="77777777" w:rsidR="00F0519A" w:rsidRPr="00D050C7" w:rsidRDefault="00F0519A" w:rsidP="00D050C7">
            <w:pPr>
              <w:jc w:val="center"/>
              <w:rPr>
                <w:bCs/>
                <w:lang w:val="en-US"/>
              </w:rPr>
            </w:pPr>
            <w:r w:rsidRPr="00D050C7">
              <w:rPr>
                <w:bCs/>
                <w:lang w:val="en-US"/>
              </w:rPr>
              <w:t>7</w:t>
            </w:r>
          </w:p>
          <w:p w14:paraId="009199EB" w14:textId="77777777" w:rsidR="00F0519A" w:rsidRPr="00D050C7" w:rsidRDefault="00F0519A" w:rsidP="00D050C7">
            <w:pPr>
              <w:jc w:val="center"/>
              <w:rPr>
                <w:bCs/>
                <w:lang w:val="en-US"/>
              </w:rPr>
            </w:pPr>
            <w:r w:rsidRPr="00D050C7">
              <w:rPr>
                <w:bCs/>
                <w:lang w:val="en-US"/>
              </w:rPr>
              <w:t>10</w:t>
            </w:r>
          </w:p>
          <w:p w14:paraId="6CCA8CBB" w14:textId="77777777" w:rsidR="00F0519A" w:rsidRPr="00D050C7" w:rsidRDefault="00F0519A" w:rsidP="00D050C7">
            <w:pPr>
              <w:jc w:val="center"/>
              <w:rPr>
                <w:bCs/>
                <w:lang w:val="en-US"/>
              </w:rPr>
            </w:pPr>
            <w:r w:rsidRPr="00D050C7">
              <w:rPr>
                <w:bCs/>
                <w:lang w:val="en-US"/>
              </w:rPr>
              <w:t>12</w:t>
            </w:r>
          </w:p>
          <w:p w14:paraId="3185E343" w14:textId="77777777" w:rsidR="00F0519A" w:rsidRPr="00D050C7" w:rsidRDefault="00F0519A" w:rsidP="00D050C7">
            <w:pPr>
              <w:jc w:val="center"/>
              <w:rPr>
                <w:bCs/>
                <w:highlight w:val="yellow"/>
                <w:lang w:val="en-US"/>
              </w:rPr>
            </w:pPr>
            <w:r w:rsidRPr="00D050C7">
              <w:rPr>
                <w:bCs/>
                <w:lang w:val="en-US"/>
              </w:rPr>
              <w:t>15</w:t>
            </w:r>
          </w:p>
        </w:tc>
      </w:tr>
      <w:tr w:rsidR="005F593D" w:rsidRPr="00F0519A" w14:paraId="3679318F" w14:textId="77777777" w:rsidTr="009D6448">
        <w:tblPrEx>
          <w:jc w:val="left"/>
        </w:tblPrEx>
        <w:trPr>
          <w:trHeight w:val="238"/>
        </w:trPr>
        <w:tc>
          <w:tcPr>
            <w:tcW w:w="4111" w:type="dxa"/>
            <w:gridSpan w:val="2"/>
            <w:tcBorders>
              <w:top w:val="single" w:sz="4" w:space="0" w:color="auto"/>
              <w:left w:val="single" w:sz="8" w:space="0" w:color="000000"/>
              <w:bottom w:val="single" w:sz="8" w:space="0" w:color="000000"/>
              <w:right w:val="single" w:sz="4" w:space="0" w:color="auto"/>
            </w:tcBorders>
            <w:shd w:val="clear" w:color="auto" w:fill="auto"/>
            <w:vAlign w:val="center"/>
          </w:tcPr>
          <w:p w14:paraId="6EDED1CC" w14:textId="77777777" w:rsidR="005F593D" w:rsidRPr="00D050C7" w:rsidRDefault="005F593D" w:rsidP="00D050C7">
            <w:pPr>
              <w:jc w:val="center"/>
              <w:rPr>
                <w:bCs/>
                <w:lang w:val="en-US"/>
              </w:rPr>
            </w:pPr>
            <w:r w:rsidRPr="00D050C7">
              <w:rPr>
                <w:b/>
                <w:i/>
              </w:rPr>
              <w:t>Фактор подобия f2</w:t>
            </w:r>
          </w:p>
        </w:tc>
        <w:tc>
          <w:tcPr>
            <w:tcW w:w="5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89FD9" w14:textId="09A91348" w:rsidR="005F593D" w:rsidRPr="005F593D" w:rsidRDefault="005F593D" w:rsidP="005F593D">
            <w:pPr>
              <w:jc w:val="center"/>
              <w:rPr>
                <w:b/>
                <w:bCs/>
                <w:i/>
              </w:rPr>
            </w:pPr>
            <w:r w:rsidRPr="00D050C7">
              <w:rPr>
                <w:b/>
                <w:bCs/>
                <w:i/>
              </w:rPr>
              <w:t>-</w:t>
            </w:r>
          </w:p>
        </w:tc>
      </w:tr>
    </w:tbl>
    <w:p w14:paraId="312F3401" w14:textId="550A7793" w:rsidR="00015E92" w:rsidRDefault="00015E92">
      <w:pPr>
        <w:rPr>
          <w:b/>
        </w:rPr>
      </w:pPr>
    </w:p>
    <w:p w14:paraId="3CD2D689" w14:textId="614A47E3" w:rsidR="00F0519A" w:rsidRPr="00F014D9" w:rsidRDefault="00F0519A" w:rsidP="00F0519A">
      <w:pPr>
        <w:pStyle w:val="aff"/>
        <w:spacing w:after="0"/>
        <w:rPr>
          <w:rFonts w:eastAsiaTheme="minorHAnsi"/>
          <w:lang w:val="en-US" w:eastAsia="en-US"/>
        </w:rPr>
      </w:pPr>
      <w:r w:rsidRPr="003E68EC">
        <w:rPr>
          <w:b/>
        </w:rPr>
        <w:t>Таблица 2-</w:t>
      </w:r>
      <w:r>
        <w:rPr>
          <w:b/>
        </w:rPr>
        <w:t>9</w:t>
      </w:r>
      <w:r w:rsidRPr="003E68EC">
        <w:rPr>
          <w:b/>
        </w:rPr>
        <w:t>.</w:t>
      </w:r>
      <w:r w:rsidRPr="003E68EC">
        <w:t xml:space="preserve"> </w:t>
      </w:r>
      <w:r w:rsidRPr="002B180A">
        <w:t>Статистическая оценка результатов</w:t>
      </w:r>
      <w:r w:rsidR="00F014D9">
        <w:rPr>
          <w:lang w:val="en-US"/>
        </w:rPr>
        <w:t>.</w:t>
      </w:r>
    </w:p>
    <w:tbl>
      <w:tblPr>
        <w:tblStyle w:val="34"/>
        <w:tblW w:w="9217" w:type="dxa"/>
        <w:tblLayout w:type="fixed"/>
        <w:tblLook w:val="04A0" w:firstRow="1" w:lastRow="0" w:firstColumn="1" w:lastColumn="0" w:noHBand="0" w:noVBand="1"/>
      </w:tblPr>
      <w:tblGrid>
        <w:gridCol w:w="2263"/>
        <w:gridCol w:w="1134"/>
        <w:gridCol w:w="1276"/>
        <w:gridCol w:w="1336"/>
        <w:gridCol w:w="1376"/>
        <w:gridCol w:w="1832"/>
      </w:tblGrid>
      <w:tr w:rsidR="00F0519A" w:rsidRPr="00EF3ABA" w14:paraId="03655581" w14:textId="77777777" w:rsidTr="00E36A78">
        <w:trPr>
          <w:trHeight w:val="232"/>
        </w:trPr>
        <w:tc>
          <w:tcPr>
            <w:tcW w:w="2263" w:type="dxa"/>
            <w:vMerge w:val="restart"/>
            <w:textDirection w:val="btLr"/>
            <w:vAlign w:val="center"/>
          </w:tcPr>
          <w:p w14:paraId="2A142B77" w14:textId="77777777" w:rsidR="00F0519A" w:rsidRPr="00EF3ABA" w:rsidRDefault="00F0519A" w:rsidP="00E36A78">
            <w:pPr>
              <w:ind w:left="23"/>
              <w:jc w:val="center"/>
              <w:rPr>
                <w:bCs/>
              </w:rPr>
            </w:pPr>
            <w:r w:rsidRPr="00EF3ABA">
              <w:rPr>
                <w:b/>
              </w:rPr>
              <w:t xml:space="preserve">Среда растворения: </w:t>
            </w:r>
            <w:r w:rsidRPr="00EF3ABA">
              <w:t>фосфатный буферный раствор рН 6,8</w:t>
            </w:r>
          </w:p>
        </w:tc>
        <w:tc>
          <w:tcPr>
            <w:tcW w:w="6954" w:type="dxa"/>
            <w:gridSpan w:val="5"/>
            <w:shd w:val="clear" w:color="auto" w:fill="D9D9D9" w:themeFill="background1" w:themeFillShade="D9"/>
          </w:tcPr>
          <w:p w14:paraId="62D43E42" w14:textId="5B656765" w:rsidR="00F0519A" w:rsidRPr="00015E92" w:rsidRDefault="00015E92" w:rsidP="00D050C7">
            <w:pPr>
              <w:jc w:val="center"/>
              <w:rPr>
                <w:b/>
                <w:bCs/>
              </w:rPr>
            </w:pPr>
            <w:r w:rsidRPr="00015E92">
              <w:rPr>
                <w:b/>
                <w:lang w:val="en-US"/>
              </w:rPr>
              <w:t>DT-LNV</w:t>
            </w:r>
            <w:r w:rsidRPr="00015E92">
              <w:rPr>
                <w:b/>
              </w:rPr>
              <w:t>,</w:t>
            </w:r>
            <w:r w:rsidR="00F0519A" w:rsidRPr="00015E92">
              <w:rPr>
                <w:b/>
              </w:rPr>
              <w:t xml:space="preserve"> капсулы, 10 мг</w:t>
            </w:r>
          </w:p>
        </w:tc>
      </w:tr>
      <w:tr w:rsidR="00F0519A" w:rsidRPr="00EF3ABA" w14:paraId="751FA666" w14:textId="77777777" w:rsidTr="00F014D9">
        <w:trPr>
          <w:trHeight w:val="222"/>
        </w:trPr>
        <w:tc>
          <w:tcPr>
            <w:tcW w:w="2263" w:type="dxa"/>
            <w:vMerge/>
          </w:tcPr>
          <w:p w14:paraId="618DDC13" w14:textId="77777777" w:rsidR="00F0519A" w:rsidRPr="00EF3ABA" w:rsidRDefault="00F0519A" w:rsidP="00D050C7">
            <w:pPr>
              <w:tabs>
                <w:tab w:val="left" w:pos="927"/>
              </w:tabs>
              <w:spacing w:line="480" w:lineRule="auto"/>
              <w:ind w:left="23"/>
              <w:rPr>
                <w:bCs/>
              </w:rPr>
            </w:pPr>
          </w:p>
        </w:tc>
        <w:tc>
          <w:tcPr>
            <w:tcW w:w="1134" w:type="dxa"/>
            <w:shd w:val="clear" w:color="auto" w:fill="D9D9D9" w:themeFill="background1" w:themeFillShade="D9"/>
          </w:tcPr>
          <w:p w14:paraId="1A40B72C" w14:textId="77777777" w:rsidR="00F0519A" w:rsidRPr="00015E92" w:rsidRDefault="00F0519A" w:rsidP="00D050C7">
            <w:pPr>
              <w:spacing w:line="276" w:lineRule="auto"/>
              <w:ind w:left="-82" w:right="-115"/>
              <w:jc w:val="center"/>
              <w:rPr>
                <w:b/>
                <w:bCs/>
                <w:color w:val="000000"/>
              </w:rPr>
            </w:pPr>
            <w:r w:rsidRPr="00015E92">
              <w:rPr>
                <w:b/>
                <w:bCs/>
                <w:color w:val="000000"/>
              </w:rPr>
              <w:t>10 мин</w:t>
            </w:r>
          </w:p>
        </w:tc>
        <w:tc>
          <w:tcPr>
            <w:tcW w:w="1276" w:type="dxa"/>
            <w:shd w:val="clear" w:color="auto" w:fill="D9D9D9" w:themeFill="background1" w:themeFillShade="D9"/>
          </w:tcPr>
          <w:p w14:paraId="3FBFC689" w14:textId="77777777" w:rsidR="00F0519A" w:rsidRPr="00015E92" w:rsidRDefault="00F0519A" w:rsidP="00D050C7">
            <w:pPr>
              <w:jc w:val="center"/>
              <w:rPr>
                <w:b/>
              </w:rPr>
            </w:pPr>
            <w:r w:rsidRPr="00015E92">
              <w:rPr>
                <w:b/>
                <w:bCs/>
                <w:color w:val="000000"/>
              </w:rPr>
              <w:t>15 мин</w:t>
            </w:r>
          </w:p>
        </w:tc>
        <w:tc>
          <w:tcPr>
            <w:tcW w:w="1336" w:type="dxa"/>
            <w:shd w:val="clear" w:color="auto" w:fill="D9D9D9" w:themeFill="background1" w:themeFillShade="D9"/>
          </w:tcPr>
          <w:p w14:paraId="3B304E69" w14:textId="77777777" w:rsidR="00F0519A" w:rsidRPr="00015E92" w:rsidRDefault="00F0519A" w:rsidP="00D050C7">
            <w:pPr>
              <w:jc w:val="center"/>
              <w:rPr>
                <w:b/>
              </w:rPr>
            </w:pPr>
            <w:r w:rsidRPr="00015E92">
              <w:rPr>
                <w:b/>
                <w:bCs/>
                <w:color w:val="000000"/>
              </w:rPr>
              <w:t>20 мин</w:t>
            </w:r>
          </w:p>
        </w:tc>
        <w:tc>
          <w:tcPr>
            <w:tcW w:w="1376" w:type="dxa"/>
            <w:shd w:val="clear" w:color="auto" w:fill="D9D9D9" w:themeFill="background1" w:themeFillShade="D9"/>
          </w:tcPr>
          <w:p w14:paraId="473CE76A" w14:textId="77777777" w:rsidR="00F0519A" w:rsidRPr="00015E92" w:rsidRDefault="00F0519A" w:rsidP="00D050C7">
            <w:pPr>
              <w:jc w:val="center"/>
              <w:rPr>
                <w:b/>
              </w:rPr>
            </w:pPr>
            <w:r w:rsidRPr="00015E92">
              <w:rPr>
                <w:b/>
                <w:bCs/>
                <w:color w:val="000000"/>
              </w:rPr>
              <w:t>30 мин</w:t>
            </w:r>
          </w:p>
        </w:tc>
        <w:tc>
          <w:tcPr>
            <w:tcW w:w="1832" w:type="dxa"/>
            <w:shd w:val="clear" w:color="auto" w:fill="D9D9D9" w:themeFill="background1" w:themeFillShade="D9"/>
          </w:tcPr>
          <w:p w14:paraId="06869C1D" w14:textId="77777777" w:rsidR="00F0519A" w:rsidRPr="00015E92" w:rsidRDefault="00F0519A" w:rsidP="00D050C7">
            <w:pPr>
              <w:jc w:val="center"/>
              <w:rPr>
                <w:b/>
              </w:rPr>
            </w:pPr>
            <w:r w:rsidRPr="00015E92">
              <w:rPr>
                <w:b/>
                <w:bCs/>
                <w:color w:val="000000"/>
              </w:rPr>
              <w:t>45 мин</w:t>
            </w:r>
          </w:p>
        </w:tc>
      </w:tr>
      <w:tr w:rsidR="00F0519A" w:rsidRPr="00EF3ABA" w14:paraId="1CD5B8B5" w14:textId="77777777" w:rsidTr="00F014D9">
        <w:trPr>
          <w:trHeight w:val="134"/>
        </w:trPr>
        <w:tc>
          <w:tcPr>
            <w:tcW w:w="2263" w:type="dxa"/>
            <w:vMerge/>
          </w:tcPr>
          <w:p w14:paraId="5A3F9B27" w14:textId="77777777" w:rsidR="00F0519A" w:rsidRPr="00EF3ABA" w:rsidRDefault="00F0519A" w:rsidP="00D050C7">
            <w:pPr>
              <w:tabs>
                <w:tab w:val="left" w:pos="927"/>
              </w:tabs>
              <w:spacing w:line="480" w:lineRule="auto"/>
              <w:ind w:left="23"/>
              <w:rPr>
                <w:bCs/>
              </w:rPr>
            </w:pPr>
          </w:p>
        </w:tc>
        <w:tc>
          <w:tcPr>
            <w:tcW w:w="1134" w:type="dxa"/>
            <w:vAlign w:val="center"/>
          </w:tcPr>
          <w:p w14:paraId="553009FF" w14:textId="77777777" w:rsidR="00F0519A" w:rsidRPr="00015E92" w:rsidRDefault="00F0519A" w:rsidP="00D050C7">
            <w:pPr>
              <w:jc w:val="center"/>
              <w:rPr>
                <w:color w:val="000000"/>
              </w:rPr>
            </w:pPr>
            <w:r w:rsidRPr="00015E92">
              <w:rPr>
                <w:color w:val="000000"/>
              </w:rPr>
              <w:t>3</w:t>
            </w:r>
          </w:p>
        </w:tc>
        <w:tc>
          <w:tcPr>
            <w:tcW w:w="1276" w:type="dxa"/>
            <w:vAlign w:val="center"/>
          </w:tcPr>
          <w:p w14:paraId="2EFC6BE1" w14:textId="77777777" w:rsidR="00F0519A" w:rsidRPr="00015E92" w:rsidRDefault="00F0519A" w:rsidP="00D050C7">
            <w:pPr>
              <w:jc w:val="center"/>
              <w:rPr>
                <w:color w:val="000000"/>
              </w:rPr>
            </w:pPr>
            <w:r w:rsidRPr="00015E92">
              <w:rPr>
                <w:color w:val="000000"/>
              </w:rPr>
              <w:t>4</w:t>
            </w:r>
          </w:p>
        </w:tc>
        <w:tc>
          <w:tcPr>
            <w:tcW w:w="1336" w:type="dxa"/>
            <w:vAlign w:val="center"/>
          </w:tcPr>
          <w:p w14:paraId="24C37453" w14:textId="77777777" w:rsidR="00F0519A" w:rsidRPr="00015E92" w:rsidRDefault="00F0519A" w:rsidP="00D050C7">
            <w:pPr>
              <w:jc w:val="center"/>
              <w:rPr>
                <w:color w:val="000000"/>
              </w:rPr>
            </w:pPr>
            <w:r w:rsidRPr="00015E92">
              <w:rPr>
                <w:color w:val="000000"/>
              </w:rPr>
              <w:t>5</w:t>
            </w:r>
          </w:p>
        </w:tc>
        <w:tc>
          <w:tcPr>
            <w:tcW w:w="1376" w:type="dxa"/>
            <w:vAlign w:val="center"/>
          </w:tcPr>
          <w:p w14:paraId="795268F8" w14:textId="77777777" w:rsidR="00F0519A" w:rsidRPr="00015E92" w:rsidRDefault="00F0519A" w:rsidP="00D050C7">
            <w:pPr>
              <w:jc w:val="center"/>
              <w:rPr>
                <w:color w:val="000000"/>
              </w:rPr>
            </w:pPr>
            <w:r w:rsidRPr="00015E92">
              <w:rPr>
                <w:color w:val="000000"/>
              </w:rPr>
              <w:t>10</w:t>
            </w:r>
          </w:p>
        </w:tc>
        <w:tc>
          <w:tcPr>
            <w:tcW w:w="1832" w:type="dxa"/>
            <w:vAlign w:val="center"/>
          </w:tcPr>
          <w:p w14:paraId="6991E39C" w14:textId="77777777" w:rsidR="00F0519A" w:rsidRPr="00015E92" w:rsidRDefault="00F0519A" w:rsidP="00D050C7">
            <w:pPr>
              <w:jc w:val="center"/>
              <w:rPr>
                <w:color w:val="000000"/>
              </w:rPr>
            </w:pPr>
            <w:r w:rsidRPr="00015E92">
              <w:rPr>
                <w:color w:val="000000"/>
              </w:rPr>
              <w:t>11</w:t>
            </w:r>
          </w:p>
        </w:tc>
      </w:tr>
      <w:tr w:rsidR="00F0519A" w:rsidRPr="00EF3ABA" w14:paraId="0BA002C6" w14:textId="77777777" w:rsidTr="00F014D9">
        <w:trPr>
          <w:trHeight w:val="134"/>
        </w:trPr>
        <w:tc>
          <w:tcPr>
            <w:tcW w:w="2263" w:type="dxa"/>
            <w:vMerge/>
          </w:tcPr>
          <w:p w14:paraId="4E1BB3D9" w14:textId="77777777" w:rsidR="00F0519A" w:rsidRPr="00EF3ABA" w:rsidRDefault="00F0519A" w:rsidP="00D050C7">
            <w:pPr>
              <w:tabs>
                <w:tab w:val="left" w:pos="927"/>
              </w:tabs>
              <w:spacing w:line="480" w:lineRule="auto"/>
              <w:ind w:left="23"/>
              <w:rPr>
                <w:bCs/>
              </w:rPr>
            </w:pPr>
          </w:p>
        </w:tc>
        <w:tc>
          <w:tcPr>
            <w:tcW w:w="1134" w:type="dxa"/>
            <w:vAlign w:val="center"/>
          </w:tcPr>
          <w:p w14:paraId="17CF593C" w14:textId="77777777" w:rsidR="00F0519A" w:rsidRPr="00015E92" w:rsidRDefault="00F0519A" w:rsidP="00D050C7">
            <w:pPr>
              <w:jc w:val="center"/>
              <w:rPr>
                <w:color w:val="000000"/>
              </w:rPr>
            </w:pPr>
            <w:r w:rsidRPr="00015E92">
              <w:rPr>
                <w:color w:val="000000"/>
              </w:rPr>
              <w:t>3</w:t>
            </w:r>
          </w:p>
        </w:tc>
        <w:tc>
          <w:tcPr>
            <w:tcW w:w="1276" w:type="dxa"/>
            <w:vAlign w:val="center"/>
          </w:tcPr>
          <w:p w14:paraId="089F1EA1" w14:textId="77777777" w:rsidR="00F0519A" w:rsidRPr="00015E92" w:rsidRDefault="00F0519A" w:rsidP="00D050C7">
            <w:pPr>
              <w:jc w:val="center"/>
              <w:rPr>
                <w:color w:val="000000"/>
              </w:rPr>
            </w:pPr>
            <w:r w:rsidRPr="00015E92">
              <w:rPr>
                <w:color w:val="000000"/>
              </w:rPr>
              <w:t>8</w:t>
            </w:r>
          </w:p>
        </w:tc>
        <w:tc>
          <w:tcPr>
            <w:tcW w:w="1336" w:type="dxa"/>
            <w:vAlign w:val="center"/>
          </w:tcPr>
          <w:p w14:paraId="5B66B312" w14:textId="77777777" w:rsidR="00F0519A" w:rsidRPr="00015E92" w:rsidRDefault="00F0519A" w:rsidP="00D050C7">
            <w:pPr>
              <w:jc w:val="center"/>
              <w:rPr>
                <w:color w:val="000000"/>
              </w:rPr>
            </w:pPr>
            <w:r w:rsidRPr="00015E92">
              <w:rPr>
                <w:color w:val="000000"/>
              </w:rPr>
              <w:t>9</w:t>
            </w:r>
          </w:p>
        </w:tc>
        <w:tc>
          <w:tcPr>
            <w:tcW w:w="1376" w:type="dxa"/>
            <w:vAlign w:val="center"/>
          </w:tcPr>
          <w:p w14:paraId="0DF0964E" w14:textId="77777777" w:rsidR="00F0519A" w:rsidRPr="00015E92" w:rsidRDefault="00F0519A" w:rsidP="00D050C7">
            <w:pPr>
              <w:jc w:val="center"/>
              <w:rPr>
                <w:color w:val="000000"/>
              </w:rPr>
            </w:pPr>
            <w:r w:rsidRPr="00015E92">
              <w:rPr>
                <w:color w:val="000000"/>
              </w:rPr>
              <w:t>11</w:t>
            </w:r>
          </w:p>
        </w:tc>
        <w:tc>
          <w:tcPr>
            <w:tcW w:w="1832" w:type="dxa"/>
            <w:vAlign w:val="center"/>
          </w:tcPr>
          <w:p w14:paraId="61C2DCDD" w14:textId="77777777" w:rsidR="00F0519A" w:rsidRPr="00015E92" w:rsidRDefault="00F0519A" w:rsidP="00D050C7">
            <w:pPr>
              <w:jc w:val="center"/>
              <w:rPr>
                <w:color w:val="000000"/>
              </w:rPr>
            </w:pPr>
            <w:r w:rsidRPr="00015E92">
              <w:rPr>
                <w:color w:val="000000"/>
              </w:rPr>
              <w:t>13</w:t>
            </w:r>
          </w:p>
        </w:tc>
      </w:tr>
      <w:tr w:rsidR="00F0519A" w:rsidRPr="00EF3ABA" w14:paraId="417F0995" w14:textId="77777777" w:rsidTr="00F014D9">
        <w:trPr>
          <w:trHeight w:val="134"/>
        </w:trPr>
        <w:tc>
          <w:tcPr>
            <w:tcW w:w="2263" w:type="dxa"/>
            <w:vMerge/>
          </w:tcPr>
          <w:p w14:paraId="14971C68" w14:textId="77777777" w:rsidR="00F0519A" w:rsidRPr="00EF3ABA" w:rsidRDefault="00F0519A" w:rsidP="00D050C7">
            <w:pPr>
              <w:tabs>
                <w:tab w:val="left" w:pos="927"/>
              </w:tabs>
              <w:spacing w:line="480" w:lineRule="auto"/>
              <w:ind w:left="23"/>
              <w:rPr>
                <w:bCs/>
              </w:rPr>
            </w:pPr>
          </w:p>
        </w:tc>
        <w:tc>
          <w:tcPr>
            <w:tcW w:w="1134" w:type="dxa"/>
            <w:vAlign w:val="center"/>
          </w:tcPr>
          <w:p w14:paraId="04297749" w14:textId="77777777" w:rsidR="00F0519A" w:rsidRPr="00015E92" w:rsidRDefault="00F0519A" w:rsidP="00D050C7">
            <w:pPr>
              <w:jc w:val="center"/>
              <w:rPr>
                <w:color w:val="000000"/>
              </w:rPr>
            </w:pPr>
            <w:r w:rsidRPr="00015E92">
              <w:rPr>
                <w:color w:val="000000"/>
              </w:rPr>
              <w:t>1</w:t>
            </w:r>
          </w:p>
        </w:tc>
        <w:tc>
          <w:tcPr>
            <w:tcW w:w="1276" w:type="dxa"/>
            <w:vAlign w:val="center"/>
          </w:tcPr>
          <w:p w14:paraId="45D1D328" w14:textId="77777777" w:rsidR="00F0519A" w:rsidRPr="00015E92" w:rsidRDefault="00F0519A" w:rsidP="00D050C7">
            <w:pPr>
              <w:jc w:val="center"/>
              <w:rPr>
                <w:color w:val="000000"/>
              </w:rPr>
            </w:pPr>
            <w:r w:rsidRPr="00015E92">
              <w:rPr>
                <w:color w:val="000000"/>
              </w:rPr>
              <w:t>5</w:t>
            </w:r>
          </w:p>
        </w:tc>
        <w:tc>
          <w:tcPr>
            <w:tcW w:w="1336" w:type="dxa"/>
            <w:vAlign w:val="center"/>
          </w:tcPr>
          <w:p w14:paraId="1D9E82BF" w14:textId="77777777" w:rsidR="00F0519A" w:rsidRPr="00015E92" w:rsidRDefault="00F0519A" w:rsidP="00D050C7">
            <w:pPr>
              <w:jc w:val="center"/>
              <w:rPr>
                <w:color w:val="000000"/>
              </w:rPr>
            </w:pPr>
            <w:r w:rsidRPr="00015E92">
              <w:rPr>
                <w:color w:val="000000"/>
              </w:rPr>
              <w:t>7</w:t>
            </w:r>
          </w:p>
        </w:tc>
        <w:tc>
          <w:tcPr>
            <w:tcW w:w="1376" w:type="dxa"/>
            <w:vAlign w:val="center"/>
          </w:tcPr>
          <w:p w14:paraId="650A8B5D" w14:textId="77777777" w:rsidR="00F0519A" w:rsidRPr="00015E92" w:rsidRDefault="00F0519A" w:rsidP="00D050C7">
            <w:pPr>
              <w:jc w:val="center"/>
              <w:rPr>
                <w:color w:val="000000"/>
              </w:rPr>
            </w:pPr>
            <w:r w:rsidRPr="00015E92">
              <w:rPr>
                <w:color w:val="000000"/>
              </w:rPr>
              <w:t>11</w:t>
            </w:r>
          </w:p>
        </w:tc>
        <w:tc>
          <w:tcPr>
            <w:tcW w:w="1832" w:type="dxa"/>
            <w:vAlign w:val="center"/>
          </w:tcPr>
          <w:p w14:paraId="60914E8B" w14:textId="77777777" w:rsidR="00F0519A" w:rsidRPr="00015E92" w:rsidRDefault="00F0519A" w:rsidP="00D050C7">
            <w:pPr>
              <w:jc w:val="center"/>
              <w:rPr>
                <w:color w:val="000000"/>
              </w:rPr>
            </w:pPr>
            <w:r w:rsidRPr="00015E92">
              <w:rPr>
                <w:color w:val="000000"/>
              </w:rPr>
              <w:t>15</w:t>
            </w:r>
          </w:p>
        </w:tc>
      </w:tr>
      <w:tr w:rsidR="00F0519A" w:rsidRPr="00EF3ABA" w14:paraId="62FB5B13" w14:textId="77777777" w:rsidTr="00F014D9">
        <w:trPr>
          <w:trHeight w:val="134"/>
        </w:trPr>
        <w:tc>
          <w:tcPr>
            <w:tcW w:w="2263" w:type="dxa"/>
            <w:vMerge/>
          </w:tcPr>
          <w:p w14:paraId="419F5FDD" w14:textId="77777777" w:rsidR="00F0519A" w:rsidRPr="00EF3ABA" w:rsidRDefault="00F0519A" w:rsidP="00D050C7">
            <w:pPr>
              <w:tabs>
                <w:tab w:val="left" w:pos="927"/>
              </w:tabs>
              <w:spacing w:line="480" w:lineRule="auto"/>
              <w:ind w:left="23"/>
              <w:rPr>
                <w:bCs/>
              </w:rPr>
            </w:pPr>
          </w:p>
        </w:tc>
        <w:tc>
          <w:tcPr>
            <w:tcW w:w="1134" w:type="dxa"/>
            <w:vAlign w:val="center"/>
          </w:tcPr>
          <w:p w14:paraId="1A2D66BF" w14:textId="77777777" w:rsidR="00F0519A" w:rsidRPr="00015E92" w:rsidRDefault="00F0519A" w:rsidP="00D050C7">
            <w:pPr>
              <w:jc w:val="center"/>
              <w:rPr>
                <w:color w:val="000000"/>
              </w:rPr>
            </w:pPr>
            <w:r w:rsidRPr="00015E92">
              <w:rPr>
                <w:color w:val="000000"/>
              </w:rPr>
              <w:t>1</w:t>
            </w:r>
          </w:p>
        </w:tc>
        <w:tc>
          <w:tcPr>
            <w:tcW w:w="1276" w:type="dxa"/>
            <w:vAlign w:val="center"/>
          </w:tcPr>
          <w:p w14:paraId="5ACB6F79" w14:textId="77777777" w:rsidR="00F0519A" w:rsidRPr="00015E92" w:rsidRDefault="00F0519A" w:rsidP="00D050C7">
            <w:pPr>
              <w:jc w:val="center"/>
              <w:rPr>
                <w:color w:val="000000"/>
              </w:rPr>
            </w:pPr>
            <w:r w:rsidRPr="00015E92">
              <w:rPr>
                <w:color w:val="000000"/>
              </w:rPr>
              <w:t>5</w:t>
            </w:r>
          </w:p>
        </w:tc>
        <w:tc>
          <w:tcPr>
            <w:tcW w:w="1336" w:type="dxa"/>
            <w:vAlign w:val="center"/>
          </w:tcPr>
          <w:p w14:paraId="498056BD" w14:textId="77777777" w:rsidR="00F0519A" w:rsidRPr="00015E92" w:rsidRDefault="00F0519A" w:rsidP="00D050C7">
            <w:pPr>
              <w:jc w:val="center"/>
              <w:rPr>
                <w:color w:val="000000"/>
              </w:rPr>
            </w:pPr>
            <w:r w:rsidRPr="00015E92">
              <w:rPr>
                <w:color w:val="000000"/>
              </w:rPr>
              <w:t>6</w:t>
            </w:r>
          </w:p>
        </w:tc>
        <w:tc>
          <w:tcPr>
            <w:tcW w:w="1376" w:type="dxa"/>
            <w:vAlign w:val="center"/>
          </w:tcPr>
          <w:p w14:paraId="5B8C6C12" w14:textId="77777777" w:rsidR="00F0519A" w:rsidRPr="00015E92" w:rsidRDefault="00F0519A" w:rsidP="00D050C7">
            <w:pPr>
              <w:jc w:val="center"/>
              <w:rPr>
                <w:color w:val="000000"/>
              </w:rPr>
            </w:pPr>
            <w:r w:rsidRPr="00015E92">
              <w:rPr>
                <w:color w:val="000000"/>
              </w:rPr>
              <w:t>8</w:t>
            </w:r>
          </w:p>
        </w:tc>
        <w:tc>
          <w:tcPr>
            <w:tcW w:w="1832" w:type="dxa"/>
            <w:vAlign w:val="center"/>
          </w:tcPr>
          <w:p w14:paraId="351ADF75" w14:textId="77777777" w:rsidR="00F0519A" w:rsidRPr="00015E92" w:rsidRDefault="00F0519A" w:rsidP="00D050C7">
            <w:pPr>
              <w:jc w:val="center"/>
              <w:rPr>
                <w:color w:val="000000"/>
              </w:rPr>
            </w:pPr>
            <w:r w:rsidRPr="00015E92">
              <w:rPr>
                <w:color w:val="000000"/>
              </w:rPr>
              <w:t>12</w:t>
            </w:r>
          </w:p>
        </w:tc>
      </w:tr>
      <w:tr w:rsidR="00F0519A" w:rsidRPr="00EF3ABA" w14:paraId="28BE6B5D" w14:textId="77777777" w:rsidTr="00F014D9">
        <w:trPr>
          <w:trHeight w:val="134"/>
        </w:trPr>
        <w:tc>
          <w:tcPr>
            <w:tcW w:w="2263" w:type="dxa"/>
            <w:vMerge/>
          </w:tcPr>
          <w:p w14:paraId="5FE1E45B" w14:textId="77777777" w:rsidR="00F0519A" w:rsidRPr="00EF3ABA" w:rsidRDefault="00F0519A" w:rsidP="00D050C7">
            <w:pPr>
              <w:tabs>
                <w:tab w:val="left" w:pos="927"/>
              </w:tabs>
              <w:spacing w:line="480" w:lineRule="auto"/>
              <w:ind w:left="23"/>
              <w:rPr>
                <w:bCs/>
              </w:rPr>
            </w:pPr>
          </w:p>
        </w:tc>
        <w:tc>
          <w:tcPr>
            <w:tcW w:w="1134" w:type="dxa"/>
            <w:vAlign w:val="center"/>
          </w:tcPr>
          <w:p w14:paraId="78026BF2" w14:textId="77777777" w:rsidR="00F0519A" w:rsidRPr="00015E92" w:rsidRDefault="00F0519A" w:rsidP="00D050C7">
            <w:pPr>
              <w:jc w:val="center"/>
              <w:rPr>
                <w:color w:val="000000"/>
              </w:rPr>
            </w:pPr>
            <w:r w:rsidRPr="00015E92">
              <w:rPr>
                <w:color w:val="000000"/>
              </w:rPr>
              <w:t>2</w:t>
            </w:r>
          </w:p>
        </w:tc>
        <w:tc>
          <w:tcPr>
            <w:tcW w:w="1276" w:type="dxa"/>
            <w:vAlign w:val="center"/>
          </w:tcPr>
          <w:p w14:paraId="0FF40A8B" w14:textId="77777777" w:rsidR="00F0519A" w:rsidRPr="00015E92" w:rsidRDefault="00F0519A" w:rsidP="00D050C7">
            <w:pPr>
              <w:jc w:val="center"/>
              <w:rPr>
                <w:color w:val="000000"/>
              </w:rPr>
            </w:pPr>
            <w:r w:rsidRPr="00015E92">
              <w:rPr>
                <w:color w:val="000000"/>
              </w:rPr>
              <w:t>7</w:t>
            </w:r>
          </w:p>
        </w:tc>
        <w:tc>
          <w:tcPr>
            <w:tcW w:w="1336" w:type="dxa"/>
            <w:vAlign w:val="center"/>
          </w:tcPr>
          <w:p w14:paraId="20453211" w14:textId="77777777" w:rsidR="00F0519A" w:rsidRPr="00015E92" w:rsidRDefault="00F0519A" w:rsidP="00D050C7">
            <w:pPr>
              <w:jc w:val="center"/>
              <w:rPr>
                <w:color w:val="000000"/>
              </w:rPr>
            </w:pPr>
            <w:r w:rsidRPr="00015E92">
              <w:rPr>
                <w:color w:val="000000"/>
              </w:rPr>
              <w:t>8</w:t>
            </w:r>
          </w:p>
        </w:tc>
        <w:tc>
          <w:tcPr>
            <w:tcW w:w="1376" w:type="dxa"/>
            <w:vAlign w:val="center"/>
          </w:tcPr>
          <w:p w14:paraId="199E792A" w14:textId="77777777" w:rsidR="00F0519A" w:rsidRPr="00015E92" w:rsidRDefault="00F0519A" w:rsidP="00D050C7">
            <w:pPr>
              <w:jc w:val="center"/>
              <w:rPr>
                <w:color w:val="000000"/>
              </w:rPr>
            </w:pPr>
            <w:r w:rsidRPr="00015E92">
              <w:rPr>
                <w:color w:val="000000"/>
              </w:rPr>
              <w:t>10</w:t>
            </w:r>
          </w:p>
        </w:tc>
        <w:tc>
          <w:tcPr>
            <w:tcW w:w="1832" w:type="dxa"/>
            <w:vAlign w:val="center"/>
          </w:tcPr>
          <w:p w14:paraId="6F9B0291" w14:textId="77777777" w:rsidR="00F0519A" w:rsidRPr="00015E92" w:rsidRDefault="00F0519A" w:rsidP="00D050C7">
            <w:pPr>
              <w:jc w:val="center"/>
              <w:rPr>
                <w:color w:val="000000"/>
              </w:rPr>
            </w:pPr>
            <w:r w:rsidRPr="00015E92">
              <w:rPr>
                <w:color w:val="000000"/>
              </w:rPr>
              <w:t>13</w:t>
            </w:r>
          </w:p>
        </w:tc>
      </w:tr>
      <w:tr w:rsidR="00F0519A" w:rsidRPr="00EF3ABA" w14:paraId="345A69A1" w14:textId="77777777" w:rsidTr="00F014D9">
        <w:trPr>
          <w:trHeight w:val="134"/>
        </w:trPr>
        <w:tc>
          <w:tcPr>
            <w:tcW w:w="2263" w:type="dxa"/>
            <w:vMerge/>
          </w:tcPr>
          <w:p w14:paraId="2C299DD6" w14:textId="77777777" w:rsidR="00F0519A" w:rsidRPr="00EF3ABA" w:rsidRDefault="00F0519A" w:rsidP="00D050C7">
            <w:pPr>
              <w:tabs>
                <w:tab w:val="left" w:pos="927"/>
              </w:tabs>
              <w:spacing w:line="480" w:lineRule="auto"/>
              <w:ind w:left="23"/>
              <w:rPr>
                <w:bCs/>
              </w:rPr>
            </w:pPr>
          </w:p>
        </w:tc>
        <w:tc>
          <w:tcPr>
            <w:tcW w:w="1134" w:type="dxa"/>
            <w:vAlign w:val="center"/>
          </w:tcPr>
          <w:p w14:paraId="5398E66B" w14:textId="77777777" w:rsidR="00F0519A" w:rsidRPr="00015E92" w:rsidRDefault="00F0519A" w:rsidP="00D050C7">
            <w:pPr>
              <w:jc w:val="center"/>
              <w:rPr>
                <w:color w:val="000000"/>
              </w:rPr>
            </w:pPr>
            <w:r w:rsidRPr="00015E92">
              <w:rPr>
                <w:color w:val="000000"/>
              </w:rPr>
              <w:t>1</w:t>
            </w:r>
          </w:p>
        </w:tc>
        <w:tc>
          <w:tcPr>
            <w:tcW w:w="1276" w:type="dxa"/>
            <w:vAlign w:val="center"/>
          </w:tcPr>
          <w:p w14:paraId="2BCC823F" w14:textId="77777777" w:rsidR="00F0519A" w:rsidRPr="00015E92" w:rsidRDefault="00F0519A" w:rsidP="00D050C7">
            <w:pPr>
              <w:jc w:val="center"/>
              <w:rPr>
                <w:color w:val="000000"/>
              </w:rPr>
            </w:pPr>
            <w:r w:rsidRPr="00015E92">
              <w:rPr>
                <w:color w:val="000000"/>
              </w:rPr>
              <w:t>4</w:t>
            </w:r>
          </w:p>
        </w:tc>
        <w:tc>
          <w:tcPr>
            <w:tcW w:w="1336" w:type="dxa"/>
            <w:vAlign w:val="center"/>
          </w:tcPr>
          <w:p w14:paraId="5FAD6986" w14:textId="77777777" w:rsidR="00F0519A" w:rsidRPr="00015E92" w:rsidRDefault="00F0519A" w:rsidP="00D050C7">
            <w:pPr>
              <w:jc w:val="center"/>
              <w:rPr>
                <w:color w:val="000000"/>
              </w:rPr>
            </w:pPr>
            <w:r w:rsidRPr="00015E92">
              <w:rPr>
                <w:color w:val="000000"/>
              </w:rPr>
              <w:t>7</w:t>
            </w:r>
          </w:p>
        </w:tc>
        <w:tc>
          <w:tcPr>
            <w:tcW w:w="1376" w:type="dxa"/>
            <w:vAlign w:val="center"/>
          </w:tcPr>
          <w:p w14:paraId="1AB63431" w14:textId="77777777" w:rsidR="00F0519A" w:rsidRPr="00015E92" w:rsidRDefault="00F0519A" w:rsidP="00D050C7">
            <w:pPr>
              <w:jc w:val="center"/>
              <w:rPr>
                <w:color w:val="000000"/>
              </w:rPr>
            </w:pPr>
            <w:r w:rsidRPr="00015E92">
              <w:rPr>
                <w:color w:val="000000"/>
              </w:rPr>
              <w:t>13</w:t>
            </w:r>
          </w:p>
        </w:tc>
        <w:tc>
          <w:tcPr>
            <w:tcW w:w="1832" w:type="dxa"/>
            <w:vAlign w:val="center"/>
          </w:tcPr>
          <w:p w14:paraId="5AFCEE9A" w14:textId="77777777" w:rsidR="00F0519A" w:rsidRPr="00015E92" w:rsidRDefault="00F0519A" w:rsidP="00D050C7">
            <w:pPr>
              <w:jc w:val="center"/>
              <w:rPr>
                <w:color w:val="000000"/>
              </w:rPr>
            </w:pPr>
            <w:r w:rsidRPr="00015E92">
              <w:rPr>
                <w:color w:val="000000"/>
              </w:rPr>
              <w:t>14</w:t>
            </w:r>
          </w:p>
        </w:tc>
      </w:tr>
      <w:tr w:rsidR="00F0519A" w:rsidRPr="00EF3ABA" w14:paraId="7E6C13E5" w14:textId="77777777" w:rsidTr="00F014D9">
        <w:trPr>
          <w:trHeight w:val="134"/>
        </w:trPr>
        <w:tc>
          <w:tcPr>
            <w:tcW w:w="2263" w:type="dxa"/>
            <w:vMerge/>
          </w:tcPr>
          <w:p w14:paraId="0B931D9C" w14:textId="77777777" w:rsidR="00F0519A" w:rsidRPr="00EF3ABA" w:rsidRDefault="00F0519A" w:rsidP="00D050C7">
            <w:pPr>
              <w:tabs>
                <w:tab w:val="left" w:pos="927"/>
              </w:tabs>
              <w:spacing w:line="480" w:lineRule="auto"/>
              <w:ind w:left="23"/>
              <w:rPr>
                <w:bCs/>
              </w:rPr>
            </w:pPr>
          </w:p>
        </w:tc>
        <w:tc>
          <w:tcPr>
            <w:tcW w:w="1134" w:type="dxa"/>
            <w:vAlign w:val="center"/>
          </w:tcPr>
          <w:p w14:paraId="25E38E2A" w14:textId="77777777" w:rsidR="00F0519A" w:rsidRPr="00015E92" w:rsidRDefault="00F0519A" w:rsidP="00D050C7">
            <w:pPr>
              <w:jc w:val="center"/>
              <w:rPr>
                <w:color w:val="000000"/>
              </w:rPr>
            </w:pPr>
            <w:r w:rsidRPr="00015E92">
              <w:rPr>
                <w:color w:val="000000"/>
              </w:rPr>
              <w:t>3</w:t>
            </w:r>
          </w:p>
        </w:tc>
        <w:tc>
          <w:tcPr>
            <w:tcW w:w="1276" w:type="dxa"/>
            <w:vAlign w:val="center"/>
          </w:tcPr>
          <w:p w14:paraId="25D1A658" w14:textId="77777777" w:rsidR="00F0519A" w:rsidRPr="00015E92" w:rsidRDefault="00F0519A" w:rsidP="00D050C7">
            <w:pPr>
              <w:jc w:val="center"/>
              <w:rPr>
                <w:color w:val="000000"/>
              </w:rPr>
            </w:pPr>
            <w:r w:rsidRPr="00015E92">
              <w:rPr>
                <w:color w:val="000000"/>
              </w:rPr>
              <w:t>8</w:t>
            </w:r>
          </w:p>
        </w:tc>
        <w:tc>
          <w:tcPr>
            <w:tcW w:w="1336" w:type="dxa"/>
            <w:vAlign w:val="center"/>
          </w:tcPr>
          <w:p w14:paraId="76E74393" w14:textId="77777777" w:rsidR="00F0519A" w:rsidRPr="00015E92" w:rsidRDefault="00F0519A" w:rsidP="00D050C7">
            <w:pPr>
              <w:jc w:val="center"/>
              <w:rPr>
                <w:color w:val="000000"/>
              </w:rPr>
            </w:pPr>
            <w:r w:rsidRPr="00015E92">
              <w:rPr>
                <w:color w:val="000000"/>
              </w:rPr>
              <w:t>9</w:t>
            </w:r>
          </w:p>
        </w:tc>
        <w:tc>
          <w:tcPr>
            <w:tcW w:w="1376" w:type="dxa"/>
            <w:vAlign w:val="center"/>
          </w:tcPr>
          <w:p w14:paraId="211854CB" w14:textId="77777777" w:rsidR="00F0519A" w:rsidRPr="00015E92" w:rsidRDefault="00F0519A" w:rsidP="00D050C7">
            <w:pPr>
              <w:jc w:val="center"/>
              <w:rPr>
                <w:color w:val="000000"/>
              </w:rPr>
            </w:pPr>
            <w:r w:rsidRPr="00015E92">
              <w:rPr>
                <w:color w:val="000000"/>
              </w:rPr>
              <w:t>13</w:t>
            </w:r>
          </w:p>
        </w:tc>
        <w:tc>
          <w:tcPr>
            <w:tcW w:w="1832" w:type="dxa"/>
            <w:vAlign w:val="center"/>
          </w:tcPr>
          <w:p w14:paraId="3D79A2EC" w14:textId="77777777" w:rsidR="00F0519A" w:rsidRPr="00015E92" w:rsidRDefault="00F0519A" w:rsidP="00D050C7">
            <w:pPr>
              <w:jc w:val="center"/>
              <w:rPr>
                <w:color w:val="000000"/>
              </w:rPr>
            </w:pPr>
            <w:r w:rsidRPr="00015E92">
              <w:rPr>
                <w:color w:val="000000"/>
              </w:rPr>
              <w:t>14</w:t>
            </w:r>
          </w:p>
        </w:tc>
      </w:tr>
      <w:tr w:rsidR="00F0519A" w:rsidRPr="00EF3ABA" w14:paraId="4978A749" w14:textId="77777777" w:rsidTr="00F014D9">
        <w:trPr>
          <w:trHeight w:val="134"/>
        </w:trPr>
        <w:tc>
          <w:tcPr>
            <w:tcW w:w="2263" w:type="dxa"/>
            <w:vMerge/>
          </w:tcPr>
          <w:p w14:paraId="13442211" w14:textId="77777777" w:rsidR="00F0519A" w:rsidRPr="00EF3ABA" w:rsidRDefault="00F0519A" w:rsidP="00D050C7">
            <w:pPr>
              <w:tabs>
                <w:tab w:val="left" w:pos="927"/>
              </w:tabs>
              <w:spacing w:line="480" w:lineRule="auto"/>
              <w:ind w:left="23"/>
              <w:rPr>
                <w:bCs/>
              </w:rPr>
            </w:pPr>
          </w:p>
        </w:tc>
        <w:tc>
          <w:tcPr>
            <w:tcW w:w="1134" w:type="dxa"/>
            <w:vAlign w:val="center"/>
          </w:tcPr>
          <w:p w14:paraId="37DBB2FA" w14:textId="77777777" w:rsidR="00F0519A" w:rsidRPr="00015E92" w:rsidRDefault="00F0519A" w:rsidP="00D050C7">
            <w:pPr>
              <w:jc w:val="center"/>
              <w:rPr>
                <w:color w:val="000000"/>
              </w:rPr>
            </w:pPr>
            <w:r w:rsidRPr="00015E92">
              <w:rPr>
                <w:color w:val="000000"/>
              </w:rPr>
              <w:t>2</w:t>
            </w:r>
          </w:p>
        </w:tc>
        <w:tc>
          <w:tcPr>
            <w:tcW w:w="1276" w:type="dxa"/>
            <w:vAlign w:val="center"/>
          </w:tcPr>
          <w:p w14:paraId="026E01A2" w14:textId="77777777" w:rsidR="00F0519A" w:rsidRPr="00015E92" w:rsidRDefault="00F0519A" w:rsidP="00D050C7">
            <w:pPr>
              <w:jc w:val="center"/>
              <w:rPr>
                <w:color w:val="000000"/>
              </w:rPr>
            </w:pPr>
            <w:r w:rsidRPr="00015E92">
              <w:rPr>
                <w:color w:val="000000"/>
              </w:rPr>
              <w:t>7</w:t>
            </w:r>
          </w:p>
        </w:tc>
        <w:tc>
          <w:tcPr>
            <w:tcW w:w="1336" w:type="dxa"/>
            <w:vAlign w:val="center"/>
          </w:tcPr>
          <w:p w14:paraId="51414B0A" w14:textId="77777777" w:rsidR="00F0519A" w:rsidRPr="00015E92" w:rsidRDefault="00F0519A" w:rsidP="00D050C7">
            <w:pPr>
              <w:jc w:val="center"/>
              <w:rPr>
                <w:color w:val="000000"/>
              </w:rPr>
            </w:pPr>
            <w:r w:rsidRPr="00015E92">
              <w:rPr>
                <w:color w:val="000000"/>
              </w:rPr>
              <w:t>9</w:t>
            </w:r>
          </w:p>
        </w:tc>
        <w:tc>
          <w:tcPr>
            <w:tcW w:w="1376" w:type="dxa"/>
            <w:vAlign w:val="center"/>
          </w:tcPr>
          <w:p w14:paraId="50E89866" w14:textId="77777777" w:rsidR="00F0519A" w:rsidRPr="00015E92" w:rsidRDefault="00F0519A" w:rsidP="00D050C7">
            <w:pPr>
              <w:jc w:val="center"/>
              <w:rPr>
                <w:color w:val="000000"/>
              </w:rPr>
            </w:pPr>
            <w:r w:rsidRPr="00015E92">
              <w:rPr>
                <w:color w:val="000000"/>
              </w:rPr>
              <w:t>11</w:t>
            </w:r>
          </w:p>
        </w:tc>
        <w:tc>
          <w:tcPr>
            <w:tcW w:w="1832" w:type="dxa"/>
            <w:vAlign w:val="center"/>
          </w:tcPr>
          <w:p w14:paraId="062B62C4" w14:textId="77777777" w:rsidR="00F0519A" w:rsidRPr="00015E92" w:rsidRDefault="00F0519A" w:rsidP="00D050C7">
            <w:pPr>
              <w:jc w:val="center"/>
              <w:rPr>
                <w:color w:val="000000"/>
              </w:rPr>
            </w:pPr>
            <w:r w:rsidRPr="00015E92">
              <w:rPr>
                <w:color w:val="000000"/>
              </w:rPr>
              <w:t>13</w:t>
            </w:r>
          </w:p>
        </w:tc>
      </w:tr>
      <w:tr w:rsidR="00F0519A" w:rsidRPr="00EF3ABA" w14:paraId="36B76737" w14:textId="77777777" w:rsidTr="00F014D9">
        <w:trPr>
          <w:trHeight w:val="134"/>
        </w:trPr>
        <w:tc>
          <w:tcPr>
            <w:tcW w:w="2263" w:type="dxa"/>
            <w:vMerge/>
          </w:tcPr>
          <w:p w14:paraId="34B66A32" w14:textId="77777777" w:rsidR="00F0519A" w:rsidRPr="00EF3ABA" w:rsidRDefault="00F0519A" w:rsidP="00D050C7">
            <w:pPr>
              <w:tabs>
                <w:tab w:val="left" w:pos="927"/>
              </w:tabs>
              <w:spacing w:line="480" w:lineRule="auto"/>
              <w:ind w:left="23"/>
              <w:rPr>
                <w:bCs/>
              </w:rPr>
            </w:pPr>
          </w:p>
        </w:tc>
        <w:tc>
          <w:tcPr>
            <w:tcW w:w="1134" w:type="dxa"/>
            <w:vAlign w:val="center"/>
          </w:tcPr>
          <w:p w14:paraId="5514CF5D" w14:textId="77777777" w:rsidR="00F0519A" w:rsidRPr="00015E92" w:rsidRDefault="00F0519A" w:rsidP="00D050C7">
            <w:pPr>
              <w:jc w:val="center"/>
              <w:rPr>
                <w:color w:val="000000"/>
              </w:rPr>
            </w:pPr>
            <w:r w:rsidRPr="00015E92">
              <w:rPr>
                <w:color w:val="000000"/>
              </w:rPr>
              <w:t>1</w:t>
            </w:r>
          </w:p>
        </w:tc>
        <w:tc>
          <w:tcPr>
            <w:tcW w:w="1276" w:type="dxa"/>
            <w:vAlign w:val="center"/>
          </w:tcPr>
          <w:p w14:paraId="1A63FC67" w14:textId="77777777" w:rsidR="00F0519A" w:rsidRPr="00015E92" w:rsidRDefault="00F0519A" w:rsidP="00D050C7">
            <w:pPr>
              <w:jc w:val="center"/>
              <w:rPr>
                <w:color w:val="000000"/>
              </w:rPr>
            </w:pPr>
            <w:r w:rsidRPr="00015E92">
              <w:rPr>
                <w:color w:val="000000"/>
              </w:rPr>
              <w:t>7</w:t>
            </w:r>
          </w:p>
        </w:tc>
        <w:tc>
          <w:tcPr>
            <w:tcW w:w="1336" w:type="dxa"/>
            <w:vAlign w:val="center"/>
          </w:tcPr>
          <w:p w14:paraId="08D6B830" w14:textId="77777777" w:rsidR="00F0519A" w:rsidRPr="00015E92" w:rsidRDefault="00F0519A" w:rsidP="00D050C7">
            <w:pPr>
              <w:jc w:val="center"/>
              <w:rPr>
                <w:color w:val="000000"/>
              </w:rPr>
            </w:pPr>
            <w:r w:rsidRPr="00015E92">
              <w:rPr>
                <w:color w:val="000000"/>
              </w:rPr>
              <w:t>8</w:t>
            </w:r>
          </w:p>
        </w:tc>
        <w:tc>
          <w:tcPr>
            <w:tcW w:w="1376" w:type="dxa"/>
            <w:vAlign w:val="center"/>
          </w:tcPr>
          <w:p w14:paraId="3064C8D4" w14:textId="77777777" w:rsidR="00F0519A" w:rsidRPr="00015E92" w:rsidRDefault="00F0519A" w:rsidP="00D050C7">
            <w:pPr>
              <w:jc w:val="center"/>
              <w:rPr>
                <w:color w:val="000000"/>
              </w:rPr>
            </w:pPr>
            <w:r w:rsidRPr="00015E92">
              <w:rPr>
                <w:color w:val="000000"/>
              </w:rPr>
              <w:t>12</w:t>
            </w:r>
          </w:p>
        </w:tc>
        <w:tc>
          <w:tcPr>
            <w:tcW w:w="1832" w:type="dxa"/>
            <w:vAlign w:val="center"/>
          </w:tcPr>
          <w:p w14:paraId="25793A1E" w14:textId="77777777" w:rsidR="00F0519A" w:rsidRPr="00015E92" w:rsidRDefault="00F0519A" w:rsidP="00D050C7">
            <w:pPr>
              <w:jc w:val="center"/>
              <w:rPr>
                <w:color w:val="000000"/>
              </w:rPr>
            </w:pPr>
            <w:r w:rsidRPr="00015E92">
              <w:rPr>
                <w:color w:val="000000"/>
              </w:rPr>
              <w:t>14</w:t>
            </w:r>
          </w:p>
        </w:tc>
      </w:tr>
      <w:tr w:rsidR="00F0519A" w:rsidRPr="00EF3ABA" w14:paraId="4C8B82AC" w14:textId="77777777" w:rsidTr="00F014D9">
        <w:trPr>
          <w:trHeight w:val="134"/>
        </w:trPr>
        <w:tc>
          <w:tcPr>
            <w:tcW w:w="2263" w:type="dxa"/>
            <w:vMerge/>
          </w:tcPr>
          <w:p w14:paraId="34FF8C69" w14:textId="77777777" w:rsidR="00F0519A" w:rsidRPr="00EF3ABA" w:rsidRDefault="00F0519A" w:rsidP="00D050C7">
            <w:pPr>
              <w:tabs>
                <w:tab w:val="left" w:pos="927"/>
              </w:tabs>
              <w:spacing w:line="480" w:lineRule="auto"/>
              <w:ind w:left="23"/>
              <w:rPr>
                <w:bCs/>
              </w:rPr>
            </w:pPr>
          </w:p>
        </w:tc>
        <w:tc>
          <w:tcPr>
            <w:tcW w:w="1134" w:type="dxa"/>
            <w:vAlign w:val="center"/>
          </w:tcPr>
          <w:p w14:paraId="4ABA7368" w14:textId="77777777" w:rsidR="00F0519A" w:rsidRPr="00015E92" w:rsidRDefault="00F0519A" w:rsidP="00D050C7">
            <w:pPr>
              <w:jc w:val="center"/>
              <w:rPr>
                <w:color w:val="000000"/>
              </w:rPr>
            </w:pPr>
            <w:r w:rsidRPr="00015E92">
              <w:rPr>
                <w:color w:val="000000"/>
              </w:rPr>
              <w:t>1</w:t>
            </w:r>
          </w:p>
        </w:tc>
        <w:tc>
          <w:tcPr>
            <w:tcW w:w="1276" w:type="dxa"/>
            <w:vAlign w:val="center"/>
          </w:tcPr>
          <w:p w14:paraId="6DEA3FC2" w14:textId="77777777" w:rsidR="00F0519A" w:rsidRPr="00015E92" w:rsidRDefault="00F0519A" w:rsidP="00D050C7">
            <w:pPr>
              <w:jc w:val="center"/>
              <w:rPr>
                <w:color w:val="000000"/>
              </w:rPr>
            </w:pPr>
            <w:r w:rsidRPr="00015E92">
              <w:rPr>
                <w:color w:val="000000"/>
              </w:rPr>
              <w:t>5</w:t>
            </w:r>
          </w:p>
        </w:tc>
        <w:tc>
          <w:tcPr>
            <w:tcW w:w="1336" w:type="dxa"/>
            <w:vAlign w:val="center"/>
          </w:tcPr>
          <w:p w14:paraId="4E9CF3A8" w14:textId="77777777" w:rsidR="00F0519A" w:rsidRPr="00015E92" w:rsidRDefault="00F0519A" w:rsidP="00D050C7">
            <w:pPr>
              <w:jc w:val="center"/>
              <w:rPr>
                <w:color w:val="000000"/>
              </w:rPr>
            </w:pPr>
            <w:r w:rsidRPr="00015E92">
              <w:rPr>
                <w:color w:val="000000"/>
              </w:rPr>
              <w:t>8</w:t>
            </w:r>
          </w:p>
        </w:tc>
        <w:tc>
          <w:tcPr>
            <w:tcW w:w="1376" w:type="dxa"/>
            <w:vAlign w:val="center"/>
          </w:tcPr>
          <w:p w14:paraId="763C495F" w14:textId="77777777" w:rsidR="00F0519A" w:rsidRPr="00015E92" w:rsidRDefault="00F0519A" w:rsidP="00D050C7">
            <w:pPr>
              <w:jc w:val="center"/>
              <w:rPr>
                <w:color w:val="000000"/>
              </w:rPr>
            </w:pPr>
            <w:r w:rsidRPr="00015E92">
              <w:rPr>
                <w:color w:val="000000"/>
              </w:rPr>
              <w:t>12</w:t>
            </w:r>
          </w:p>
        </w:tc>
        <w:tc>
          <w:tcPr>
            <w:tcW w:w="1832" w:type="dxa"/>
            <w:vAlign w:val="center"/>
          </w:tcPr>
          <w:p w14:paraId="01D7BD72" w14:textId="77777777" w:rsidR="00F0519A" w:rsidRPr="00015E92" w:rsidRDefault="00F0519A" w:rsidP="00D050C7">
            <w:pPr>
              <w:jc w:val="center"/>
              <w:rPr>
                <w:color w:val="000000"/>
              </w:rPr>
            </w:pPr>
            <w:r w:rsidRPr="00015E92">
              <w:rPr>
                <w:color w:val="000000"/>
              </w:rPr>
              <w:t>15</w:t>
            </w:r>
          </w:p>
        </w:tc>
      </w:tr>
      <w:tr w:rsidR="00F0519A" w:rsidRPr="00EF3ABA" w14:paraId="1FDF6C2A" w14:textId="77777777" w:rsidTr="00F014D9">
        <w:trPr>
          <w:trHeight w:val="134"/>
        </w:trPr>
        <w:tc>
          <w:tcPr>
            <w:tcW w:w="2263" w:type="dxa"/>
            <w:vMerge/>
          </w:tcPr>
          <w:p w14:paraId="1F20EC89" w14:textId="77777777" w:rsidR="00F0519A" w:rsidRPr="00EF3ABA" w:rsidRDefault="00F0519A" w:rsidP="00D050C7">
            <w:pPr>
              <w:tabs>
                <w:tab w:val="left" w:pos="927"/>
              </w:tabs>
              <w:spacing w:line="480" w:lineRule="auto"/>
              <w:ind w:left="23"/>
              <w:rPr>
                <w:bCs/>
              </w:rPr>
            </w:pPr>
          </w:p>
        </w:tc>
        <w:tc>
          <w:tcPr>
            <w:tcW w:w="1134" w:type="dxa"/>
            <w:vAlign w:val="center"/>
          </w:tcPr>
          <w:p w14:paraId="4D1F0B67" w14:textId="77777777" w:rsidR="00F0519A" w:rsidRPr="00015E92" w:rsidRDefault="00F0519A" w:rsidP="00D050C7">
            <w:pPr>
              <w:jc w:val="center"/>
              <w:rPr>
                <w:color w:val="000000"/>
              </w:rPr>
            </w:pPr>
            <w:r w:rsidRPr="00015E92">
              <w:rPr>
                <w:color w:val="000000"/>
              </w:rPr>
              <w:t>1</w:t>
            </w:r>
          </w:p>
        </w:tc>
        <w:tc>
          <w:tcPr>
            <w:tcW w:w="1276" w:type="dxa"/>
            <w:vAlign w:val="center"/>
          </w:tcPr>
          <w:p w14:paraId="3B053AC5" w14:textId="77777777" w:rsidR="00F0519A" w:rsidRPr="00015E92" w:rsidRDefault="00F0519A" w:rsidP="00D050C7">
            <w:pPr>
              <w:jc w:val="center"/>
              <w:rPr>
                <w:color w:val="000000"/>
              </w:rPr>
            </w:pPr>
            <w:r w:rsidRPr="00015E92">
              <w:rPr>
                <w:color w:val="000000"/>
              </w:rPr>
              <w:t>4</w:t>
            </w:r>
          </w:p>
        </w:tc>
        <w:tc>
          <w:tcPr>
            <w:tcW w:w="1336" w:type="dxa"/>
            <w:vAlign w:val="center"/>
          </w:tcPr>
          <w:p w14:paraId="52AC74ED" w14:textId="77777777" w:rsidR="00F0519A" w:rsidRPr="00015E92" w:rsidRDefault="00F0519A" w:rsidP="00D050C7">
            <w:pPr>
              <w:jc w:val="center"/>
              <w:rPr>
                <w:color w:val="000000"/>
              </w:rPr>
            </w:pPr>
            <w:r w:rsidRPr="00015E92">
              <w:rPr>
                <w:color w:val="000000"/>
              </w:rPr>
              <w:t>7</w:t>
            </w:r>
          </w:p>
        </w:tc>
        <w:tc>
          <w:tcPr>
            <w:tcW w:w="1376" w:type="dxa"/>
            <w:vAlign w:val="center"/>
          </w:tcPr>
          <w:p w14:paraId="3D0E8E60" w14:textId="77777777" w:rsidR="00F0519A" w:rsidRPr="00015E92" w:rsidRDefault="00F0519A" w:rsidP="00D050C7">
            <w:pPr>
              <w:jc w:val="center"/>
              <w:rPr>
                <w:color w:val="000000"/>
              </w:rPr>
            </w:pPr>
            <w:r w:rsidRPr="00015E92">
              <w:rPr>
                <w:color w:val="000000"/>
              </w:rPr>
              <w:t>10</w:t>
            </w:r>
          </w:p>
        </w:tc>
        <w:tc>
          <w:tcPr>
            <w:tcW w:w="1832" w:type="dxa"/>
            <w:vAlign w:val="center"/>
          </w:tcPr>
          <w:p w14:paraId="7278D063" w14:textId="77777777" w:rsidR="00F0519A" w:rsidRPr="00015E92" w:rsidRDefault="00F0519A" w:rsidP="00D050C7">
            <w:pPr>
              <w:jc w:val="center"/>
              <w:rPr>
                <w:color w:val="000000"/>
              </w:rPr>
            </w:pPr>
            <w:r w:rsidRPr="00015E92">
              <w:rPr>
                <w:color w:val="000000"/>
              </w:rPr>
              <w:t>12</w:t>
            </w:r>
          </w:p>
        </w:tc>
      </w:tr>
      <w:tr w:rsidR="00F0519A" w:rsidRPr="00EF3ABA" w14:paraId="5045AC52" w14:textId="77777777" w:rsidTr="00F014D9">
        <w:trPr>
          <w:trHeight w:val="134"/>
        </w:trPr>
        <w:tc>
          <w:tcPr>
            <w:tcW w:w="2263" w:type="dxa"/>
            <w:vMerge/>
          </w:tcPr>
          <w:p w14:paraId="59454705" w14:textId="77777777" w:rsidR="00F0519A" w:rsidRPr="00EF3ABA" w:rsidRDefault="00F0519A" w:rsidP="00D050C7">
            <w:pPr>
              <w:tabs>
                <w:tab w:val="left" w:pos="927"/>
              </w:tabs>
              <w:spacing w:line="480" w:lineRule="auto"/>
              <w:ind w:left="23"/>
              <w:rPr>
                <w:bCs/>
              </w:rPr>
            </w:pPr>
          </w:p>
        </w:tc>
        <w:tc>
          <w:tcPr>
            <w:tcW w:w="1134" w:type="dxa"/>
            <w:vAlign w:val="center"/>
          </w:tcPr>
          <w:p w14:paraId="51C27AC2" w14:textId="77777777" w:rsidR="00F0519A" w:rsidRPr="00015E92" w:rsidRDefault="00F0519A" w:rsidP="00D050C7">
            <w:pPr>
              <w:jc w:val="center"/>
              <w:rPr>
                <w:color w:val="000000"/>
              </w:rPr>
            </w:pPr>
            <w:r w:rsidRPr="00015E92">
              <w:rPr>
                <w:color w:val="000000"/>
              </w:rPr>
              <w:t>2</w:t>
            </w:r>
          </w:p>
        </w:tc>
        <w:tc>
          <w:tcPr>
            <w:tcW w:w="1276" w:type="dxa"/>
            <w:vAlign w:val="center"/>
          </w:tcPr>
          <w:p w14:paraId="2CEC4C8E" w14:textId="77777777" w:rsidR="00F0519A" w:rsidRPr="00015E92" w:rsidRDefault="00F0519A" w:rsidP="00D050C7">
            <w:pPr>
              <w:jc w:val="center"/>
              <w:rPr>
                <w:color w:val="000000"/>
              </w:rPr>
            </w:pPr>
            <w:r w:rsidRPr="00015E92">
              <w:rPr>
                <w:color w:val="000000"/>
              </w:rPr>
              <w:t>6</w:t>
            </w:r>
          </w:p>
        </w:tc>
        <w:tc>
          <w:tcPr>
            <w:tcW w:w="1336" w:type="dxa"/>
            <w:vAlign w:val="center"/>
          </w:tcPr>
          <w:p w14:paraId="0041A288" w14:textId="77777777" w:rsidR="00F0519A" w:rsidRPr="00015E92" w:rsidRDefault="00F0519A" w:rsidP="00D050C7">
            <w:pPr>
              <w:jc w:val="center"/>
              <w:rPr>
                <w:color w:val="000000"/>
              </w:rPr>
            </w:pPr>
            <w:r w:rsidRPr="00015E92">
              <w:rPr>
                <w:color w:val="000000"/>
              </w:rPr>
              <w:t>9</w:t>
            </w:r>
          </w:p>
        </w:tc>
        <w:tc>
          <w:tcPr>
            <w:tcW w:w="1376" w:type="dxa"/>
            <w:vAlign w:val="center"/>
          </w:tcPr>
          <w:p w14:paraId="7104DEB2" w14:textId="77777777" w:rsidR="00F0519A" w:rsidRPr="00015E92" w:rsidRDefault="00F0519A" w:rsidP="00D050C7">
            <w:pPr>
              <w:jc w:val="center"/>
              <w:rPr>
                <w:color w:val="000000"/>
              </w:rPr>
            </w:pPr>
            <w:r w:rsidRPr="00015E92">
              <w:rPr>
                <w:color w:val="000000"/>
              </w:rPr>
              <w:t>11</w:t>
            </w:r>
          </w:p>
        </w:tc>
        <w:tc>
          <w:tcPr>
            <w:tcW w:w="1832" w:type="dxa"/>
            <w:vAlign w:val="center"/>
          </w:tcPr>
          <w:p w14:paraId="62E041B5" w14:textId="77777777" w:rsidR="00F0519A" w:rsidRPr="00015E92" w:rsidRDefault="00F0519A" w:rsidP="00D050C7">
            <w:pPr>
              <w:jc w:val="center"/>
              <w:rPr>
                <w:color w:val="000000"/>
              </w:rPr>
            </w:pPr>
            <w:r w:rsidRPr="00015E92">
              <w:rPr>
                <w:color w:val="000000"/>
              </w:rPr>
              <w:t>15</w:t>
            </w:r>
          </w:p>
        </w:tc>
      </w:tr>
      <w:tr w:rsidR="00F0519A" w:rsidRPr="00EF3ABA" w14:paraId="1B78F3FC" w14:textId="77777777" w:rsidTr="00F014D9">
        <w:trPr>
          <w:trHeight w:val="168"/>
        </w:trPr>
        <w:tc>
          <w:tcPr>
            <w:tcW w:w="2263" w:type="dxa"/>
          </w:tcPr>
          <w:p w14:paraId="1BF0B163" w14:textId="77777777" w:rsidR="00F0519A" w:rsidRPr="00EF3ABA" w:rsidRDefault="00F0519A" w:rsidP="00D050C7">
            <w:pPr>
              <w:ind w:left="23"/>
              <w:jc w:val="center"/>
              <w:rPr>
                <w:bCs/>
              </w:rPr>
            </w:pPr>
            <w:r w:rsidRPr="00EF3ABA">
              <w:t>Среднее значение</w:t>
            </w:r>
          </w:p>
        </w:tc>
        <w:tc>
          <w:tcPr>
            <w:tcW w:w="1134" w:type="dxa"/>
            <w:vAlign w:val="center"/>
          </w:tcPr>
          <w:p w14:paraId="7BD1F682" w14:textId="77777777" w:rsidR="00F0519A" w:rsidRPr="00015E92" w:rsidRDefault="00F0519A" w:rsidP="00D050C7">
            <w:pPr>
              <w:jc w:val="center"/>
              <w:rPr>
                <w:color w:val="000000"/>
              </w:rPr>
            </w:pPr>
            <w:r w:rsidRPr="00015E92">
              <w:rPr>
                <w:bCs/>
                <w:color w:val="000000"/>
              </w:rPr>
              <w:t>2</w:t>
            </w:r>
          </w:p>
        </w:tc>
        <w:tc>
          <w:tcPr>
            <w:tcW w:w="1276" w:type="dxa"/>
            <w:vAlign w:val="center"/>
          </w:tcPr>
          <w:p w14:paraId="40EAC75F" w14:textId="77777777" w:rsidR="00F0519A" w:rsidRPr="00015E92" w:rsidRDefault="00F0519A" w:rsidP="00D050C7">
            <w:pPr>
              <w:jc w:val="center"/>
              <w:rPr>
                <w:color w:val="000000"/>
              </w:rPr>
            </w:pPr>
            <w:r w:rsidRPr="00015E92">
              <w:rPr>
                <w:bCs/>
                <w:color w:val="000000"/>
              </w:rPr>
              <w:t>6</w:t>
            </w:r>
          </w:p>
        </w:tc>
        <w:tc>
          <w:tcPr>
            <w:tcW w:w="1336" w:type="dxa"/>
            <w:vAlign w:val="center"/>
          </w:tcPr>
          <w:p w14:paraId="09EF61F4" w14:textId="77777777" w:rsidR="00F0519A" w:rsidRPr="00015E92" w:rsidRDefault="00F0519A" w:rsidP="00D050C7">
            <w:pPr>
              <w:jc w:val="center"/>
              <w:rPr>
                <w:color w:val="000000"/>
              </w:rPr>
            </w:pPr>
            <w:r w:rsidRPr="00015E92">
              <w:rPr>
                <w:bCs/>
                <w:color w:val="000000"/>
              </w:rPr>
              <w:t>8</w:t>
            </w:r>
          </w:p>
        </w:tc>
        <w:tc>
          <w:tcPr>
            <w:tcW w:w="1376" w:type="dxa"/>
            <w:vAlign w:val="center"/>
          </w:tcPr>
          <w:p w14:paraId="3F8D8A55" w14:textId="77777777" w:rsidR="00F0519A" w:rsidRPr="00015E92" w:rsidRDefault="00F0519A" w:rsidP="00D050C7">
            <w:pPr>
              <w:jc w:val="center"/>
              <w:rPr>
                <w:color w:val="000000"/>
              </w:rPr>
            </w:pPr>
            <w:r w:rsidRPr="00015E92">
              <w:rPr>
                <w:bCs/>
                <w:color w:val="000000"/>
              </w:rPr>
              <w:t>11</w:t>
            </w:r>
          </w:p>
        </w:tc>
        <w:tc>
          <w:tcPr>
            <w:tcW w:w="1832" w:type="dxa"/>
            <w:vAlign w:val="center"/>
          </w:tcPr>
          <w:p w14:paraId="3400BDAA" w14:textId="77777777" w:rsidR="00F0519A" w:rsidRPr="00015E92" w:rsidRDefault="00F0519A" w:rsidP="00D050C7">
            <w:pPr>
              <w:jc w:val="center"/>
              <w:rPr>
                <w:color w:val="000000"/>
              </w:rPr>
            </w:pPr>
            <w:r w:rsidRPr="00015E92">
              <w:rPr>
                <w:bCs/>
                <w:color w:val="000000"/>
              </w:rPr>
              <w:t>13</w:t>
            </w:r>
          </w:p>
        </w:tc>
      </w:tr>
      <w:tr w:rsidR="00F0519A" w:rsidRPr="00EF3ABA" w14:paraId="06484EAD" w14:textId="77777777" w:rsidTr="00E36A78">
        <w:trPr>
          <w:trHeight w:val="64"/>
        </w:trPr>
        <w:tc>
          <w:tcPr>
            <w:tcW w:w="2263" w:type="dxa"/>
          </w:tcPr>
          <w:p w14:paraId="0A34BA21" w14:textId="3EDAA7F6" w:rsidR="00F0519A" w:rsidRPr="00EF3ABA" w:rsidRDefault="00F0519A" w:rsidP="00E36A78">
            <w:pPr>
              <w:ind w:left="-109" w:right="-108"/>
              <w:jc w:val="center"/>
              <w:rPr>
                <w:bCs/>
              </w:rPr>
            </w:pPr>
            <w:r w:rsidRPr="00EF3ABA">
              <w:t>Кол</w:t>
            </w:r>
            <w:r w:rsidR="00E36A78">
              <w:t>-</w:t>
            </w:r>
            <w:r w:rsidRPr="00EF3ABA">
              <w:t>во элементов, n</w:t>
            </w:r>
          </w:p>
        </w:tc>
        <w:tc>
          <w:tcPr>
            <w:tcW w:w="1134" w:type="dxa"/>
            <w:vAlign w:val="center"/>
          </w:tcPr>
          <w:p w14:paraId="23D54494" w14:textId="77777777" w:rsidR="00F0519A" w:rsidRPr="00015E92" w:rsidRDefault="00F0519A" w:rsidP="00D050C7">
            <w:pPr>
              <w:tabs>
                <w:tab w:val="left" w:pos="927"/>
              </w:tabs>
              <w:jc w:val="center"/>
              <w:rPr>
                <w:bCs/>
              </w:rPr>
            </w:pPr>
            <w:r w:rsidRPr="00015E92">
              <w:rPr>
                <w:bCs/>
              </w:rPr>
              <w:t>12</w:t>
            </w:r>
          </w:p>
        </w:tc>
        <w:tc>
          <w:tcPr>
            <w:tcW w:w="1276" w:type="dxa"/>
            <w:vAlign w:val="center"/>
          </w:tcPr>
          <w:p w14:paraId="47B4AB45" w14:textId="77777777" w:rsidR="00F0519A" w:rsidRPr="00015E92" w:rsidRDefault="00F0519A" w:rsidP="00D050C7">
            <w:pPr>
              <w:tabs>
                <w:tab w:val="left" w:pos="927"/>
              </w:tabs>
              <w:jc w:val="center"/>
              <w:rPr>
                <w:bCs/>
              </w:rPr>
            </w:pPr>
            <w:r w:rsidRPr="00015E92">
              <w:rPr>
                <w:bCs/>
              </w:rPr>
              <w:t>12</w:t>
            </w:r>
          </w:p>
        </w:tc>
        <w:tc>
          <w:tcPr>
            <w:tcW w:w="1336" w:type="dxa"/>
            <w:vAlign w:val="center"/>
          </w:tcPr>
          <w:p w14:paraId="791B572C" w14:textId="77777777" w:rsidR="00F0519A" w:rsidRPr="00015E92" w:rsidRDefault="00F0519A" w:rsidP="00D050C7">
            <w:pPr>
              <w:tabs>
                <w:tab w:val="left" w:pos="927"/>
              </w:tabs>
              <w:jc w:val="center"/>
              <w:rPr>
                <w:bCs/>
              </w:rPr>
            </w:pPr>
            <w:r w:rsidRPr="00015E92">
              <w:rPr>
                <w:bCs/>
              </w:rPr>
              <w:t>12</w:t>
            </w:r>
          </w:p>
        </w:tc>
        <w:tc>
          <w:tcPr>
            <w:tcW w:w="1376" w:type="dxa"/>
            <w:vAlign w:val="center"/>
          </w:tcPr>
          <w:p w14:paraId="28EC1C69" w14:textId="77777777" w:rsidR="00F0519A" w:rsidRPr="00015E92" w:rsidRDefault="00F0519A" w:rsidP="00D050C7">
            <w:pPr>
              <w:tabs>
                <w:tab w:val="left" w:pos="927"/>
              </w:tabs>
              <w:jc w:val="center"/>
              <w:rPr>
                <w:bCs/>
              </w:rPr>
            </w:pPr>
            <w:r w:rsidRPr="00015E92">
              <w:rPr>
                <w:bCs/>
              </w:rPr>
              <w:t>12</w:t>
            </w:r>
          </w:p>
        </w:tc>
        <w:tc>
          <w:tcPr>
            <w:tcW w:w="1832" w:type="dxa"/>
            <w:vAlign w:val="center"/>
          </w:tcPr>
          <w:p w14:paraId="050AB181" w14:textId="77777777" w:rsidR="00F0519A" w:rsidRPr="00015E92" w:rsidRDefault="00F0519A" w:rsidP="00D050C7">
            <w:pPr>
              <w:tabs>
                <w:tab w:val="left" w:pos="927"/>
              </w:tabs>
              <w:jc w:val="center"/>
              <w:rPr>
                <w:bCs/>
              </w:rPr>
            </w:pPr>
            <w:r w:rsidRPr="00015E92">
              <w:rPr>
                <w:bCs/>
              </w:rPr>
              <w:t>12</w:t>
            </w:r>
          </w:p>
        </w:tc>
      </w:tr>
      <w:tr w:rsidR="00F0519A" w:rsidRPr="00EF3ABA" w14:paraId="3241E863" w14:textId="77777777" w:rsidTr="00F014D9">
        <w:trPr>
          <w:trHeight w:val="287"/>
        </w:trPr>
        <w:tc>
          <w:tcPr>
            <w:tcW w:w="2263" w:type="dxa"/>
          </w:tcPr>
          <w:p w14:paraId="1EFEE7CA" w14:textId="77777777" w:rsidR="00F0519A" w:rsidRPr="00EF3ABA" w:rsidRDefault="00F0519A" w:rsidP="00D050C7">
            <w:pPr>
              <w:ind w:left="23"/>
              <w:jc w:val="center"/>
              <w:rPr>
                <w:bCs/>
              </w:rPr>
            </w:pPr>
            <w:r w:rsidRPr="00EF3ABA">
              <w:t>Степени свободы, f</w:t>
            </w:r>
          </w:p>
        </w:tc>
        <w:tc>
          <w:tcPr>
            <w:tcW w:w="1134" w:type="dxa"/>
            <w:vAlign w:val="center"/>
          </w:tcPr>
          <w:p w14:paraId="340EF8EA" w14:textId="77777777" w:rsidR="00F0519A" w:rsidRPr="00015E92" w:rsidRDefault="00F0519A" w:rsidP="00D050C7">
            <w:pPr>
              <w:tabs>
                <w:tab w:val="left" w:pos="927"/>
              </w:tabs>
              <w:jc w:val="center"/>
              <w:rPr>
                <w:bCs/>
              </w:rPr>
            </w:pPr>
            <w:r w:rsidRPr="00015E92">
              <w:rPr>
                <w:bCs/>
              </w:rPr>
              <w:t>11</w:t>
            </w:r>
          </w:p>
        </w:tc>
        <w:tc>
          <w:tcPr>
            <w:tcW w:w="1276" w:type="dxa"/>
            <w:vAlign w:val="center"/>
          </w:tcPr>
          <w:p w14:paraId="3D6FFC41" w14:textId="77777777" w:rsidR="00F0519A" w:rsidRPr="00015E92" w:rsidRDefault="00F0519A" w:rsidP="00D050C7">
            <w:pPr>
              <w:tabs>
                <w:tab w:val="left" w:pos="927"/>
              </w:tabs>
              <w:jc w:val="center"/>
              <w:rPr>
                <w:bCs/>
              </w:rPr>
            </w:pPr>
            <w:r w:rsidRPr="00015E92">
              <w:rPr>
                <w:bCs/>
              </w:rPr>
              <w:t>11</w:t>
            </w:r>
          </w:p>
        </w:tc>
        <w:tc>
          <w:tcPr>
            <w:tcW w:w="1336" w:type="dxa"/>
            <w:vAlign w:val="center"/>
          </w:tcPr>
          <w:p w14:paraId="0C2D1BE3" w14:textId="77777777" w:rsidR="00F0519A" w:rsidRPr="00015E92" w:rsidRDefault="00F0519A" w:rsidP="00D050C7">
            <w:pPr>
              <w:tabs>
                <w:tab w:val="left" w:pos="927"/>
              </w:tabs>
              <w:jc w:val="center"/>
              <w:rPr>
                <w:bCs/>
              </w:rPr>
            </w:pPr>
            <w:r w:rsidRPr="00015E92">
              <w:rPr>
                <w:bCs/>
              </w:rPr>
              <w:t>11</w:t>
            </w:r>
          </w:p>
        </w:tc>
        <w:tc>
          <w:tcPr>
            <w:tcW w:w="1376" w:type="dxa"/>
            <w:vAlign w:val="center"/>
          </w:tcPr>
          <w:p w14:paraId="399397E0" w14:textId="77777777" w:rsidR="00F0519A" w:rsidRPr="00015E92" w:rsidRDefault="00F0519A" w:rsidP="00D050C7">
            <w:pPr>
              <w:tabs>
                <w:tab w:val="left" w:pos="927"/>
              </w:tabs>
              <w:jc w:val="center"/>
              <w:rPr>
                <w:bCs/>
              </w:rPr>
            </w:pPr>
            <w:r w:rsidRPr="00015E92">
              <w:rPr>
                <w:bCs/>
              </w:rPr>
              <w:t>11</w:t>
            </w:r>
          </w:p>
        </w:tc>
        <w:tc>
          <w:tcPr>
            <w:tcW w:w="1832" w:type="dxa"/>
            <w:vAlign w:val="center"/>
          </w:tcPr>
          <w:p w14:paraId="6E363FFE" w14:textId="77777777" w:rsidR="00F0519A" w:rsidRPr="00015E92" w:rsidRDefault="00F0519A" w:rsidP="00D050C7">
            <w:pPr>
              <w:tabs>
                <w:tab w:val="left" w:pos="927"/>
              </w:tabs>
              <w:jc w:val="center"/>
              <w:rPr>
                <w:bCs/>
              </w:rPr>
            </w:pPr>
            <w:r w:rsidRPr="00015E92">
              <w:rPr>
                <w:bCs/>
              </w:rPr>
              <w:t>11</w:t>
            </w:r>
          </w:p>
        </w:tc>
      </w:tr>
      <w:tr w:rsidR="00F0519A" w:rsidRPr="00EF3ABA" w14:paraId="308373E5" w14:textId="77777777" w:rsidTr="00F014D9">
        <w:trPr>
          <w:trHeight w:val="253"/>
        </w:trPr>
        <w:tc>
          <w:tcPr>
            <w:tcW w:w="2263" w:type="dxa"/>
          </w:tcPr>
          <w:p w14:paraId="257CF436" w14:textId="77777777" w:rsidR="00F0519A" w:rsidRPr="00EF3ABA" w:rsidRDefault="00F0519A" w:rsidP="00D050C7">
            <w:pPr>
              <w:ind w:left="23"/>
              <w:jc w:val="center"/>
              <w:rPr>
                <w:bCs/>
              </w:rPr>
            </w:pPr>
            <w:r w:rsidRPr="00EF3ABA">
              <w:t>Дисперсия</w:t>
            </w:r>
          </w:p>
        </w:tc>
        <w:tc>
          <w:tcPr>
            <w:tcW w:w="1134" w:type="dxa"/>
            <w:vAlign w:val="center"/>
          </w:tcPr>
          <w:p w14:paraId="45B171B7" w14:textId="77777777" w:rsidR="00F0519A" w:rsidRPr="00015E92" w:rsidRDefault="00F0519A" w:rsidP="00D050C7">
            <w:pPr>
              <w:jc w:val="center"/>
              <w:rPr>
                <w:color w:val="000000"/>
              </w:rPr>
            </w:pPr>
            <w:r w:rsidRPr="00015E92">
              <w:rPr>
                <w:bCs/>
                <w:color w:val="000000"/>
              </w:rPr>
              <w:t>0,8</w:t>
            </w:r>
          </w:p>
        </w:tc>
        <w:tc>
          <w:tcPr>
            <w:tcW w:w="1276" w:type="dxa"/>
            <w:vAlign w:val="center"/>
          </w:tcPr>
          <w:p w14:paraId="436458DD" w14:textId="77777777" w:rsidR="00F0519A" w:rsidRPr="00015E92" w:rsidRDefault="00F0519A" w:rsidP="00D050C7">
            <w:pPr>
              <w:jc w:val="center"/>
              <w:rPr>
                <w:color w:val="000000"/>
              </w:rPr>
            </w:pPr>
            <w:r w:rsidRPr="00015E92">
              <w:rPr>
                <w:bCs/>
                <w:color w:val="000000"/>
              </w:rPr>
              <w:t>2,3</w:t>
            </w:r>
          </w:p>
        </w:tc>
        <w:tc>
          <w:tcPr>
            <w:tcW w:w="1336" w:type="dxa"/>
            <w:vAlign w:val="center"/>
          </w:tcPr>
          <w:p w14:paraId="7BB1F8E3" w14:textId="77777777" w:rsidR="00F0519A" w:rsidRPr="00015E92" w:rsidRDefault="00F0519A" w:rsidP="00D050C7">
            <w:pPr>
              <w:jc w:val="center"/>
              <w:rPr>
                <w:color w:val="000000"/>
              </w:rPr>
            </w:pPr>
            <w:r w:rsidRPr="00015E92">
              <w:rPr>
                <w:bCs/>
                <w:color w:val="000000"/>
              </w:rPr>
              <w:t>1,7</w:t>
            </w:r>
          </w:p>
        </w:tc>
        <w:tc>
          <w:tcPr>
            <w:tcW w:w="1376" w:type="dxa"/>
            <w:vAlign w:val="center"/>
          </w:tcPr>
          <w:p w14:paraId="75A61E2A" w14:textId="77777777" w:rsidR="00F0519A" w:rsidRPr="00015E92" w:rsidRDefault="00F0519A" w:rsidP="00D050C7">
            <w:pPr>
              <w:jc w:val="center"/>
              <w:rPr>
                <w:color w:val="000000"/>
              </w:rPr>
            </w:pPr>
            <w:r w:rsidRPr="00015E92">
              <w:rPr>
                <w:bCs/>
                <w:color w:val="000000"/>
              </w:rPr>
              <w:t>2</w:t>
            </w:r>
          </w:p>
        </w:tc>
        <w:tc>
          <w:tcPr>
            <w:tcW w:w="1832" w:type="dxa"/>
            <w:vAlign w:val="center"/>
          </w:tcPr>
          <w:p w14:paraId="00E01B49" w14:textId="77777777" w:rsidR="00F0519A" w:rsidRPr="00015E92" w:rsidRDefault="00F0519A" w:rsidP="00D050C7">
            <w:pPr>
              <w:jc w:val="center"/>
              <w:rPr>
                <w:color w:val="000000"/>
              </w:rPr>
            </w:pPr>
            <w:r w:rsidRPr="00015E92">
              <w:rPr>
                <w:bCs/>
                <w:color w:val="000000"/>
              </w:rPr>
              <w:t>1,7</w:t>
            </w:r>
          </w:p>
        </w:tc>
      </w:tr>
      <w:tr w:rsidR="00F0519A" w:rsidRPr="00EF3ABA" w14:paraId="2D12F23A" w14:textId="77777777" w:rsidTr="00E36A78">
        <w:trPr>
          <w:trHeight w:val="64"/>
        </w:trPr>
        <w:tc>
          <w:tcPr>
            <w:tcW w:w="2263" w:type="dxa"/>
          </w:tcPr>
          <w:p w14:paraId="3E01F0C2" w14:textId="75AB42A0" w:rsidR="00F0519A" w:rsidRPr="00E36A78" w:rsidRDefault="00E36A78" w:rsidP="00D050C7">
            <w:pPr>
              <w:ind w:left="23"/>
              <w:jc w:val="center"/>
              <w:rPr>
                <w:bCs/>
              </w:rPr>
            </w:pPr>
            <w:r>
              <w:t>СО</w:t>
            </w:r>
          </w:p>
        </w:tc>
        <w:tc>
          <w:tcPr>
            <w:tcW w:w="1134" w:type="dxa"/>
            <w:vAlign w:val="center"/>
          </w:tcPr>
          <w:p w14:paraId="6B7E1C47" w14:textId="77777777" w:rsidR="00F0519A" w:rsidRPr="00015E92" w:rsidRDefault="00F0519A" w:rsidP="00D050C7">
            <w:pPr>
              <w:jc w:val="center"/>
              <w:rPr>
                <w:color w:val="000000"/>
              </w:rPr>
            </w:pPr>
            <w:r w:rsidRPr="00015E92">
              <w:rPr>
                <w:bCs/>
                <w:color w:val="000000"/>
              </w:rPr>
              <w:t>0,87</w:t>
            </w:r>
          </w:p>
        </w:tc>
        <w:tc>
          <w:tcPr>
            <w:tcW w:w="1276" w:type="dxa"/>
            <w:vAlign w:val="center"/>
          </w:tcPr>
          <w:p w14:paraId="600FB133" w14:textId="77777777" w:rsidR="00F0519A" w:rsidRPr="00015E92" w:rsidRDefault="00F0519A" w:rsidP="00D050C7">
            <w:pPr>
              <w:jc w:val="center"/>
              <w:rPr>
                <w:color w:val="000000"/>
              </w:rPr>
            </w:pPr>
            <w:r w:rsidRPr="00015E92">
              <w:rPr>
                <w:bCs/>
                <w:color w:val="000000"/>
              </w:rPr>
              <w:t>1,53</w:t>
            </w:r>
          </w:p>
        </w:tc>
        <w:tc>
          <w:tcPr>
            <w:tcW w:w="1336" w:type="dxa"/>
            <w:vAlign w:val="center"/>
          </w:tcPr>
          <w:p w14:paraId="550DD076" w14:textId="77777777" w:rsidR="00F0519A" w:rsidRPr="00015E92" w:rsidRDefault="00F0519A" w:rsidP="00D050C7">
            <w:pPr>
              <w:jc w:val="center"/>
              <w:rPr>
                <w:color w:val="000000"/>
              </w:rPr>
            </w:pPr>
            <w:r w:rsidRPr="00015E92">
              <w:rPr>
                <w:bCs/>
                <w:color w:val="000000"/>
              </w:rPr>
              <w:t>1,30</w:t>
            </w:r>
          </w:p>
        </w:tc>
        <w:tc>
          <w:tcPr>
            <w:tcW w:w="1376" w:type="dxa"/>
            <w:vAlign w:val="center"/>
          </w:tcPr>
          <w:p w14:paraId="0E031E08" w14:textId="77777777" w:rsidR="00F0519A" w:rsidRPr="00015E92" w:rsidRDefault="00F0519A" w:rsidP="00D050C7">
            <w:pPr>
              <w:jc w:val="center"/>
              <w:rPr>
                <w:color w:val="000000"/>
              </w:rPr>
            </w:pPr>
            <w:r w:rsidRPr="00015E92">
              <w:rPr>
                <w:bCs/>
                <w:color w:val="000000"/>
              </w:rPr>
              <w:t>1,41</w:t>
            </w:r>
          </w:p>
        </w:tc>
        <w:tc>
          <w:tcPr>
            <w:tcW w:w="1832" w:type="dxa"/>
            <w:vAlign w:val="center"/>
          </w:tcPr>
          <w:p w14:paraId="28A3C03F" w14:textId="77777777" w:rsidR="00F0519A" w:rsidRPr="00015E92" w:rsidRDefault="00F0519A" w:rsidP="00D050C7">
            <w:pPr>
              <w:jc w:val="center"/>
              <w:rPr>
                <w:color w:val="000000"/>
              </w:rPr>
            </w:pPr>
            <w:r w:rsidRPr="00015E92">
              <w:rPr>
                <w:bCs/>
                <w:color w:val="000000"/>
              </w:rPr>
              <w:t>1,31</w:t>
            </w:r>
          </w:p>
        </w:tc>
      </w:tr>
    </w:tbl>
    <w:p w14:paraId="604CDBA1" w14:textId="53BD7257" w:rsidR="00F0519A" w:rsidRPr="00F014D9" w:rsidRDefault="00F0519A" w:rsidP="00F0519A">
      <w:pPr>
        <w:pStyle w:val="aff"/>
        <w:spacing w:after="0"/>
        <w:rPr>
          <w:lang w:val="en-US"/>
        </w:rPr>
      </w:pPr>
      <w:r w:rsidRPr="003E68EC">
        <w:rPr>
          <w:b/>
        </w:rPr>
        <w:lastRenderedPageBreak/>
        <w:t>Таблица 2-</w:t>
      </w:r>
      <w:r>
        <w:rPr>
          <w:b/>
        </w:rPr>
        <w:t>10</w:t>
      </w:r>
      <w:r w:rsidRPr="003E68EC">
        <w:rPr>
          <w:b/>
        </w:rPr>
        <w:t>.</w:t>
      </w:r>
      <w:r w:rsidRPr="003E68EC">
        <w:t xml:space="preserve"> </w:t>
      </w:r>
      <w:r w:rsidRPr="002B180A">
        <w:t>Статистическая оценка результатов</w:t>
      </w:r>
      <w:r w:rsidR="00F014D9">
        <w:rPr>
          <w:lang w:val="en-US"/>
        </w:rPr>
        <w:t>.</w:t>
      </w:r>
    </w:p>
    <w:tbl>
      <w:tblPr>
        <w:tblStyle w:val="34"/>
        <w:tblW w:w="9351" w:type="dxa"/>
        <w:tblLook w:val="04A0" w:firstRow="1" w:lastRow="0" w:firstColumn="1" w:lastColumn="0" w:noHBand="0" w:noVBand="1"/>
      </w:tblPr>
      <w:tblGrid>
        <w:gridCol w:w="2689"/>
        <w:gridCol w:w="1134"/>
        <w:gridCol w:w="1276"/>
        <w:gridCol w:w="1276"/>
        <w:gridCol w:w="1417"/>
        <w:gridCol w:w="1559"/>
      </w:tblGrid>
      <w:tr w:rsidR="00F0519A" w:rsidRPr="00D818E3" w14:paraId="3C8A5664" w14:textId="77777777" w:rsidTr="00E36A78">
        <w:trPr>
          <w:trHeight w:val="177"/>
        </w:trPr>
        <w:tc>
          <w:tcPr>
            <w:tcW w:w="2689" w:type="dxa"/>
            <w:vMerge w:val="restart"/>
            <w:textDirection w:val="btLr"/>
            <w:vAlign w:val="center"/>
          </w:tcPr>
          <w:p w14:paraId="27A8A06B" w14:textId="77777777" w:rsidR="00F0519A" w:rsidRPr="00015E92" w:rsidRDefault="00F0519A" w:rsidP="00D050C7">
            <w:pPr>
              <w:ind w:left="23"/>
              <w:jc w:val="center"/>
              <w:rPr>
                <w:bCs/>
              </w:rPr>
            </w:pPr>
            <w:r w:rsidRPr="00015E92">
              <w:rPr>
                <w:b/>
              </w:rPr>
              <w:t xml:space="preserve">Среда растворения: </w:t>
            </w:r>
            <w:r w:rsidRPr="00015E92">
              <w:t xml:space="preserve">фосфатный буферный раствор рН 6,8 </w:t>
            </w:r>
          </w:p>
        </w:tc>
        <w:tc>
          <w:tcPr>
            <w:tcW w:w="6662" w:type="dxa"/>
            <w:gridSpan w:val="5"/>
            <w:shd w:val="clear" w:color="auto" w:fill="D9D9D9" w:themeFill="background1" w:themeFillShade="D9"/>
            <w:vAlign w:val="center"/>
          </w:tcPr>
          <w:p w14:paraId="0B1EED82" w14:textId="10D80CD9" w:rsidR="00F0519A" w:rsidRPr="00015E92" w:rsidRDefault="00F0519A" w:rsidP="00D050C7">
            <w:pPr>
              <w:jc w:val="center"/>
              <w:rPr>
                <w:b/>
                <w:bCs/>
              </w:rPr>
            </w:pPr>
            <w:r w:rsidRPr="00015E92">
              <w:rPr>
                <w:b/>
              </w:rPr>
              <w:t>Ленвима</w:t>
            </w:r>
            <w:r w:rsidR="00F014D9" w:rsidRPr="00F014D9">
              <w:rPr>
                <w:b/>
                <w:vertAlign w:val="superscript"/>
                <w:lang w:val="en-US"/>
              </w:rPr>
              <w:t>®</w:t>
            </w:r>
            <w:r w:rsidR="00F014D9">
              <w:rPr>
                <w:b/>
                <w:lang w:val="en-US"/>
              </w:rPr>
              <w:t>,</w:t>
            </w:r>
            <w:r w:rsidRPr="00015E92">
              <w:rPr>
                <w:b/>
              </w:rPr>
              <w:t xml:space="preserve"> капсулы, 10 мг </w:t>
            </w:r>
          </w:p>
        </w:tc>
      </w:tr>
      <w:tr w:rsidR="00F0519A" w:rsidRPr="00D818E3" w14:paraId="236EBFD8" w14:textId="77777777" w:rsidTr="00E36A78">
        <w:tc>
          <w:tcPr>
            <w:tcW w:w="2689" w:type="dxa"/>
            <w:vMerge/>
            <w:vAlign w:val="center"/>
          </w:tcPr>
          <w:p w14:paraId="2220FCB7" w14:textId="77777777" w:rsidR="00F0519A" w:rsidRPr="00015E92" w:rsidRDefault="00F0519A" w:rsidP="00D050C7">
            <w:pPr>
              <w:tabs>
                <w:tab w:val="left" w:pos="927"/>
              </w:tabs>
              <w:spacing w:line="480" w:lineRule="auto"/>
              <w:ind w:left="23"/>
              <w:rPr>
                <w:bCs/>
                <w:highlight w:val="yellow"/>
              </w:rPr>
            </w:pPr>
          </w:p>
        </w:tc>
        <w:tc>
          <w:tcPr>
            <w:tcW w:w="1134" w:type="dxa"/>
            <w:shd w:val="clear" w:color="auto" w:fill="D9D9D9" w:themeFill="background1" w:themeFillShade="D9"/>
            <w:vAlign w:val="center"/>
          </w:tcPr>
          <w:p w14:paraId="668BCFC5" w14:textId="77777777" w:rsidR="00F0519A" w:rsidRPr="00015E92" w:rsidRDefault="00F0519A" w:rsidP="00F014D9">
            <w:pPr>
              <w:spacing w:line="276" w:lineRule="auto"/>
              <w:ind w:left="-82" w:right="-115"/>
              <w:jc w:val="center"/>
              <w:rPr>
                <w:b/>
                <w:bCs/>
                <w:color w:val="000000"/>
              </w:rPr>
            </w:pPr>
            <w:r w:rsidRPr="00015E92">
              <w:rPr>
                <w:b/>
                <w:bCs/>
                <w:color w:val="000000"/>
              </w:rPr>
              <w:t>10 мин</w:t>
            </w:r>
          </w:p>
        </w:tc>
        <w:tc>
          <w:tcPr>
            <w:tcW w:w="1276" w:type="dxa"/>
            <w:shd w:val="clear" w:color="auto" w:fill="D9D9D9" w:themeFill="background1" w:themeFillShade="D9"/>
            <w:vAlign w:val="center"/>
          </w:tcPr>
          <w:p w14:paraId="1CAEA9DC" w14:textId="77777777" w:rsidR="00F0519A" w:rsidRPr="00015E92" w:rsidRDefault="00F0519A" w:rsidP="00F014D9">
            <w:pPr>
              <w:jc w:val="center"/>
              <w:rPr>
                <w:b/>
              </w:rPr>
            </w:pPr>
            <w:r w:rsidRPr="00015E92">
              <w:rPr>
                <w:b/>
                <w:bCs/>
                <w:color w:val="000000"/>
              </w:rPr>
              <w:t>15 мин</w:t>
            </w:r>
          </w:p>
        </w:tc>
        <w:tc>
          <w:tcPr>
            <w:tcW w:w="1276" w:type="dxa"/>
            <w:shd w:val="clear" w:color="auto" w:fill="D9D9D9" w:themeFill="background1" w:themeFillShade="D9"/>
            <w:vAlign w:val="center"/>
          </w:tcPr>
          <w:p w14:paraId="73B728F9" w14:textId="77777777" w:rsidR="00F0519A" w:rsidRPr="00015E92" w:rsidRDefault="00F0519A" w:rsidP="00F014D9">
            <w:pPr>
              <w:jc w:val="center"/>
              <w:rPr>
                <w:b/>
              </w:rPr>
            </w:pPr>
            <w:r w:rsidRPr="00015E92">
              <w:rPr>
                <w:b/>
                <w:bCs/>
                <w:color w:val="000000"/>
              </w:rPr>
              <w:t>20 мин</w:t>
            </w:r>
          </w:p>
        </w:tc>
        <w:tc>
          <w:tcPr>
            <w:tcW w:w="1417" w:type="dxa"/>
            <w:shd w:val="clear" w:color="auto" w:fill="D9D9D9" w:themeFill="background1" w:themeFillShade="D9"/>
            <w:vAlign w:val="center"/>
          </w:tcPr>
          <w:p w14:paraId="54ABC04F" w14:textId="77777777" w:rsidR="00F0519A" w:rsidRPr="00015E92" w:rsidRDefault="00F0519A" w:rsidP="00F014D9">
            <w:pPr>
              <w:jc w:val="center"/>
              <w:rPr>
                <w:b/>
              </w:rPr>
            </w:pPr>
            <w:r w:rsidRPr="00015E92">
              <w:rPr>
                <w:b/>
                <w:bCs/>
                <w:color w:val="000000"/>
              </w:rPr>
              <w:t>30 мин</w:t>
            </w:r>
          </w:p>
        </w:tc>
        <w:tc>
          <w:tcPr>
            <w:tcW w:w="1559" w:type="dxa"/>
            <w:shd w:val="clear" w:color="auto" w:fill="D9D9D9" w:themeFill="background1" w:themeFillShade="D9"/>
            <w:vAlign w:val="center"/>
          </w:tcPr>
          <w:p w14:paraId="5BFD673F" w14:textId="77777777" w:rsidR="00F0519A" w:rsidRPr="00015E92" w:rsidRDefault="00F0519A" w:rsidP="00F014D9">
            <w:pPr>
              <w:jc w:val="center"/>
              <w:rPr>
                <w:b/>
              </w:rPr>
            </w:pPr>
            <w:r w:rsidRPr="00015E92">
              <w:rPr>
                <w:b/>
                <w:bCs/>
                <w:color w:val="000000"/>
              </w:rPr>
              <w:t>45 мин</w:t>
            </w:r>
          </w:p>
        </w:tc>
      </w:tr>
      <w:tr w:rsidR="00F0519A" w:rsidRPr="00D818E3" w14:paraId="285DAC49" w14:textId="77777777" w:rsidTr="00E36A78">
        <w:tc>
          <w:tcPr>
            <w:tcW w:w="2689" w:type="dxa"/>
            <w:vMerge/>
            <w:vAlign w:val="center"/>
          </w:tcPr>
          <w:p w14:paraId="6AC280C8"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42D36527" w14:textId="77777777" w:rsidR="00F0519A" w:rsidRPr="00015E92" w:rsidRDefault="00F0519A" w:rsidP="00D050C7">
            <w:pPr>
              <w:jc w:val="center"/>
              <w:rPr>
                <w:color w:val="000000"/>
              </w:rPr>
            </w:pPr>
            <w:r w:rsidRPr="00015E92">
              <w:rPr>
                <w:color w:val="000000"/>
              </w:rPr>
              <w:t>6</w:t>
            </w:r>
          </w:p>
        </w:tc>
        <w:tc>
          <w:tcPr>
            <w:tcW w:w="1276" w:type="dxa"/>
            <w:vAlign w:val="center"/>
          </w:tcPr>
          <w:p w14:paraId="42DC639B" w14:textId="77777777" w:rsidR="00F0519A" w:rsidRPr="00015E92" w:rsidRDefault="00F0519A" w:rsidP="00D050C7">
            <w:pPr>
              <w:jc w:val="center"/>
              <w:rPr>
                <w:color w:val="000000"/>
              </w:rPr>
            </w:pPr>
            <w:r w:rsidRPr="00015E92">
              <w:rPr>
                <w:color w:val="000000"/>
              </w:rPr>
              <w:t>7</w:t>
            </w:r>
          </w:p>
        </w:tc>
        <w:tc>
          <w:tcPr>
            <w:tcW w:w="1276" w:type="dxa"/>
            <w:vAlign w:val="center"/>
          </w:tcPr>
          <w:p w14:paraId="1BE6145E" w14:textId="77777777" w:rsidR="00F0519A" w:rsidRPr="00015E92" w:rsidRDefault="00F0519A" w:rsidP="00D050C7">
            <w:pPr>
              <w:jc w:val="center"/>
              <w:rPr>
                <w:color w:val="000000"/>
              </w:rPr>
            </w:pPr>
            <w:r w:rsidRPr="00015E92">
              <w:rPr>
                <w:color w:val="000000"/>
              </w:rPr>
              <w:t>8</w:t>
            </w:r>
          </w:p>
        </w:tc>
        <w:tc>
          <w:tcPr>
            <w:tcW w:w="1417" w:type="dxa"/>
            <w:vAlign w:val="center"/>
          </w:tcPr>
          <w:p w14:paraId="64A81291" w14:textId="77777777" w:rsidR="00F0519A" w:rsidRPr="00015E92" w:rsidRDefault="00F0519A" w:rsidP="00D050C7">
            <w:pPr>
              <w:jc w:val="center"/>
              <w:rPr>
                <w:color w:val="000000"/>
              </w:rPr>
            </w:pPr>
            <w:r w:rsidRPr="00015E92">
              <w:rPr>
                <w:color w:val="000000"/>
              </w:rPr>
              <w:t>11</w:t>
            </w:r>
          </w:p>
        </w:tc>
        <w:tc>
          <w:tcPr>
            <w:tcW w:w="1559" w:type="dxa"/>
            <w:vAlign w:val="center"/>
          </w:tcPr>
          <w:p w14:paraId="1EDD3C44" w14:textId="77777777" w:rsidR="00F0519A" w:rsidRPr="00015E92" w:rsidRDefault="00F0519A" w:rsidP="00D050C7">
            <w:pPr>
              <w:jc w:val="center"/>
              <w:rPr>
                <w:color w:val="000000"/>
              </w:rPr>
            </w:pPr>
            <w:r w:rsidRPr="00015E92">
              <w:rPr>
                <w:color w:val="000000"/>
              </w:rPr>
              <w:t>13</w:t>
            </w:r>
          </w:p>
        </w:tc>
      </w:tr>
      <w:tr w:rsidR="00F0519A" w:rsidRPr="00D818E3" w14:paraId="48CEB32D" w14:textId="77777777" w:rsidTr="00E36A78">
        <w:tc>
          <w:tcPr>
            <w:tcW w:w="2689" w:type="dxa"/>
            <w:vMerge/>
            <w:vAlign w:val="center"/>
          </w:tcPr>
          <w:p w14:paraId="2CA72D1C"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247A54AE" w14:textId="77777777" w:rsidR="00F0519A" w:rsidRPr="00015E92" w:rsidRDefault="00F0519A" w:rsidP="00D050C7">
            <w:pPr>
              <w:jc w:val="center"/>
              <w:rPr>
                <w:color w:val="000000"/>
              </w:rPr>
            </w:pPr>
            <w:r w:rsidRPr="00015E92">
              <w:rPr>
                <w:color w:val="000000"/>
              </w:rPr>
              <w:t>5</w:t>
            </w:r>
          </w:p>
        </w:tc>
        <w:tc>
          <w:tcPr>
            <w:tcW w:w="1276" w:type="dxa"/>
            <w:vAlign w:val="center"/>
          </w:tcPr>
          <w:p w14:paraId="040F51F5" w14:textId="77777777" w:rsidR="00F0519A" w:rsidRPr="00015E92" w:rsidRDefault="00F0519A" w:rsidP="00D050C7">
            <w:pPr>
              <w:jc w:val="center"/>
              <w:rPr>
                <w:color w:val="000000"/>
              </w:rPr>
            </w:pPr>
            <w:r w:rsidRPr="00015E92">
              <w:rPr>
                <w:color w:val="000000"/>
              </w:rPr>
              <w:t>8</w:t>
            </w:r>
          </w:p>
        </w:tc>
        <w:tc>
          <w:tcPr>
            <w:tcW w:w="1276" w:type="dxa"/>
            <w:vAlign w:val="center"/>
          </w:tcPr>
          <w:p w14:paraId="5AC7E710" w14:textId="77777777" w:rsidR="00F0519A" w:rsidRPr="00015E92" w:rsidRDefault="00F0519A" w:rsidP="00D050C7">
            <w:pPr>
              <w:jc w:val="center"/>
              <w:rPr>
                <w:color w:val="000000"/>
              </w:rPr>
            </w:pPr>
            <w:r w:rsidRPr="00015E92">
              <w:rPr>
                <w:color w:val="000000"/>
              </w:rPr>
              <w:t>9</w:t>
            </w:r>
          </w:p>
        </w:tc>
        <w:tc>
          <w:tcPr>
            <w:tcW w:w="1417" w:type="dxa"/>
            <w:vAlign w:val="center"/>
          </w:tcPr>
          <w:p w14:paraId="41F84075" w14:textId="77777777" w:rsidR="00F0519A" w:rsidRPr="00015E92" w:rsidRDefault="00F0519A" w:rsidP="00D050C7">
            <w:pPr>
              <w:jc w:val="center"/>
              <w:rPr>
                <w:color w:val="000000"/>
              </w:rPr>
            </w:pPr>
            <w:r w:rsidRPr="00015E92">
              <w:rPr>
                <w:color w:val="000000"/>
              </w:rPr>
              <w:t>11</w:t>
            </w:r>
          </w:p>
        </w:tc>
        <w:tc>
          <w:tcPr>
            <w:tcW w:w="1559" w:type="dxa"/>
            <w:vAlign w:val="center"/>
          </w:tcPr>
          <w:p w14:paraId="6BCD94B4" w14:textId="77777777" w:rsidR="00F0519A" w:rsidRPr="00015E92" w:rsidRDefault="00F0519A" w:rsidP="00D050C7">
            <w:pPr>
              <w:jc w:val="center"/>
              <w:rPr>
                <w:color w:val="000000"/>
              </w:rPr>
            </w:pPr>
            <w:r w:rsidRPr="00015E92">
              <w:rPr>
                <w:color w:val="000000"/>
              </w:rPr>
              <w:t>13</w:t>
            </w:r>
          </w:p>
        </w:tc>
      </w:tr>
      <w:tr w:rsidR="00F0519A" w:rsidRPr="00D818E3" w14:paraId="01E4BE91" w14:textId="77777777" w:rsidTr="00E36A78">
        <w:tc>
          <w:tcPr>
            <w:tcW w:w="2689" w:type="dxa"/>
            <w:vMerge/>
            <w:vAlign w:val="center"/>
          </w:tcPr>
          <w:p w14:paraId="3CBCB3DE"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2E4D226B" w14:textId="77777777" w:rsidR="00F0519A" w:rsidRPr="00015E92" w:rsidRDefault="00F0519A" w:rsidP="00D050C7">
            <w:pPr>
              <w:jc w:val="center"/>
              <w:rPr>
                <w:color w:val="000000"/>
              </w:rPr>
            </w:pPr>
            <w:r w:rsidRPr="00015E92">
              <w:rPr>
                <w:color w:val="000000"/>
              </w:rPr>
              <w:t>6</w:t>
            </w:r>
          </w:p>
        </w:tc>
        <w:tc>
          <w:tcPr>
            <w:tcW w:w="1276" w:type="dxa"/>
            <w:vAlign w:val="center"/>
          </w:tcPr>
          <w:p w14:paraId="602E2362" w14:textId="77777777" w:rsidR="00F0519A" w:rsidRPr="00015E92" w:rsidRDefault="00F0519A" w:rsidP="00D050C7">
            <w:pPr>
              <w:jc w:val="center"/>
              <w:rPr>
                <w:color w:val="000000"/>
              </w:rPr>
            </w:pPr>
            <w:r w:rsidRPr="00015E92">
              <w:rPr>
                <w:color w:val="000000"/>
              </w:rPr>
              <w:t>11</w:t>
            </w:r>
          </w:p>
        </w:tc>
        <w:tc>
          <w:tcPr>
            <w:tcW w:w="1276" w:type="dxa"/>
            <w:vAlign w:val="center"/>
          </w:tcPr>
          <w:p w14:paraId="65104F80" w14:textId="77777777" w:rsidR="00F0519A" w:rsidRPr="00015E92" w:rsidRDefault="00F0519A" w:rsidP="00D050C7">
            <w:pPr>
              <w:jc w:val="center"/>
              <w:rPr>
                <w:color w:val="000000"/>
              </w:rPr>
            </w:pPr>
            <w:r w:rsidRPr="00015E92">
              <w:rPr>
                <w:color w:val="000000"/>
              </w:rPr>
              <w:t>15</w:t>
            </w:r>
          </w:p>
        </w:tc>
        <w:tc>
          <w:tcPr>
            <w:tcW w:w="1417" w:type="dxa"/>
            <w:vAlign w:val="center"/>
          </w:tcPr>
          <w:p w14:paraId="3DC6C6BB" w14:textId="77777777" w:rsidR="00F0519A" w:rsidRPr="00015E92" w:rsidRDefault="00F0519A" w:rsidP="00D050C7">
            <w:pPr>
              <w:jc w:val="center"/>
              <w:rPr>
                <w:color w:val="000000"/>
              </w:rPr>
            </w:pPr>
            <w:r w:rsidRPr="00015E92">
              <w:rPr>
                <w:color w:val="000000"/>
              </w:rPr>
              <w:t>17</w:t>
            </w:r>
          </w:p>
        </w:tc>
        <w:tc>
          <w:tcPr>
            <w:tcW w:w="1559" w:type="dxa"/>
            <w:vAlign w:val="center"/>
          </w:tcPr>
          <w:p w14:paraId="0DC2B6A0" w14:textId="77777777" w:rsidR="00F0519A" w:rsidRPr="00015E92" w:rsidRDefault="00F0519A" w:rsidP="00D050C7">
            <w:pPr>
              <w:jc w:val="center"/>
              <w:rPr>
                <w:color w:val="000000"/>
              </w:rPr>
            </w:pPr>
            <w:r w:rsidRPr="00015E92">
              <w:rPr>
                <w:color w:val="000000"/>
              </w:rPr>
              <w:t>18</w:t>
            </w:r>
          </w:p>
        </w:tc>
      </w:tr>
      <w:tr w:rsidR="00F0519A" w:rsidRPr="00D818E3" w14:paraId="01C70493" w14:textId="77777777" w:rsidTr="00E36A78">
        <w:tc>
          <w:tcPr>
            <w:tcW w:w="2689" w:type="dxa"/>
            <w:vMerge/>
            <w:vAlign w:val="center"/>
          </w:tcPr>
          <w:p w14:paraId="3F6F7B1F"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32D321D1" w14:textId="77777777" w:rsidR="00F0519A" w:rsidRPr="00015E92" w:rsidRDefault="00F0519A" w:rsidP="00D050C7">
            <w:pPr>
              <w:jc w:val="center"/>
              <w:rPr>
                <w:color w:val="000000"/>
              </w:rPr>
            </w:pPr>
            <w:r w:rsidRPr="00015E92">
              <w:rPr>
                <w:color w:val="000000"/>
              </w:rPr>
              <w:t>6</w:t>
            </w:r>
          </w:p>
        </w:tc>
        <w:tc>
          <w:tcPr>
            <w:tcW w:w="1276" w:type="dxa"/>
            <w:vAlign w:val="center"/>
          </w:tcPr>
          <w:p w14:paraId="68C51954" w14:textId="77777777" w:rsidR="00F0519A" w:rsidRPr="00015E92" w:rsidRDefault="00F0519A" w:rsidP="00D050C7">
            <w:pPr>
              <w:jc w:val="center"/>
              <w:rPr>
                <w:color w:val="000000"/>
              </w:rPr>
            </w:pPr>
            <w:r w:rsidRPr="00015E92">
              <w:rPr>
                <w:color w:val="000000"/>
              </w:rPr>
              <w:t>9</w:t>
            </w:r>
          </w:p>
        </w:tc>
        <w:tc>
          <w:tcPr>
            <w:tcW w:w="1276" w:type="dxa"/>
            <w:vAlign w:val="center"/>
          </w:tcPr>
          <w:p w14:paraId="6C699384" w14:textId="77777777" w:rsidR="00F0519A" w:rsidRPr="00015E92" w:rsidRDefault="00F0519A" w:rsidP="00D050C7">
            <w:pPr>
              <w:jc w:val="center"/>
              <w:rPr>
                <w:color w:val="000000"/>
              </w:rPr>
            </w:pPr>
            <w:r w:rsidRPr="00015E92">
              <w:rPr>
                <w:color w:val="000000"/>
              </w:rPr>
              <w:t>11</w:t>
            </w:r>
          </w:p>
        </w:tc>
        <w:tc>
          <w:tcPr>
            <w:tcW w:w="1417" w:type="dxa"/>
            <w:vAlign w:val="center"/>
          </w:tcPr>
          <w:p w14:paraId="294D0D4A" w14:textId="77777777" w:rsidR="00F0519A" w:rsidRPr="00015E92" w:rsidRDefault="00F0519A" w:rsidP="00D050C7">
            <w:pPr>
              <w:jc w:val="center"/>
              <w:rPr>
                <w:color w:val="000000"/>
              </w:rPr>
            </w:pPr>
            <w:r w:rsidRPr="00015E92">
              <w:rPr>
                <w:color w:val="000000"/>
              </w:rPr>
              <w:t>14</w:t>
            </w:r>
          </w:p>
        </w:tc>
        <w:tc>
          <w:tcPr>
            <w:tcW w:w="1559" w:type="dxa"/>
            <w:vAlign w:val="center"/>
          </w:tcPr>
          <w:p w14:paraId="0C039DBD" w14:textId="77777777" w:rsidR="00F0519A" w:rsidRPr="00015E92" w:rsidRDefault="00F0519A" w:rsidP="00D050C7">
            <w:pPr>
              <w:jc w:val="center"/>
              <w:rPr>
                <w:color w:val="000000"/>
              </w:rPr>
            </w:pPr>
            <w:r w:rsidRPr="00015E92">
              <w:rPr>
                <w:color w:val="000000"/>
              </w:rPr>
              <w:t>16</w:t>
            </w:r>
          </w:p>
        </w:tc>
      </w:tr>
      <w:tr w:rsidR="00F0519A" w:rsidRPr="00D818E3" w14:paraId="3B48E0CF" w14:textId="77777777" w:rsidTr="00E36A78">
        <w:tc>
          <w:tcPr>
            <w:tcW w:w="2689" w:type="dxa"/>
            <w:vMerge/>
            <w:vAlign w:val="center"/>
          </w:tcPr>
          <w:p w14:paraId="4B07359F"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6EA0F3C5" w14:textId="77777777" w:rsidR="00F0519A" w:rsidRPr="00015E92" w:rsidRDefault="00F0519A" w:rsidP="00D050C7">
            <w:pPr>
              <w:jc w:val="center"/>
              <w:rPr>
                <w:color w:val="000000"/>
              </w:rPr>
            </w:pPr>
            <w:r w:rsidRPr="00015E92">
              <w:rPr>
                <w:color w:val="000000"/>
              </w:rPr>
              <w:t>5</w:t>
            </w:r>
          </w:p>
        </w:tc>
        <w:tc>
          <w:tcPr>
            <w:tcW w:w="1276" w:type="dxa"/>
            <w:vAlign w:val="center"/>
          </w:tcPr>
          <w:p w14:paraId="2FB4C9B3" w14:textId="77777777" w:rsidR="00F0519A" w:rsidRPr="00015E92" w:rsidRDefault="00F0519A" w:rsidP="00D050C7">
            <w:pPr>
              <w:jc w:val="center"/>
              <w:rPr>
                <w:color w:val="000000"/>
              </w:rPr>
            </w:pPr>
            <w:r w:rsidRPr="00015E92">
              <w:rPr>
                <w:color w:val="000000"/>
              </w:rPr>
              <w:t>9</w:t>
            </w:r>
          </w:p>
        </w:tc>
        <w:tc>
          <w:tcPr>
            <w:tcW w:w="1276" w:type="dxa"/>
            <w:vAlign w:val="center"/>
          </w:tcPr>
          <w:p w14:paraId="45AA98B1" w14:textId="77777777" w:rsidR="00F0519A" w:rsidRPr="00015E92" w:rsidRDefault="00F0519A" w:rsidP="00D050C7">
            <w:pPr>
              <w:jc w:val="center"/>
              <w:rPr>
                <w:color w:val="000000"/>
              </w:rPr>
            </w:pPr>
            <w:r w:rsidRPr="00015E92">
              <w:rPr>
                <w:color w:val="000000"/>
              </w:rPr>
              <w:t>11</w:t>
            </w:r>
          </w:p>
        </w:tc>
        <w:tc>
          <w:tcPr>
            <w:tcW w:w="1417" w:type="dxa"/>
            <w:vAlign w:val="center"/>
          </w:tcPr>
          <w:p w14:paraId="3CB08EC6" w14:textId="77777777" w:rsidR="00F0519A" w:rsidRPr="00015E92" w:rsidRDefault="00F0519A" w:rsidP="00D050C7">
            <w:pPr>
              <w:jc w:val="center"/>
              <w:rPr>
                <w:color w:val="000000"/>
              </w:rPr>
            </w:pPr>
            <w:r w:rsidRPr="00015E92">
              <w:rPr>
                <w:color w:val="000000"/>
              </w:rPr>
              <w:t>13</w:t>
            </w:r>
          </w:p>
        </w:tc>
        <w:tc>
          <w:tcPr>
            <w:tcW w:w="1559" w:type="dxa"/>
            <w:vAlign w:val="center"/>
          </w:tcPr>
          <w:p w14:paraId="5C621EEA" w14:textId="77777777" w:rsidR="00F0519A" w:rsidRPr="00015E92" w:rsidRDefault="00F0519A" w:rsidP="00D050C7">
            <w:pPr>
              <w:jc w:val="center"/>
              <w:rPr>
                <w:color w:val="000000"/>
              </w:rPr>
            </w:pPr>
            <w:r w:rsidRPr="00015E92">
              <w:rPr>
                <w:color w:val="000000"/>
              </w:rPr>
              <w:t>16</w:t>
            </w:r>
          </w:p>
        </w:tc>
      </w:tr>
      <w:tr w:rsidR="00F0519A" w:rsidRPr="00D818E3" w14:paraId="4FBB8FA9" w14:textId="77777777" w:rsidTr="00E36A78">
        <w:tc>
          <w:tcPr>
            <w:tcW w:w="2689" w:type="dxa"/>
            <w:vMerge/>
            <w:vAlign w:val="center"/>
          </w:tcPr>
          <w:p w14:paraId="75E52AF4"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73ADD6F6" w14:textId="77777777" w:rsidR="00F0519A" w:rsidRPr="00015E92" w:rsidRDefault="00F0519A" w:rsidP="00D050C7">
            <w:pPr>
              <w:jc w:val="center"/>
              <w:rPr>
                <w:color w:val="000000"/>
              </w:rPr>
            </w:pPr>
            <w:r w:rsidRPr="00015E92">
              <w:rPr>
                <w:color w:val="000000"/>
              </w:rPr>
              <w:t>3</w:t>
            </w:r>
          </w:p>
        </w:tc>
        <w:tc>
          <w:tcPr>
            <w:tcW w:w="1276" w:type="dxa"/>
            <w:vAlign w:val="center"/>
          </w:tcPr>
          <w:p w14:paraId="6F1C932D" w14:textId="77777777" w:rsidR="00F0519A" w:rsidRPr="00015E92" w:rsidRDefault="00F0519A" w:rsidP="00D050C7">
            <w:pPr>
              <w:jc w:val="center"/>
              <w:rPr>
                <w:color w:val="000000"/>
              </w:rPr>
            </w:pPr>
            <w:r w:rsidRPr="00015E92">
              <w:rPr>
                <w:color w:val="000000"/>
              </w:rPr>
              <w:t>6</w:t>
            </w:r>
          </w:p>
        </w:tc>
        <w:tc>
          <w:tcPr>
            <w:tcW w:w="1276" w:type="dxa"/>
            <w:vAlign w:val="center"/>
          </w:tcPr>
          <w:p w14:paraId="36471045" w14:textId="77777777" w:rsidR="00F0519A" w:rsidRPr="00015E92" w:rsidRDefault="00F0519A" w:rsidP="00D050C7">
            <w:pPr>
              <w:jc w:val="center"/>
              <w:rPr>
                <w:color w:val="000000"/>
              </w:rPr>
            </w:pPr>
            <w:r w:rsidRPr="00015E92">
              <w:rPr>
                <w:color w:val="000000"/>
              </w:rPr>
              <w:t>8</w:t>
            </w:r>
          </w:p>
        </w:tc>
        <w:tc>
          <w:tcPr>
            <w:tcW w:w="1417" w:type="dxa"/>
            <w:vAlign w:val="center"/>
          </w:tcPr>
          <w:p w14:paraId="5F4808B2" w14:textId="77777777" w:rsidR="00F0519A" w:rsidRPr="00015E92" w:rsidRDefault="00F0519A" w:rsidP="00D050C7">
            <w:pPr>
              <w:jc w:val="center"/>
              <w:rPr>
                <w:color w:val="000000"/>
              </w:rPr>
            </w:pPr>
            <w:r w:rsidRPr="00015E92">
              <w:rPr>
                <w:color w:val="000000"/>
              </w:rPr>
              <w:t>10</w:t>
            </w:r>
          </w:p>
        </w:tc>
        <w:tc>
          <w:tcPr>
            <w:tcW w:w="1559" w:type="dxa"/>
            <w:vAlign w:val="center"/>
          </w:tcPr>
          <w:p w14:paraId="69828880" w14:textId="77777777" w:rsidR="00F0519A" w:rsidRPr="00015E92" w:rsidRDefault="00F0519A" w:rsidP="00D050C7">
            <w:pPr>
              <w:jc w:val="center"/>
              <w:rPr>
                <w:color w:val="000000"/>
              </w:rPr>
            </w:pPr>
            <w:r w:rsidRPr="00015E92">
              <w:rPr>
                <w:color w:val="000000"/>
              </w:rPr>
              <w:t>11</w:t>
            </w:r>
          </w:p>
        </w:tc>
      </w:tr>
      <w:tr w:rsidR="00F0519A" w:rsidRPr="00D818E3" w14:paraId="66139779" w14:textId="77777777" w:rsidTr="00E36A78">
        <w:tc>
          <w:tcPr>
            <w:tcW w:w="2689" w:type="dxa"/>
            <w:vMerge/>
            <w:vAlign w:val="center"/>
          </w:tcPr>
          <w:p w14:paraId="69831538"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64D1E27A" w14:textId="77777777" w:rsidR="00F0519A" w:rsidRPr="00015E92" w:rsidRDefault="00F0519A" w:rsidP="00D050C7">
            <w:pPr>
              <w:jc w:val="center"/>
              <w:rPr>
                <w:color w:val="000000"/>
              </w:rPr>
            </w:pPr>
            <w:r w:rsidRPr="00015E92">
              <w:rPr>
                <w:color w:val="000000"/>
              </w:rPr>
              <w:t>5</w:t>
            </w:r>
          </w:p>
        </w:tc>
        <w:tc>
          <w:tcPr>
            <w:tcW w:w="1276" w:type="dxa"/>
            <w:vAlign w:val="center"/>
          </w:tcPr>
          <w:p w14:paraId="62EA5A0E" w14:textId="77777777" w:rsidR="00F0519A" w:rsidRPr="00015E92" w:rsidRDefault="00F0519A" w:rsidP="00D050C7">
            <w:pPr>
              <w:jc w:val="center"/>
              <w:rPr>
                <w:color w:val="000000"/>
              </w:rPr>
            </w:pPr>
            <w:r w:rsidRPr="00015E92">
              <w:rPr>
                <w:color w:val="000000"/>
              </w:rPr>
              <w:t>5</w:t>
            </w:r>
          </w:p>
        </w:tc>
        <w:tc>
          <w:tcPr>
            <w:tcW w:w="1276" w:type="dxa"/>
            <w:vAlign w:val="center"/>
          </w:tcPr>
          <w:p w14:paraId="538DAEF7" w14:textId="77777777" w:rsidR="00F0519A" w:rsidRPr="00015E92" w:rsidRDefault="00F0519A" w:rsidP="00D050C7">
            <w:pPr>
              <w:jc w:val="center"/>
              <w:rPr>
                <w:color w:val="000000"/>
              </w:rPr>
            </w:pPr>
            <w:r w:rsidRPr="00015E92">
              <w:rPr>
                <w:color w:val="000000"/>
              </w:rPr>
              <w:t>9</w:t>
            </w:r>
          </w:p>
        </w:tc>
        <w:tc>
          <w:tcPr>
            <w:tcW w:w="1417" w:type="dxa"/>
            <w:vAlign w:val="center"/>
          </w:tcPr>
          <w:p w14:paraId="7D7E1870" w14:textId="77777777" w:rsidR="00F0519A" w:rsidRPr="00015E92" w:rsidRDefault="00F0519A" w:rsidP="00D050C7">
            <w:pPr>
              <w:jc w:val="center"/>
              <w:rPr>
                <w:color w:val="000000"/>
              </w:rPr>
            </w:pPr>
            <w:r w:rsidRPr="00015E92">
              <w:rPr>
                <w:color w:val="000000"/>
              </w:rPr>
              <w:t>10</w:t>
            </w:r>
          </w:p>
        </w:tc>
        <w:tc>
          <w:tcPr>
            <w:tcW w:w="1559" w:type="dxa"/>
            <w:vAlign w:val="center"/>
          </w:tcPr>
          <w:p w14:paraId="697C714D" w14:textId="77777777" w:rsidR="00F0519A" w:rsidRPr="00015E92" w:rsidRDefault="00F0519A" w:rsidP="00D050C7">
            <w:pPr>
              <w:jc w:val="center"/>
              <w:rPr>
                <w:color w:val="000000"/>
              </w:rPr>
            </w:pPr>
            <w:r w:rsidRPr="00015E92">
              <w:rPr>
                <w:color w:val="000000"/>
              </w:rPr>
              <w:t>12</w:t>
            </w:r>
          </w:p>
        </w:tc>
      </w:tr>
      <w:tr w:rsidR="00F0519A" w:rsidRPr="00D818E3" w14:paraId="3CF12ACA" w14:textId="77777777" w:rsidTr="00E36A78">
        <w:tc>
          <w:tcPr>
            <w:tcW w:w="2689" w:type="dxa"/>
            <w:vMerge/>
            <w:vAlign w:val="center"/>
          </w:tcPr>
          <w:p w14:paraId="18A6EA81"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567F1FC4" w14:textId="77777777" w:rsidR="00F0519A" w:rsidRPr="00015E92" w:rsidRDefault="00F0519A" w:rsidP="00D050C7">
            <w:pPr>
              <w:jc w:val="center"/>
              <w:rPr>
                <w:color w:val="000000"/>
              </w:rPr>
            </w:pPr>
            <w:r w:rsidRPr="00015E92">
              <w:rPr>
                <w:color w:val="000000"/>
              </w:rPr>
              <w:t>3</w:t>
            </w:r>
          </w:p>
        </w:tc>
        <w:tc>
          <w:tcPr>
            <w:tcW w:w="1276" w:type="dxa"/>
            <w:vAlign w:val="center"/>
          </w:tcPr>
          <w:p w14:paraId="65F2984A" w14:textId="77777777" w:rsidR="00F0519A" w:rsidRPr="00015E92" w:rsidRDefault="00F0519A" w:rsidP="00D050C7">
            <w:pPr>
              <w:jc w:val="center"/>
              <w:rPr>
                <w:color w:val="000000"/>
                <w:lang w:val="en-US"/>
              </w:rPr>
            </w:pPr>
            <w:r w:rsidRPr="00015E92">
              <w:rPr>
                <w:color w:val="000000"/>
              </w:rPr>
              <w:t>6</w:t>
            </w:r>
          </w:p>
        </w:tc>
        <w:tc>
          <w:tcPr>
            <w:tcW w:w="1276" w:type="dxa"/>
            <w:vAlign w:val="center"/>
          </w:tcPr>
          <w:p w14:paraId="26C932EA" w14:textId="77777777" w:rsidR="00F0519A" w:rsidRPr="00015E92" w:rsidRDefault="00F0519A" w:rsidP="00D050C7">
            <w:pPr>
              <w:jc w:val="center"/>
              <w:rPr>
                <w:color w:val="000000"/>
              </w:rPr>
            </w:pPr>
            <w:r w:rsidRPr="00015E92">
              <w:rPr>
                <w:color w:val="000000"/>
              </w:rPr>
              <w:t>11</w:t>
            </w:r>
          </w:p>
        </w:tc>
        <w:tc>
          <w:tcPr>
            <w:tcW w:w="1417" w:type="dxa"/>
            <w:vAlign w:val="center"/>
          </w:tcPr>
          <w:p w14:paraId="0FB3014B" w14:textId="77777777" w:rsidR="00F0519A" w:rsidRPr="00015E92" w:rsidRDefault="00F0519A" w:rsidP="00D050C7">
            <w:pPr>
              <w:jc w:val="center"/>
              <w:rPr>
                <w:color w:val="000000"/>
              </w:rPr>
            </w:pPr>
            <w:r w:rsidRPr="00015E92">
              <w:rPr>
                <w:color w:val="000000"/>
              </w:rPr>
              <w:t>13</w:t>
            </w:r>
          </w:p>
        </w:tc>
        <w:tc>
          <w:tcPr>
            <w:tcW w:w="1559" w:type="dxa"/>
            <w:vAlign w:val="center"/>
          </w:tcPr>
          <w:p w14:paraId="61455C42" w14:textId="77777777" w:rsidR="00F0519A" w:rsidRPr="00015E92" w:rsidRDefault="00F0519A" w:rsidP="00D050C7">
            <w:pPr>
              <w:jc w:val="center"/>
              <w:rPr>
                <w:color w:val="000000"/>
              </w:rPr>
            </w:pPr>
            <w:r w:rsidRPr="00015E92">
              <w:rPr>
                <w:color w:val="000000"/>
              </w:rPr>
              <w:t>16</w:t>
            </w:r>
          </w:p>
        </w:tc>
      </w:tr>
      <w:tr w:rsidR="00F0519A" w:rsidRPr="00D818E3" w14:paraId="76EEC26B" w14:textId="77777777" w:rsidTr="00E36A78">
        <w:tc>
          <w:tcPr>
            <w:tcW w:w="2689" w:type="dxa"/>
            <w:vMerge/>
            <w:vAlign w:val="center"/>
          </w:tcPr>
          <w:p w14:paraId="0B0366EC"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1C900F8D" w14:textId="77777777" w:rsidR="00F0519A" w:rsidRPr="00015E92" w:rsidRDefault="00F0519A" w:rsidP="00D050C7">
            <w:pPr>
              <w:jc w:val="center"/>
              <w:rPr>
                <w:color w:val="000000"/>
              </w:rPr>
            </w:pPr>
            <w:r w:rsidRPr="00015E92">
              <w:rPr>
                <w:color w:val="000000"/>
              </w:rPr>
              <w:t>6</w:t>
            </w:r>
          </w:p>
        </w:tc>
        <w:tc>
          <w:tcPr>
            <w:tcW w:w="1276" w:type="dxa"/>
            <w:vAlign w:val="center"/>
          </w:tcPr>
          <w:p w14:paraId="5DB16751" w14:textId="77777777" w:rsidR="00F0519A" w:rsidRPr="00015E92" w:rsidRDefault="00F0519A" w:rsidP="00D050C7">
            <w:pPr>
              <w:jc w:val="center"/>
              <w:rPr>
                <w:color w:val="000000"/>
              </w:rPr>
            </w:pPr>
            <w:r w:rsidRPr="00015E92">
              <w:rPr>
                <w:color w:val="000000"/>
              </w:rPr>
              <w:t>8</w:t>
            </w:r>
          </w:p>
        </w:tc>
        <w:tc>
          <w:tcPr>
            <w:tcW w:w="1276" w:type="dxa"/>
            <w:vAlign w:val="center"/>
          </w:tcPr>
          <w:p w14:paraId="79D5791F" w14:textId="77777777" w:rsidR="00F0519A" w:rsidRPr="00015E92" w:rsidRDefault="00F0519A" w:rsidP="00D050C7">
            <w:pPr>
              <w:jc w:val="center"/>
              <w:rPr>
                <w:color w:val="000000"/>
              </w:rPr>
            </w:pPr>
            <w:r w:rsidRPr="00015E92">
              <w:rPr>
                <w:color w:val="000000"/>
              </w:rPr>
              <w:t>9</w:t>
            </w:r>
          </w:p>
        </w:tc>
        <w:tc>
          <w:tcPr>
            <w:tcW w:w="1417" w:type="dxa"/>
            <w:vAlign w:val="center"/>
          </w:tcPr>
          <w:p w14:paraId="0D948D48" w14:textId="77777777" w:rsidR="00F0519A" w:rsidRPr="00015E92" w:rsidRDefault="00F0519A" w:rsidP="00D050C7">
            <w:pPr>
              <w:jc w:val="center"/>
              <w:rPr>
                <w:color w:val="000000"/>
              </w:rPr>
            </w:pPr>
            <w:r w:rsidRPr="00015E92">
              <w:rPr>
                <w:color w:val="000000"/>
              </w:rPr>
              <w:t>11</w:t>
            </w:r>
          </w:p>
        </w:tc>
        <w:tc>
          <w:tcPr>
            <w:tcW w:w="1559" w:type="dxa"/>
            <w:vAlign w:val="center"/>
          </w:tcPr>
          <w:p w14:paraId="16FCAFBE" w14:textId="77777777" w:rsidR="00F0519A" w:rsidRPr="00015E92" w:rsidRDefault="00F0519A" w:rsidP="00D050C7">
            <w:pPr>
              <w:jc w:val="center"/>
              <w:rPr>
                <w:color w:val="000000"/>
              </w:rPr>
            </w:pPr>
            <w:r w:rsidRPr="00015E92">
              <w:rPr>
                <w:color w:val="000000"/>
              </w:rPr>
              <w:t>13</w:t>
            </w:r>
          </w:p>
        </w:tc>
      </w:tr>
      <w:tr w:rsidR="00F0519A" w:rsidRPr="00D818E3" w14:paraId="4067FDD1" w14:textId="77777777" w:rsidTr="00E36A78">
        <w:tc>
          <w:tcPr>
            <w:tcW w:w="2689" w:type="dxa"/>
            <w:vMerge/>
            <w:vAlign w:val="center"/>
          </w:tcPr>
          <w:p w14:paraId="40A57E21"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27E48A30" w14:textId="77777777" w:rsidR="00F0519A" w:rsidRPr="00015E92" w:rsidRDefault="00F0519A" w:rsidP="00D050C7">
            <w:pPr>
              <w:jc w:val="center"/>
              <w:rPr>
                <w:color w:val="000000"/>
              </w:rPr>
            </w:pPr>
            <w:r w:rsidRPr="00015E92">
              <w:rPr>
                <w:color w:val="000000"/>
              </w:rPr>
              <w:t>7</w:t>
            </w:r>
          </w:p>
        </w:tc>
        <w:tc>
          <w:tcPr>
            <w:tcW w:w="1276" w:type="dxa"/>
            <w:vAlign w:val="center"/>
          </w:tcPr>
          <w:p w14:paraId="059610E2" w14:textId="77777777" w:rsidR="00F0519A" w:rsidRPr="00015E92" w:rsidRDefault="00F0519A" w:rsidP="00D050C7">
            <w:pPr>
              <w:jc w:val="center"/>
              <w:rPr>
                <w:color w:val="000000"/>
              </w:rPr>
            </w:pPr>
            <w:r w:rsidRPr="00015E92">
              <w:rPr>
                <w:color w:val="000000"/>
              </w:rPr>
              <w:t>5</w:t>
            </w:r>
          </w:p>
        </w:tc>
        <w:tc>
          <w:tcPr>
            <w:tcW w:w="1276" w:type="dxa"/>
            <w:vAlign w:val="center"/>
          </w:tcPr>
          <w:p w14:paraId="69125F7A" w14:textId="77777777" w:rsidR="00F0519A" w:rsidRPr="00015E92" w:rsidRDefault="00F0519A" w:rsidP="00D050C7">
            <w:pPr>
              <w:jc w:val="center"/>
              <w:rPr>
                <w:color w:val="000000"/>
              </w:rPr>
            </w:pPr>
            <w:r w:rsidRPr="00015E92">
              <w:rPr>
                <w:color w:val="000000"/>
              </w:rPr>
              <w:t>9</w:t>
            </w:r>
          </w:p>
        </w:tc>
        <w:tc>
          <w:tcPr>
            <w:tcW w:w="1417" w:type="dxa"/>
            <w:vAlign w:val="center"/>
          </w:tcPr>
          <w:p w14:paraId="00E5C010" w14:textId="77777777" w:rsidR="00F0519A" w:rsidRPr="00015E92" w:rsidRDefault="00F0519A" w:rsidP="00D050C7">
            <w:pPr>
              <w:jc w:val="center"/>
              <w:rPr>
                <w:color w:val="000000"/>
              </w:rPr>
            </w:pPr>
            <w:r w:rsidRPr="00015E92">
              <w:rPr>
                <w:color w:val="000000"/>
              </w:rPr>
              <w:t>11</w:t>
            </w:r>
          </w:p>
        </w:tc>
        <w:tc>
          <w:tcPr>
            <w:tcW w:w="1559" w:type="dxa"/>
            <w:vAlign w:val="center"/>
          </w:tcPr>
          <w:p w14:paraId="0905D924" w14:textId="77777777" w:rsidR="00F0519A" w:rsidRPr="00015E92" w:rsidRDefault="00F0519A" w:rsidP="00D050C7">
            <w:pPr>
              <w:jc w:val="center"/>
              <w:rPr>
                <w:color w:val="000000"/>
              </w:rPr>
            </w:pPr>
            <w:r w:rsidRPr="00015E92">
              <w:rPr>
                <w:color w:val="000000"/>
              </w:rPr>
              <w:t>14</w:t>
            </w:r>
          </w:p>
        </w:tc>
      </w:tr>
      <w:tr w:rsidR="00F0519A" w:rsidRPr="00D818E3" w14:paraId="58751844" w14:textId="77777777" w:rsidTr="00E36A78">
        <w:tc>
          <w:tcPr>
            <w:tcW w:w="2689" w:type="dxa"/>
            <w:vMerge/>
            <w:vAlign w:val="center"/>
          </w:tcPr>
          <w:p w14:paraId="708101B1"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202AE5D4" w14:textId="77777777" w:rsidR="00F0519A" w:rsidRPr="00015E92" w:rsidRDefault="00F0519A" w:rsidP="00D050C7">
            <w:pPr>
              <w:jc w:val="center"/>
              <w:rPr>
                <w:color w:val="000000"/>
              </w:rPr>
            </w:pPr>
            <w:r w:rsidRPr="00015E92">
              <w:rPr>
                <w:color w:val="000000"/>
              </w:rPr>
              <w:t>5</w:t>
            </w:r>
          </w:p>
        </w:tc>
        <w:tc>
          <w:tcPr>
            <w:tcW w:w="1276" w:type="dxa"/>
            <w:vAlign w:val="center"/>
          </w:tcPr>
          <w:p w14:paraId="28BFB9AD" w14:textId="77777777" w:rsidR="00F0519A" w:rsidRPr="00015E92" w:rsidRDefault="00F0519A" w:rsidP="00D050C7">
            <w:pPr>
              <w:jc w:val="center"/>
              <w:rPr>
                <w:color w:val="000000"/>
              </w:rPr>
            </w:pPr>
            <w:r w:rsidRPr="00015E92">
              <w:rPr>
                <w:color w:val="000000"/>
              </w:rPr>
              <w:t>5</w:t>
            </w:r>
          </w:p>
        </w:tc>
        <w:tc>
          <w:tcPr>
            <w:tcW w:w="1276" w:type="dxa"/>
            <w:vAlign w:val="center"/>
          </w:tcPr>
          <w:p w14:paraId="5E42FC82" w14:textId="77777777" w:rsidR="00F0519A" w:rsidRPr="00015E92" w:rsidRDefault="00F0519A" w:rsidP="00D050C7">
            <w:pPr>
              <w:jc w:val="center"/>
              <w:rPr>
                <w:color w:val="000000"/>
              </w:rPr>
            </w:pPr>
            <w:r w:rsidRPr="00015E92">
              <w:rPr>
                <w:color w:val="000000"/>
              </w:rPr>
              <w:t>11</w:t>
            </w:r>
          </w:p>
        </w:tc>
        <w:tc>
          <w:tcPr>
            <w:tcW w:w="1417" w:type="dxa"/>
            <w:vAlign w:val="center"/>
          </w:tcPr>
          <w:p w14:paraId="4ADDFF30" w14:textId="77777777" w:rsidR="00F0519A" w:rsidRPr="00015E92" w:rsidRDefault="00F0519A" w:rsidP="00D050C7">
            <w:pPr>
              <w:jc w:val="center"/>
              <w:rPr>
                <w:color w:val="000000"/>
              </w:rPr>
            </w:pPr>
            <w:r w:rsidRPr="00015E92">
              <w:rPr>
                <w:color w:val="000000"/>
              </w:rPr>
              <w:t>12</w:t>
            </w:r>
          </w:p>
        </w:tc>
        <w:tc>
          <w:tcPr>
            <w:tcW w:w="1559" w:type="dxa"/>
            <w:vAlign w:val="center"/>
          </w:tcPr>
          <w:p w14:paraId="4193A6DC" w14:textId="77777777" w:rsidR="00F0519A" w:rsidRPr="00015E92" w:rsidRDefault="00F0519A" w:rsidP="00D050C7">
            <w:pPr>
              <w:jc w:val="center"/>
              <w:rPr>
                <w:color w:val="000000"/>
              </w:rPr>
            </w:pPr>
            <w:r w:rsidRPr="00015E92">
              <w:rPr>
                <w:color w:val="000000"/>
              </w:rPr>
              <w:t>15</w:t>
            </w:r>
          </w:p>
        </w:tc>
      </w:tr>
      <w:tr w:rsidR="00F0519A" w:rsidRPr="00D818E3" w14:paraId="0AB98019" w14:textId="77777777" w:rsidTr="00E36A78">
        <w:tc>
          <w:tcPr>
            <w:tcW w:w="2689" w:type="dxa"/>
            <w:vMerge/>
            <w:vAlign w:val="center"/>
          </w:tcPr>
          <w:p w14:paraId="1F30DA72" w14:textId="77777777" w:rsidR="00F0519A" w:rsidRPr="00015E92" w:rsidRDefault="00F0519A" w:rsidP="00D050C7">
            <w:pPr>
              <w:tabs>
                <w:tab w:val="left" w:pos="927"/>
              </w:tabs>
              <w:spacing w:line="480" w:lineRule="auto"/>
              <w:ind w:left="23"/>
              <w:rPr>
                <w:bCs/>
                <w:highlight w:val="yellow"/>
              </w:rPr>
            </w:pPr>
          </w:p>
        </w:tc>
        <w:tc>
          <w:tcPr>
            <w:tcW w:w="1134" w:type="dxa"/>
            <w:vAlign w:val="center"/>
          </w:tcPr>
          <w:p w14:paraId="303916EA" w14:textId="77777777" w:rsidR="00F0519A" w:rsidRPr="00015E92" w:rsidRDefault="00F0519A" w:rsidP="00D050C7">
            <w:pPr>
              <w:jc w:val="center"/>
              <w:rPr>
                <w:color w:val="000000"/>
              </w:rPr>
            </w:pPr>
            <w:r w:rsidRPr="00015E92">
              <w:rPr>
                <w:color w:val="000000"/>
              </w:rPr>
              <w:t>2</w:t>
            </w:r>
          </w:p>
        </w:tc>
        <w:tc>
          <w:tcPr>
            <w:tcW w:w="1276" w:type="dxa"/>
            <w:vAlign w:val="center"/>
          </w:tcPr>
          <w:p w14:paraId="1930DE23" w14:textId="77777777" w:rsidR="00F0519A" w:rsidRPr="00015E92" w:rsidRDefault="00F0519A" w:rsidP="00D050C7">
            <w:pPr>
              <w:jc w:val="center"/>
              <w:rPr>
                <w:color w:val="000000"/>
              </w:rPr>
            </w:pPr>
            <w:r w:rsidRPr="00015E92">
              <w:rPr>
                <w:color w:val="000000"/>
              </w:rPr>
              <w:t>6</w:t>
            </w:r>
          </w:p>
        </w:tc>
        <w:tc>
          <w:tcPr>
            <w:tcW w:w="1276" w:type="dxa"/>
            <w:vAlign w:val="center"/>
          </w:tcPr>
          <w:p w14:paraId="02C69100" w14:textId="77777777" w:rsidR="00F0519A" w:rsidRPr="00015E92" w:rsidRDefault="00F0519A" w:rsidP="00D050C7">
            <w:pPr>
              <w:jc w:val="center"/>
              <w:rPr>
                <w:color w:val="000000"/>
              </w:rPr>
            </w:pPr>
            <w:r w:rsidRPr="00015E92">
              <w:rPr>
                <w:color w:val="000000"/>
              </w:rPr>
              <w:t>12</w:t>
            </w:r>
          </w:p>
        </w:tc>
        <w:tc>
          <w:tcPr>
            <w:tcW w:w="1417" w:type="dxa"/>
            <w:vAlign w:val="center"/>
          </w:tcPr>
          <w:p w14:paraId="16B56DE4" w14:textId="77777777" w:rsidR="00F0519A" w:rsidRPr="00015E92" w:rsidRDefault="00F0519A" w:rsidP="00D050C7">
            <w:pPr>
              <w:jc w:val="center"/>
              <w:rPr>
                <w:color w:val="000000"/>
              </w:rPr>
            </w:pPr>
            <w:r w:rsidRPr="00015E92">
              <w:rPr>
                <w:color w:val="000000"/>
              </w:rPr>
              <w:t>14</w:t>
            </w:r>
          </w:p>
        </w:tc>
        <w:tc>
          <w:tcPr>
            <w:tcW w:w="1559" w:type="dxa"/>
            <w:vAlign w:val="center"/>
          </w:tcPr>
          <w:p w14:paraId="494582D8" w14:textId="77777777" w:rsidR="00F0519A" w:rsidRPr="00015E92" w:rsidRDefault="00F0519A" w:rsidP="00D050C7">
            <w:pPr>
              <w:jc w:val="center"/>
              <w:rPr>
                <w:color w:val="000000"/>
              </w:rPr>
            </w:pPr>
            <w:r w:rsidRPr="00015E92">
              <w:rPr>
                <w:color w:val="000000"/>
              </w:rPr>
              <w:t>17</w:t>
            </w:r>
          </w:p>
        </w:tc>
      </w:tr>
      <w:tr w:rsidR="00E36A78" w:rsidRPr="00D818E3" w14:paraId="373138BD" w14:textId="77777777" w:rsidTr="00E36A78">
        <w:trPr>
          <w:trHeight w:val="199"/>
        </w:trPr>
        <w:tc>
          <w:tcPr>
            <w:tcW w:w="2689" w:type="dxa"/>
            <w:vAlign w:val="center"/>
          </w:tcPr>
          <w:p w14:paraId="0973FA94" w14:textId="6C28C658" w:rsidR="00E36A78" w:rsidRPr="00015E92" w:rsidRDefault="00E36A78" w:rsidP="00E36A78">
            <w:pPr>
              <w:ind w:left="23"/>
              <w:jc w:val="center"/>
              <w:rPr>
                <w:bCs/>
              </w:rPr>
            </w:pPr>
            <w:r w:rsidRPr="00703680">
              <w:t>Ср</w:t>
            </w:r>
            <w:r>
              <w:t xml:space="preserve">. </w:t>
            </w:r>
            <w:r w:rsidRPr="00703680">
              <w:t>значение</w:t>
            </w:r>
          </w:p>
        </w:tc>
        <w:tc>
          <w:tcPr>
            <w:tcW w:w="1134" w:type="dxa"/>
            <w:vAlign w:val="center"/>
          </w:tcPr>
          <w:p w14:paraId="4160BBC9" w14:textId="77777777" w:rsidR="00E36A78" w:rsidRPr="00015E92" w:rsidRDefault="00E36A78" w:rsidP="00E36A78">
            <w:pPr>
              <w:jc w:val="center"/>
              <w:rPr>
                <w:color w:val="000000"/>
              </w:rPr>
            </w:pPr>
            <w:r w:rsidRPr="00015E92">
              <w:rPr>
                <w:color w:val="000000"/>
                <w:lang w:val="en-US"/>
              </w:rPr>
              <w:t>5</w:t>
            </w:r>
          </w:p>
        </w:tc>
        <w:tc>
          <w:tcPr>
            <w:tcW w:w="1276" w:type="dxa"/>
            <w:vAlign w:val="center"/>
          </w:tcPr>
          <w:p w14:paraId="3710D474" w14:textId="77777777" w:rsidR="00E36A78" w:rsidRPr="00015E92" w:rsidRDefault="00E36A78" w:rsidP="00E36A78">
            <w:pPr>
              <w:jc w:val="center"/>
              <w:rPr>
                <w:color w:val="000000"/>
              </w:rPr>
            </w:pPr>
            <w:r w:rsidRPr="00015E92">
              <w:rPr>
                <w:color w:val="000000"/>
                <w:lang w:val="en-US"/>
              </w:rPr>
              <w:t>7</w:t>
            </w:r>
          </w:p>
        </w:tc>
        <w:tc>
          <w:tcPr>
            <w:tcW w:w="1276" w:type="dxa"/>
            <w:vAlign w:val="center"/>
          </w:tcPr>
          <w:p w14:paraId="1BB33617" w14:textId="77777777" w:rsidR="00E36A78" w:rsidRPr="00015E92" w:rsidRDefault="00E36A78" w:rsidP="00E36A78">
            <w:pPr>
              <w:jc w:val="center"/>
              <w:rPr>
                <w:color w:val="000000"/>
              </w:rPr>
            </w:pPr>
            <w:r w:rsidRPr="00015E92">
              <w:rPr>
                <w:color w:val="000000"/>
                <w:lang w:val="en-US"/>
              </w:rPr>
              <w:t>10</w:t>
            </w:r>
          </w:p>
        </w:tc>
        <w:tc>
          <w:tcPr>
            <w:tcW w:w="1417" w:type="dxa"/>
            <w:vAlign w:val="center"/>
          </w:tcPr>
          <w:p w14:paraId="452EE2ED" w14:textId="77777777" w:rsidR="00E36A78" w:rsidRPr="00015E92" w:rsidRDefault="00E36A78" w:rsidP="00E36A78">
            <w:pPr>
              <w:jc w:val="center"/>
              <w:rPr>
                <w:color w:val="000000"/>
              </w:rPr>
            </w:pPr>
            <w:r w:rsidRPr="00015E92">
              <w:rPr>
                <w:color w:val="000000"/>
                <w:lang w:val="en-US"/>
              </w:rPr>
              <w:t>12</w:t>
            </w:r>
          </w:p>
        </w:tc>
        <w:tc>
          <w:tcPr>
            <w:tcW w:w="1559" w:type="dxa"/>
            <w:vAlign w:val="center"/>
          </w:tcPr>
          <w:p w14:paraId="32C47E62" w14:textId="77777777" w:rsidR="00E36A78" w:rsidRPr="00015E92" w:rsidRDefault="00E36A78" w:rsidP="00E36A78">
            <w:pPr>
              <w:jc w:val="center"/>
              <w:rPr>
                <w:color w:val="000000"/>
              </w:rPr>
            </w:pPr>
            <w:r w:rsidRPr="00015E92">
              <w:rPr>
                <w:color w:val="000000"/>
                <w:lang w:val="en-US"/>
              </w:rPr>
              <w:t>15</w:t>
            </w:r>
          </w:p>
        </w:tc>
      </w:tr>
      <w:tr w:rsidR="00E36A78" w:rsidRPr="00D818E3" w14:paraId="1FB67396" w14:textId="77777777" w:rsidTr="00E36A78">
        <w:trPr>
          <w:trHeight w:val="64"/>
        </w:trPr>
        <w:tc>
          <w:tcPr>
            <w:tcW w:w="2689" w:type="dxa"/>
            <w:vAlign w:val="center"/>
          </w:tcPr>
          <w:p w14:paraId="765A7AE8" w14:textId="13E032A7" w:rsidR="00E36A78" w:rsidRPr="00015E92" w:rsidRDefault="00E36A78" w:rsidP="00E36A78">
            <w:pPr>
              <w:ind w:left="23"/>
              <w:jc w:val="center"/>
              <w:rPr>
                <w:bCs/>
              </w:rPr>
            </w:pPr>
            <w:r w:rsidRPr="00703680">
              <w:t>Кол</w:t>
            </w:r>
            <w:r>
              <w:t>-во</w:t>
            </w:r>
            <w:r w:rsidRPr="00703680">
              <w:t xml:space="preserve"> элементов, n</w:t>
            </w:r>
          </w:p>
        </w:tc>
        <w:tc>
          <w:tcPr>
            <w:tcW w:w="1134" w:type="dxa"/>
            <w:vAlign w:val="center"/>
          </w:tcPr>
          <w:p w14:paraId="082A04BB" w14:textId="77777777" w:rsidR="00E36A78" w:rsidRPr="00015E92" w:rsidRDefault="00E36A78" w:rsidP="00E36A78">
            <w:pPr>
              <w:tabs>
                <w:tab w:val="left" w:pos="927"/>
              </w:tabs>
              <w:jc w:val="center"/>
              <w:rPr>
                <w:bCs/>
              </w:rPr>
            </w:pPr>
            <w:r w:rsidRPr="00015E92">
              <w:rPr>
                <w:bCs/>
              </w:rPr>
              <w:t>12</w:t>
            </w:r>
          </w:p>
        </w:tc>
        <w:tc>
          <w:tcPr>
            <w:tcW w:w="1276" w:type="dxa"/>
            <w:vAlign w:val="center"/>
          </w:tcPr>
          <w:p w14:paraId="4F042385" w14:textId="77777777" w:rsidR="00E36A78" w:rsidRPr="00015E92" w:rsidRDefault="00E36A78" w:rsidP="00E36A78">
            <w:pPr>
              <w:tabs>
                <w:tab w:val="left" w:pos="927"/>
              </w:tabs>
              <w:jc w:val="center"/>
              <w:rPr>
                <w:bCs/>
              </w:rPr>
            </w:pPr>
            <w:r w:rsidRPr="00015E92">
              <w:rPr>
                <w:bCs/>
              </w:rPr>
              <w:t>12</w:t>
            </w:r>
          </w:p>
        </w:tc>
        <w:tc>
          <w:tcPr>
            <w:tcW w:w="1276" w:type="dxa"/>
            <w:vAlign w:val="center"/>
          </w:tcPr>
          <w:p w14:paraId="6CD377E3" w14:textId="77777777" w:rsidR="00E36A78" w:rsidRPr="00015E92" w:rsidRDefault="00E36A78" w:rsidP="00E36A78">
            <w:pPr>
              <w:tabs>
                <w:tab w:val="left" w:pos="927"/>
              </w:tabs>
              <w:jc w:val="center"/>
              <w:rPr>
                <w:bCs/>
              </w:rPr>
            </w:pPr>
            <w:r w:rsidRPr="00015E92">
              <w:rPr>
                <w:bCs/>
              </w:rPr>
              <w:t>12</w:t>
            </w:r>
          </w:p>
        </w:tc>
        <w:tc>
          <w:tcPr>
            <w:tcW w:w="1417" w:type="dxa"/>
            <w:vAlign w:val="center"/>
          </w:tcPr>
          <w:p w14:paraId="07AB1FC0" w14:textId="77777777" w:rsidR="00E36A78" w:rsidRPr="00015E92" w:rsidRDefault="00E36A78" w:rsidP="00E36A78">
            <w:pPr>
              <w:tabs>
                <w:tab w:val="left" w:pos="927"/>
              </w:tabs>
              <w:jc w:val="center"/>
              <w:rPr>
                <w:bCs/>
              </w:rPr>
            </w:pPr>
            <w:r w:rsidRPr="00015E92">
              <w:rPr>
                <w:bCs/>
              </w:rPr>
              <w:t>12</w:t>
            </w:r>
          </w:p>
        </w:tc>
        <w:tc>
          <w:tcPr>
            <w:tcW w:w="1559" w:type="dxa"/>
            <w:vAlign w:val="center"/>
          </w:tcPr>
          <w:p w14:paraId="4AEDCBF6" w14:textId="77777777" w:rsidR="00E36A78" w:rsidRPr="00015E92" w:rsidRDefault="00E36A78" w:rsidP="00E36A78">
            <w:pPr>
              <w:tabs>
                <w:tab w:val="left" w:pos="927"/>
              </w:tabs>
              <w:jc w:val="center"/>
              <w:rPr>
                <w:bCs/>
              </w:rPr>
            </w:pPr>
            <w:r w:rsidRPr="00015E92">
              <w:rPr>
                <w:bCs/>
              </w:rPr>
              <w:t>12</w:t>
            </w:r>
          </w:p>
        </w:tc>
      </w:tr>
      <w:tr w:rsidR="00E36A78" w:rsidRPr="00D818E3" w14:paraId="16BD9673" w14:textId="77777777" w:rsidTr="00E36A78">
        <w:trPr>
          <w:trHeight w:val="271"/>
        </w:trPr>
        <w:tc>
          <w:tcPr>
            <w:tcW w:w="2689" w:type="dxa"/>
            <w:vAlign w:val="center"/>
          </w:tcPr>
          <w:p w14:paraId="357D0574" w14:textId="0056E57A" w:rsidR="00E36A78" w:rsidRPr="00015E92" w:rsidRDefault="00E36A78" w:rsidP="00E36A78">
            <w:pPr>
              <w:ind w:left="23"/>
              <w:jc w:val="center"/>
              <w:rPr>
                <w:bCs/>
              </w:rPr>
            </w:pPr>
            <w:r w:rsidRPr="00703680">
              <w:t>Степени свободы, f</w:t>
            </w:r>
          </w:p>
        </w:tc>
        <w:tc>
          <w:tcPr>
            <w:tcW w:w="1134" w:type="dxa"/>
            <w:vAlign w:val="center"/>
          </w:tcPr>
          <w:p w14:paraId="18470351" w14:textId="77777777" w:rsidR="00E36A78" w:rsidRPr="00015E92" w:rsidRDefault="00E36A78" w:rsidP="00E36A78">
            <w:pPr>
              <w:tabs>
                <w:tab w:val="left" w:pos="927"/>
              </w:tabs>
              <w:jc w:val="center"/>
              <w:rPr>
                <w:bCs/>
              </w:rPr>
            </w:pPr>
            <w:r w:rsidRPr="00015E92">
              <w:rPr>
                <w:bCs/>
              </w:rPr>
              <w:t>11</w:t>
            </w:r>
          </w:p>
        </w:tc>
        <w:tc>
          <w:tcPr>
            <w:tcW w:w="1276" w:type="dxa"/>
            <w:vAlign w:val="center"/>
          </w:tcPr>
          <w:p w14:paraId="7756FB89" w14:textId="77777777" w:rsidR="00E36A78" w:rsidRPr="00015E92" w:rsidRDefault="00E36A78" w:rsidP="00E36A78">
            <w:pPr>
              <w:tabs>
                <w:tab w:val="left" w:pos="927"/>
              </w:tabs>
              <w:jc w:val="center"/>
              <w:rPr>
                <w:bCs/>
              </w:rPr>
            </w:pPr>
            <w:r w:rsidRPr="00015E92">
              <w:rPr>
                <w:bCs/>
              </w:rPr>
              <w:t>11</w:t>
            </w:r>
          </w:p>
        </w:tc>
        <w:tc>
          <w:tcPr>
            <w:tcW w:w="1276" w:type="dxa"/>
            <w:vAlign w:val="center"/>
          </w:tcPr>
          <w:p w14:paraId="5EFCB10D" w14:textId="77777777" w:rsidR="00E36A78" w:rsidRPr="00015E92" w:rsidRDefault="00E36A78" w:rsidP="00E36A78">
            <w:pPr>
              <w:tabs>
                <w:tab w:val="left" w:pos="927"/>
              </w:tabs>
              <w:jc w:val="center"/>
              <w:rPr>
                <w:bCs/>
              </w:rPr>
            </w:pPr>
            <w:r w:rsidRPr="00015E92">
              <w:rPr>
                <w:bCs/>
              </w:rPr>
              <w:t>11</w:t>
            </w:r>
          </w:p>
        </w:tc>
        <w:tc>
          <w:tcPr>
            <w:tcW w:w="1417" w:type="dxa"/>
            <w:vAlign w:val="center"/>
          </w:tcPr>
          <w:p w14:paraId="1F212A59" w14:textId="77777777" w:rsidR="00E36A78" w:rsidRPr="00015E92" w:rsidRDefault="00E36A78" w:rsidP="00E36A78">
            <w:pPr>
              <w:tabs>
                <w:tab w:val="left" w:pos="927"/>
              </w:tabs>
              <w:jc w:val="center"/>
              <w:rPr>
                <w:bCs/>
              </w:rPr>
            </w:pPr>
            <w:r w:rsidRPr="00015E92">
              <w:rPr>
                <w:bCs/>
              </w:rPr>
              <w:t>11</w:t>
            </w:r>
          </w:p>
        </w:tc>
        <w:tc>
          <w:tcPr>
            <w:tcW w:w="1559" w:type="dxa"/>
            <w:vAlign w:val="center"/>
          </w:tcPr>
          <w:p w14:paraId="56625E04" w14:textId="77777777" w:rsidR="00E36A78" w:rsidRPr="00015E92" w:rsidRDefault="00E36A78" w:rsidP="00E36A78">
            <w:pPr>
              <w:tabs>
                <w:tab w:val="left" w:pos="927"/>
              </w:tabs>
              <w:jc w:val="center"/>
              <w:rPr>
                <w:bCs/>
              </w:rPr>
            </w:pPr>
            <w:r w:rsidRPr="00015E92">
              <w:rPr>
                <w:bCs/>
              </w:rPr>
              <w:t>11</w:t>
            </w:r>
          </w:p>
        </w:tc>
      </w:tr>
      <w:tr w:rsidR="00E36A78" w:rsidRPr="001473B6" w14:paraId="327C68BB" w14:textId="77777777" w:rsidTr="00E36A78">
        <w:trPr>
          <w:trHeight w:val="215"/>
        </w:trPr>
        <w:tc>
          <w:tcPr>
            <w:tcW w:w="2689" w:type="dxa"/>
            <w:vAlign w:val="center"/>
          </w:tcPr>
          <w:p w14:paraId="024168D6" w14:textId="56D0CA92" w:rsidR="00E36A78" w:rsidRPr="00015E92" w:rsidRDefault="00E36A78" w:rsidP="00E36A78">
            <w:pPr>
              <w:ind w:left="23"/>
              <w:jc w:val="center"/>
              <w:rPr>
                <w:bCs/>
              </w:rPr>
            </w:pPr>
            <w:r w:rsidRPr="00703680">
              <w:t>Дисперсия</w:t>
            </w:r>
          </w:p>
        </w:tc>
        <w:tc>
          <w:tcPr>
            <w:tcW w:w="1134" w:type="dxa"/>
            <w:vAlign w:val="center"/>
          </w:tcPr>
          <w:p w14:paraId="225F8FEB" w14:textId="77777777" w:rsidR="00E36A78" w:rsidRPr="00015E92" w:rsidRDefault="00E36A78" w:rsidP="00E36A78">
            <w:pPr>
              <w:jc w:val="center"/>
              <w:rPr>
                <w:bCs/>
                <w:color w:val="000000"/>
              </w:rPr>
            </w:pPr>
            <w:r w:rsidRPr="00015E92">
              <w:rPr>
                <w:bCs/>
                <w:color w:val="000000"/>
              </w:rPr>
              <w:t>2,3</w:t>
            </w:r>
          </w:p>
        </w:tc>
        <w:tc>
          <w:tcPr>
            <w:tcW w:w="1276" w:type="dxa"/>
            <w:vAlign w:val="center"/>
          </w:tcPr>
          <w:p w14:paraId="4720EA5D" w14:textId="77777777" w:rsidR="00E36A78" w:rsidRPr="00015E92" w:rsidRDefault="00E36A78" w:rsidP="00E36A78">
            <w:pPr>
              <w:jc w:val="center"/>
              <w:rPr>
                <w:color w:val="000000"/>
              </w:rPr>
            </w:pPr>
            <w:r w:rsidRPr="00015E92">
              <w:rPr>
                <w:bCs/>
                <w:color w:val="000000"/>
              </w:rPr>
              <w:t>3,7</w:t>
            </w:r>
          </w:p>
        </w:tc>
        <w:tc>
          <w:tcPr>
            <w:tcW w:w="1276" w:type="dxa"/>
            <w:vAlign w:val="center"/>
          </w:tcPr>
          <w:p w14:paraId="54CBC0E9" w14:textId="77777777" w:rsidR="00E36A78" w:rsidRPr="00015E92" w:rsidRDefault="00E36A78" w:rsidP="00E36A78">
            <w:pPr>
              <w:jc w:val="center"/>
              <w:rPr>
                <w:color w:val="000000"/>
              </w:rPr>
            </w:pPr>
            <w:r w:rsidRPr="00015E92">
              <w:rPr>
                <w:bCs/>
                <w:color w:val="000000"/>
              </w:rPr>
              <w:t>4</w:t>
            </w:r>
          </w:p>
        </w:tc>
        <w:tc>
          <w:tcPr>
            <w:tcW w:w="1417" w:type="dxa"/>
            <w:vAlign w:val="center"/>
          </w:tcPr>
          <w:p w14:paraId="27B47D4B" w14:textId="77777777" w:rsidR="00E36A78" w:rsidRPr="00015E92" w:rsidRDefault="00E36A78" w:rsidP="00E36A78">
            <w:pPr>
              <w:jc w:val="center"/>
              <w:rPr>
                <w:color w:val="000000"/>
              </w:rPr>
            </w:pPr>
            <w:r w:rsidRPr="00015E92">
              <w:rPr>
                <w:bCs/>
                <w:color w:val="000000"/>
              </w:rPr>
              <w:t>4,2</w:t>
            </w:r>
          </w:p>
        </w:tc>
        <w:tc>
          <w:tcPr>
            <w:tcW w:w="1559" w:type="dxa"/>
            <w:vAlign w:val="center"/>
          </w:tcPr>
          <w:p w14:paraId="52376722" w14:textId="77777777" w:rsidR="00E36A78" w:rsidRPr="00015E92" w:rsidRDefault="00E36A78" w:rsidP="00E36A78">
            <w:pPr>
              <w:jc w:val="center"/>
              <w:rPr>
                <w:color w:val="000000"/>
              </w:rPr>
            </w:pPr>
            <w:r w:rsidRPr="00015E92">
              <w:rPr>
                <w:bCs/>
                <w:color w:val="000000"/>
              </w:rPr>
              <w:t>4,6</w:t>
            </w:r>
          </w:p>
        </w:tc>
      </w:tr>
      <w:tr w:rsidR="00E36A78" w:rsidRPr="001473B6" w14:paraId="77D3F795" w14:textId="77777777" w:rsidTr="00E36A78">
        <w:trPr>
          <w:trHeight w:val="64"/>
        </w:trPr>
        <w:tc>
          <w:tcPr>
            <w:tcW w:w="2689" w:type="dxa"/>
            <w:vAlign w:val="center"/>
          </w:tcPr>
          <w:p w14:paraId="69CA9E8E" w14:textId="27C2C402" w:rsidR="00E36A78" w:rsidRPr="00015E92" w:rsidRDefault="00E36A78" w:rsidP="00E36A78">
            <w:pPr>
              <w:ind w:left="23"/>
              <w:jc w:val="center"/>
              <w:rPr>
                <w:bCs/>
              </w:rPr>
            </w:pPr>
            <w:r>
              <w:t>СО</w:t>
            </w:r>
          </w:p>
        </w:tc>
        <w:tc>
          <w:tcPr>
            <w:tcW w:w="1134" w:type="dxa"/>
            <w:vAlign w:val="center"/>
          </w:tcPr>
          <w:p w14:paraId="1D319883" w14:textId="77777777" w:rsidR="00E36A78" w:rsidRPr="00015E92" w:rsidRDefault="00E36A78" w:rsidP="00E36A78">
            <w:pPr>
              <w:jc w:val="center"/>
              <w:rPr>
                <w:color w:val="000000"/>
              </w:rPr>
            </w:pPr>
            <w:r w:rsidRPr="00015E92">
              <w:rPr>
                <w:bCs/>
                <w:color w:val="000000"/>
              </w:rPr>
              <w:t>1,51</w:t>
            </w:r>
          </w:p>
        </w:tc>
        <w:tc>
          <w:tcPr>
            <w:tcW w:w="1276" w:type="dxa"/>
            <w:vAlign w:val="center"/>
          </w:tcPr>
          <w:p w14:paraId="12B494C9" w14:textId="77777777" w:rsidR="00E36A78" w:rsidRPr="00015E92" w:rsidRDefault="00E36A78" w:rsidP="00E36A78">
            <w:pPr>
              <w:jc w:val="center"/>
              <w:rPr>
                <w:color w:val="000000"/>
              </w:rPr>
            </w:pPr>
            <w:r w:rsidRPr="00015E92">
              <w:rPr>
                <w:bCs/>
                <w:color w:val="000000"/>
              </w:rPr>
              <w:t>1,93</w:t>
            </w:r>
          </w:p>
        </w:tc>
        <w:tc>
          <w:tcPr>
            <w:tcW w:w="1276" w:type="dxa"/>
            <w:vAlign w:val="center"/>
          </w:tcPr>
          <w:p w14:paraId="34BCA987" w14:textId="77777777" w:rsidR="00E36A78" w:rsidRPr="00015E92" w:rsidRDefault="00E36A78" w:rsidP="00E36A78">
            <w:pPr>
              <w:jc w:val="center"/>
              <w:rPr>
                <w:color w:val="000000"/>
              </w:rPr>
            </w:pPr>
            <w:r w:rsidRPr="00015E92">
              <w:rPr>
                <w:bCs/>
                <w:color w:val="000000"/>
              </w:rPr>
              <w:t>2,01</w:t>
            </w:r>
          </w:p>
        </w:tc>
        <w:tc>
          <w:tcPr>
            <w:tcW w:w="1417" w:type="dxa"/>
            <w:vAlign w:val="center"/>
          </w:tcPr>
          <w:p w14:paraId="44C076F6" w14:textId="77777777" w:rsidR="00E36A78" w:rsidRPr="00015E92" w:rsidRDefault="00E36A78" w:rsidP="00E36A78">
            <w:pPr>
              <w:jc w:val="center"/>
              <w:rPr>
                <w:color w:val="000000"/>
              </w:rPr>
            </w:pPr>
            <w:r w:rsidRPr="00015E92">
              <w:rPr>
                <w:bCs/>
                <w:color w:val="000000"/>
              </w:rPr>
              <w:t>2,05</w:t>
            </w:r>
          </w:p>
        </w:tc>
        <w:tc>
          <w:tcPr>
            <w:tcW w:w="1559" w:type="dxa"/>
            <w:vAlign w:val="center"/>
          </w:tcPr>
          <w:p w14:paraId="26A089D2" w14:textId="77777777" w:rsidR="00E36A78" w:rsidRPr="00015E92" w:rsidRDefault="00E36A78" w:rsidP="00E36A78">
            <w:pPr>
              <w:jc w:val="center"/>
              <w:rPr>
                <w:color w:val="000000"/>
              </w:rPr>
            </w:pPr>
            <w:r w:rsidRPr="00015E92">
              <w:rPr>
                <w:bCs/>
                <w:color w:val="000000"/>
              </w:rPr>
              <w:t>2,15</w:t>
            </w:r>
          </w:p>
        </w:tc>
      </w:tr>
    </w:tbl>
    <w:p w14:paraId="51F06C29" w14:textId="31AE7BF4" w:rsidR="00F0519A" w:rsidRPr="002B180A" w:rsidRDefault="00F0519A" w:rsidP="00F014D9">
      <w:pPr>
        <w:rPr>
          <w:i/>
          <w:highlight w:val="yellow"/>
        </w:rPr>
      </w:pPr>
    </w:p>
    <w:p w14:paraId="0F724EE4" w14:textId="04A49E81" w:rsidR="00F0519A" w:rsidRPr="00E36A78" w:rsidRDefault="00F0519A" w:rsidP="00F0519A">
      <w:pPr>
        <w:rPr>
          <w:iCs/>
        </w:rPr>
      </w:pPr>
      <w:r w:rsidRPr="003E68EC">
        <w:rPr>
          <w:b/>
        </w:rPr>
        <w:t>Таблица 2-</w:t>
      </w:r>
      <w:r>
        <w:rPr>
          <w:b/>
        </w:rPr>
        <w:t>11</w:t>
      </w:r>
      <w:r w:rsidR="00E36A78">
        <w:rPr>
          <w:b/>
        </w:rPr>
        <w:t>.</w:t>
      </w:r>
      <w:r w:rsidRPr="003E68EC">
        <w:t xml:space="preserve"> </w:t>
      </w:r>
      <w:r w:rsidRPr="002B180A">
        <w:rPr>
          <w:iCs/>
        </w:rPr>
        <w:t>Сравнение двух выборок по критерию Фишера</w:t>
      </w:r>
      <w:r w:rsidR="00F014D9" w:rsidRPr="00E36A78">
        <w:rPr>
          <w:iCs/>
        </w:rPr>
        <w:t>.</w:t>
      </w:r>
    </w:p>
    <w:tbl>
      <w:tblPr>
        <w:tblStyle w:val="34"/>
        <w:tblW w:w="9351" w:type="dxa"/>
        <w:tblLayout w:type="fixed"/>
        <w:tblLook w:val="04A0" w:firstRow="1" w:lastRow="0" w:firstColumn="1" w:lastColumn="0" w:noHBand="0" w:noVBand="1"/>
      </w:tblPr>
      <w:tblGrid>
        <w:gridCol w:w="1665"/>
        <w:gridCol w:w="1449"/>
        <w:gridCol w:w="1701"/>
        <w:gridCol w:w="1559"/>
        <w:gridCol w:w="1559"/>
        <w:gridCol w:w="1418"/>
      </w:tblGrid>
      <w:tr w:rsidR="00F0519A" w:rsidRPr="00F0519A" w14:paraId="3210BEA7" w14:textId="77777777" w:rsidTr="00F014D9">
        <w:trPr>
          <w:trHeight w:val="421"/>
        </w:trPr>
        <w:tc>
          <w:tcPr>
            <w:tcW w:w="1665" w:type="dxa"/>
            <w:shd w:val="clear" w:color="auto" w:fill="D9D9D9" w:themeFill="background1" w:themeFillShade="D9"/>
            <w:vAlign w:val="center"/>
          </w:tcPr>
          <w:p w14:paraId="320B184C" w14:textId="77777777" w:rsidR="00F0519A" w:rsidRPr="00F014D9" w:rsidRDefault="00F0519A" w:rsidP="00D050C7">
            <w:pPr>
              <w:jc w:val="center"/>
              <w:rPr>
                <w:b/>
                <w:bCs/>
              </w:rPr>
            </w:pPr>
            <w:r w:rsidRPr="00F014D9">
              <w:rPr>
                <w:b/>
                <w:bCs/>
              </w:rPr>
              <w:t>Время, мин</w:t>
            </w:r>
          </w:p>
        </w:tc>
        <w:tc>
          <w:tcPr>
            <w:tcW w:w="1449" w:type="dxa"/>
            <w:shd w:val="clear" w:color="auto" w:fill="D9D9D9" w:themeFill="background1" w:themeFillShade="D9"/>
            <w:vAlign w:val="center"/>
          </w:tcPr>
          <w:p w14:paraId="6EAFF2F9" w14:textId="77777777" w:rsidR="00F0519A" w:rsidRPr="00F014D9" w:rsidRDefault="00F0519A" w:rsidP="00D050C7">
            <w:pPr>
              <w:jc w:val="center"/>
              <w:rPr>
                <w:b/>
                <w:bCs/>
                <w:color w:val="000000"/>
              </w:rPr>
            </w:pPr>
            <w:r w:rsidRPr="00F014D9">
              <w:rPr>
                <w:b/>
                <w:bCs/>
                <w:color w:val="000000"/>
              </w:rPr>
              <w:t>10 мин</w:t>
            </w:r>
          </w:p>
        </w:tc>
        <w:tc>
          <w:tcPr>
            <w:tcW w:w="1701" w:type="dxa"/>
            <w:shd w:val="clear" w:color="auto" w:fill="D9D9D9" w:themeFill="background1" w:themeFillShade="D9"/>
            <w:vAlign w:val="center"/>
          </w:tcPr>
          <w:p w14:paraId="6F0932B7" w14:textId="77777777" w:rsidR="00F0519A" w:rsidRPr="00F014D9" w:rsidRDefault="00F0519A" w:rsidP="00D050C7">
            <w:pPr>
              <w:jc w:val="center"/>
              <w:rPr>
                <w:b/>
                <w:bCs/>
                <w:color w:val="000000"/>
              </w:rPr>
            </w:pPr>
            <w:r w:rsidRPr="00F014D9">
              <w:rPr>
                <w:b/>
                <w:bCs/>
                <w:color w:val="000000"/>
              </w:rPr>
              <w:t>15 мин</w:t>
            </w:r>
          </w:p>
        </w:tc>
        <w:tc>
          <w:tcPr>
            <w:tcW w:w="1559" w:type="dxa"/>
            <w:shd w:val="clear" w:color="auto" w:fill="D9D9D9" w:themeFill="background1" w:themeFillShade="D9"/>
            <w:vAlign w:val="center"/>
          </w:tcPr>
          <w:p w14:paraId="4EEB84D9" w14:textId="77777777" w:rsidR="00F0519A" w:rsidRPr="00F014D9" w:rsidRDefault="00F0519A" w:rsidP="00D050C7">
            <w:pPr>
              <w:jc w:val="center"/>
              <w:rPr>
                <w:b/>
                <w:bCs/>
                <w:color w:val="000000"/>
              </w:rPr>
            </w:pPr>
            <w:r w:rsidRPr="00F014D9">
              <w:rPr>
                <w:b/>
                <w:bCs/>
                <w:color w:val="000000"/>
              </w:rPr>
              <w:t>20 мин</w:t>
            </w:r>
          </w:p>
        </w:tc>
        <w:tc>
          <w:tcPr>
            <w:tcW w:w="1559" w:type="dxa"/>
            <w:shd w:val="clear" w:color="auto" w:fill="D9D9D9" w:themeFill="background1" w:themeFillShade="D9"/>
            <w:vAlign w:val="center"/>
          </w:tcPr>
          <w:p w14:paraId="3C54681A" w14:textId="77777777" w:rsidR="00F0519A" w:rsidRPr="00F014D9" w:rsidRDefault="00F0519A" w:rsidP="00D050C7">
            <w:pPr>
              <w:jc w:val="center"/>
              <w:rPr>
                <w:b/>
                <w:bCs/>
                <w:color w:val="000000"/>
              </w:rPr>
            </w:pPr>
            <w:r w:rsidRPr="00F014D9">
              <w:rPr>
                <w:b/>
                <w:bCs/>
                <w:color w:val="000000"/>
              </w:rPr>
              <w:t xml:space="preserve">30 мин </w:t>
            </w:r>
          </w:p>
        </w:tc>
        <w:tc>
          <w:tcPr>
            <w:tcW w:w="1418" w:type="dxa"/>
            <w:shd w:val="clear" w:color="auto" w:fill="D9D9D9" w:themeFill="background1" w:themeFillShade="D9"/>
            <w:vAlign w:val="center"/>
          </w:tcPr>
          <w:p w14:paraId="0D2A7D2C" w14:textId="77777777" w:rsidR="00F0519A" w:rsidRPr="00F014D9" w:rsidRDefault="00F0519A" w:rsidP="00D050C7">
            <w:pPr>
              <w:jc w:val="center"/>
              <w:rPr>
                <w:b/>
                <w:bCs/>
                <w:color w:val="000000"/>
              </w:rPr>
            </w:pPr>
            <w:r w:rsidRPr="00F014D9">
              <w:rPr>
                <w:b/>
                <w:bCs/>
                <w:color w:val="000000"/>
              </w:rPr>
              <w:t>45 мин</w:t>
            </w:r>
          </w:p>
        </w:tc>
      </w:tr>
      <w:tr w:rsidR="00F0519A" w:rsidRPr="00F0519A" w14:paraId="06688BE7" w14:textId="77777777" w:rsidTr="00F014D9">
        <w:trPr>
          <w:trHeight w:val="272"/>
        </w:trPr>
        <w:tc>
          <w:tcPr>
            <w:tcW w:w="1665" w:type="dxa"/>
            <w:vAlign w:val="center"/>
          </w:tcPr>
          <w:p w14:paraId="476ED2F3" w14:textId="77777777" w:rsidR="00F0519A" w:rsidRPr="00D050C7" w:rsidRDefault="00F0519A" w:rsidP="00D050C7">
            <w:pPr>
              <w:tabs>
                <w:tab w:val="left" w:pos="927"/>
              </w:tabs>
              <w:jc w:val="center"/>
            </w:pPr>
            <w:r w:rsidRPr="00D050C7">
              <w:t>F теор.</w:t>
            </w:r>
          </w:p>
        </w:tc>
        <w:tc>
          <w:tcPr>
            <w:tcW w:w="1449" w:type="dxa"/>
            <w:vAlign w:val="center"/>
          </w:tcPr>
          <w:p w14:paraId="019F9CA8" w14:textId="77777777" w:rsidR="00F0519A" w:rsidRPr="00D050C7" w:rsidRDefault="00F0519A" w:rsidP="00D050C7">
            <w:pPr>
              <w:jc w:val="center"/>
              <w:rPr>
                <w:bCs/>
                <w:color w:val="000000"/>
              </w:rPr>
            </w:pPr>
            <w:r w:rsidRPr="00D050C7">
              <w:rPr>
                <w:b/>
                <w:bCs/>
                <w:color w:val="000000"/>
              </w:rPr>
              <w:t>2,98</w:t>
            </w:r>
          </w:p>
        </w:tc>
        <w:tc>
          <w:tcPr>
            <w:tcW w:w="1701" w:type="dxa"/>
            <w:vAlign w:val="center"/>
          </w:tcPr>
          <w:p w14:paraId="63498D7B" w14:textId="77777777" w:rsidR="00F0519A" w:rsidRPr="00D050C7" w:rsidRDefault="00F0519A" w:rsidP="00D050C7">
            <w:pPr>
              <w:jc w:val="center"/>
              <w:rPr>
                <w:bCs/>
                <w:color w:val="000000"/>
              </w:rPr>
            </w:pPr>
            <w:r w:rsidRPr="00D050C7">
              <w:rPr>
                <w:b/>
                <w:bCs/>
                <w:color w:val="000000"/>
              </w:rPr>
              <w:t>2,98</w:t>
            </w:r>
          </w:p>
        </w:tc>
        <w:tc>
          <w:tcPr>
            <w:tcW w:w="1559" w:type="dxa"/>
            <w:vAlign w:val="center"/>
          </w:tcPr>
          <w:p w14:paraId="17C58739" w14:textId="77777777" w:rsidR="00F0519A" w:rsidRPr="00D050C7" w:rsidRDefault="00F0519A" w:rsidP="00D050C7">
            <w:pPr>
              <w:jc w:val="center"/>
              <w:rPr>
                <w:bCs/>
                <w:color w:val="000000"/>
              </w:rPr>
            </w:pPr>
            <w:r w:rsidRPr="00D050C7">
              <w:rPr>
                <w:b/>
                <w:bCs/>
                <w:color w:val="000000"/>
              </w:rPr>
              <w:t>2,98</w:t>
            </w:r>
          </w:p>
        </w:tc>
        <w:tc>
          <w:tcPr>
            <w:tcW w:w="1559" w:type="dxa"/>
            <w:vAlign w:val="center"/>
          </w:tcPr>
          <w:p w14:paraId="0FE144FD" w14:textId="77777777" w:rsidR="00F0519A" w:rsidRPr="00D050C7" w:rsidRDefault="00F0519A" w:rsidP="00D050C7">
            <w:pPr>
              <w:jc w:val="center"/>
              <w:rPr>
                <w:bCs/>
                <w:color w:val="000000"/>
              </w:rPr>
            </w:pPr>
            <w:r w:rsidRPr="00D050C7">
              <w:rPr>
                <w:b/>
                <w:bCs/>
                <w:color w:val="000000"/>
              </w:rPr>
              <w:t>2,98</w:t>
            </w:r>
          </w:p>
        </w:tc>
        <w:tc>
          <w:tcPr>
            <w:tcW w:w="1418" w:type="dxa"/>
            <w:vAlign w:val="center"/>
          </w:tcPr>
          <w:p w14:paraId="502068FD" w14:textId="77777777" w:rsidR="00F0519A" w:rsidRPr="00D050C7" w:rsidRDefault="00F0519A" w:rsidP="00D050C7">
            <w:pPr>
              <w:jc w:val="center"/>
              <w:rPr>
                <w:bCs/>
                <w:color w:val="000000"/>
              </w:rPr>
            </w:pPr>
            <w:r w:rsidRPr="00D050C7">
              <w:rPr>
                <w:b/>
                <w:bCs/>
                <w:color w:val="000000"/>
              </w:rPr>
              <w:t>2,98</w:t>
            </w:r>
          </w:p>
        </w:tc>
      </w:tr>
      <w:tr w:rsidR="00F0519A" w:rsidRPr="00F0519A" w14:paraId="63B06592" w14:textId="77777777" w:rsidTr="00F014D9">
        <w:trPr>
          <w:trHeight w:val="261"/>
        </w:trPr>
        <w:tc>
          <w:tcPr>
            <w:tcW w:w="1665" w:type="dxa"/>
            <w:vAlign w:val="center"/>
          </w:tcPr>
          <w:p w14:paraId="73CBD629" w14:textId="77777777" w:rsidR="00F0519A" w:rsidRPr="00D050C7" w:rsidRDefault="00F0519A" w:rsidP="00D050C7">
            <w:pPr>
              <w:tabs>
                <w:tab w:val="left" w:pos="927"/>
              </w:tabs>
              <w:jc w:val="center"/>
              <w:rPr>
                <w:bCs/>
              </w:rPr>
            </w:pPr>
            <w:r w:rsidRPr="00D050C7">
              <w:t>F эксп.</w:t>
            </w:r>
          </w:p>
        </w:tc>
        <w:tc>
          <w:tcPr>
            <w:tcW w:w="1449" w:type="dxa"/>
            <w:vAlign w:val="center"/>
          </w:tcPr>
          <w:p w14:paraId="6DE3DA67" w14:textId="77777777" w:rsidR="00F0519A" w:rsidRPr="00D050C7" w:rsidRDefault="00F0519A" w:rsidP="00D050C7">
            <w:pPr>
              <w:jc w:val="center"/>
              <w:rPr>
                <w:bCs/>
                <w:color w:val="000000"/>
              </w:rPr>
            </w:pPr>
            <w:r w:rsidRPr="00D050C7">
              <w:rPr>
                <w:color w:val="000000"/>
              </w:rPr>
              <w:t>2,88</w:t>
            </w:r>
          </w:p>
        </w:tc>
        <w:tc>
          <w:tcPr>
            <w:tcW w:w="1701" w:type="dxa"/>
            <w:vAlign w:val="center"/>
          </w:tcPr>
          <w:p w14:paraId="593E96D4" w14:textId="77777777" w:rsidR="00F0519A" w:rsidRPr="00D050C7" w:rsidRDefault="00F0519A" w:rsidP="00D050C7">
            <w:pPr>
              <w:jc w:val="center"/>
              <w:rPr>
                <w:bCs/>
                <w:color w:val="000000"/>
              </w:rPr>
            </w:pPr>
            <w:r w:rsidRPr="00D050C7">
              <w:rPr>
                <w:color w:val="000000"/>
              </w:rPr>
              <w:t>1,61</w:t>
            </w:r>
          </w:p>
        </w:tc>
        <w:tc>
          <w:tcPr>
            <w:tcW w:w="1559" w:type="dxa"/>
            <w:vAlign w:val="center"/>
          </w:tcPr>
          <w:p w14:paraId="512D3521" w14:textId="77777777" w:rsidR="00F0519A" w:rsidRPr="00D050C7" w:rsidRDefault="00F0519A" w:rsidP="00D050C7">
            <w:pPr>
              <w:jc w:val="center"/>
              <w:rPr>
                <w:bCs/>
                <w:color w:val="000000"/>
              </w:rPr>
            </w:pPr>
            <w:r w:rsidRPr="00D050C7">
              <w:rPr>
                <w:color w:val="000000"/>
              </w:rPr>
              <w:t>2,35</w:t>
            </w:r>
          </w:p>
        </w:tc>
        <w:tc>
          <w:tcPr>
            <w:tcW w:w="1559" w:type="dxa"/>
            <w:vAlign w:val="center"/>
          </w:tcPr>
          <w:p w14:paraId="4E5C2554" w14:textId="77777777" w:rsidR="00F0519A" w:rsidRPr="00D050C7" w:rsidRDefault="00F0519A" w:rsidP="00D050C7">
            <w:pPr>
              <w:jc w:val="center"/>
              <w:rPr>
                <w:bCs/>
                <w:color w:val="000000"/>
              </w:rPr>
            </w:pPr>
            <w:r w:rsidRPr="00D050C7">
              <w:rPr>
                <w:color w:val="000000"/>
              </w:rPr>
              <w:t>2,10</w:t>
            </w:r>
          </w:p>
        </w:tc>
        <w:tc>
          <w:tcPr>
            <w:tcW w:w="1418" w:type="dxa"/>
            <w:vAlign w:val="center"/>
          </w:tcPr>
          <w:p w14:paraId="4010E866" w14:textId="77777777" w:rsidR="00F0519A" w:rsidRPr="00D050C7" w:rsidRDefault="00F0519A" w:rsidP="00D050C7">
            <w:pPr>
              <w:jc w:val="center"/>
              <w:rPr>
                <w:bCs/>
                <w:color w:val="000000"/>
              </w:rPr>
            </w:pPr>
            <w:r w:rsidRPr="00D050C7">
              <w:rPr>
                <w:color w:val="000000"/>
              </w:rPr>
              <w:t>2,71</w:t>
            </w:r>
          </w:p>
        </w:tc>
      </w:tr>
      <w:tr w:rsidR="00F0519A" w:rsidRPr="00F0519A" w14:paraId="45C6F6E5" w14:textId="77777777" w:rsidTr="00F014D9">
        <w:trPr>
          <w:trHeight w:val="524"/>
        </w:trPr>
        <w:tc>
          <w:tcPr>
            <w:tcW w:w="1665" w:type="dxa"/>
            <w:vAlign w:val="center"/>
          </w:tcPr>
          <w:p w14:paraId="01358E0D" w14:textId="77777777" w:rsidR="00F0519A" w:rsidRPr="00D050C7" w:rsidRDefault="00F0519A" w:rsidP="00D050C7">
            <w:pPr>
              <w:tabs>
                <w:tab w:val="left" w:pos="927"/>
              </w:tabs>
              <w:rPr>
                <w:bCs/>
              </w:rPr>
            </w:pPr>
            <w:r w:rsidRPr="00D050C7">
              <w:t>Критерий: F</w:t>
            </w:r>
            <w:r w:rsidRPr="00D050C7">
              <w:rPr>
                <w:vertAlign w:val="subscript"/>
              </w:rPr>
              <w:t>эксп.</w:t>
            </w:r>
            <w:r w:rsidRPr="00D050C7">
              <w:t xml:space="preserve"> &lt; F</w:t>
            </w:r>
            <w:r w:rsidRPr="00D050C7">
              <w:rPr>
                <w:vertAlign w:val="subscript"/>
              </w:rPr>
              <w:t>теор.</w:t>
            </w:r>
          </w:p>
        </w:tc>
        <w:tc>
          <w:tcPr>
            <w:tcW w:w="1449" w:type="dxa"/>
            <w:vAlign w:val="center"/>
          </w:tcPr>
          <w:p w14:paraId="7E972D6F" w14:textId="77777777" w:rsidR="00F0519A" w:rsidRPr="00D050C7" w:rsidRDefault="00F0519A" w:rsidP="00D050C7">
            <w:pPr>
              <w:jc w:val="center"/>
              <w:rPr>
                <w:color w:val="000000"/>
              </w:rPr>
            </w:pPr>
            <w:r w:rsidRPr="00D050C7">
              <w:rPr>
                <w:color w:val="000000"/>
              </w:rPr>
              <w:t>соотв.</w:t>
            </w:r>
          </w:p>
        </w:tc>
        <w:tc>
          <w:tcPr>
            <w:tcW w:w="1701" w:type="dxa"/>
            <w:vAlign w:val="center"/>
          </w:tcPr>
          <w:p w14:paraId="08B6FBAE" w14:textId="77777777" w:rsidR="00F0519A" w:rsidRPr="00D050C7" w:rsidRDefault="00F0519A" w:rsidP="00D050C7">
            <w:pPr>
              <w:jc w:val="center"/>
              <w:rPr>
                <w:color w:val="000000"/>
              </w:rPr>
            </w:pPr>
            <w:r w:rsidRPr="00D050C7">
              <w:rPr>
                <w:color w:val="000000"/>
              </w:rPr>
              <w:t>соотв.</w:t>
            </w:r>
          </w:p>
        </w:tc>
        <w:tc>
          <w:tcPr>
            <w:tcW w:w="1559" w:type="dxa"/>
            <w:vAlign w:val="center"/>
          </w:tcPr>
          <w:p w14:paraId="6EE20711" w14:textId="77777777" w:rsidR="00F0519A" w:rsidRPr="00D050C7" w:rsidRDefault="00F0519A" w:rsidP="00D050C7">
            <w:pPr>
              <w:jc w:val="center"/>
              <w:rPr>
                <w:color w:val="000000"/>
              </w:rPr>
            </w:pPr>
            <w:r w:rsidRPr="00D050C7">
              <w:rPr>
                <w:color w:val="000000"/>
              </w:rPr>
              <w:t>соотв.</w:t>
            </w:r>
          </w:p>
        </w:tc>
        <w:tc>
          <w:tcPr>
            <w:tcW w:w="1559" w:type="dxa"/>
            <w:vAlign w:val="center"/>
          </w:tcPr>
          <w:p w14:paraId="7036149A" w14:textId="77777777" w:rsidR="00F0519A" w:rsidRPr="00D050C7" w:rsidRDefault="00F0519A" w:rsidP="00D050C7">
            <w:pPr>
              <w:jc w:val="center"/>
              <w:rPr>
                <w:color w:val="000000"/>
              </w:rPr>
            </w:pPr>
            <w:r w:rsidRPr="00D050C7">
              <w:rPr>
                <w:color w:val="000000"/>
              </w:rPr>
              <w:t>соотв.</w:t>
            </w:r>
          </w:p>
        </w:tc>
        <w:tc>
          <w:tcPr>
            <w:tcW w:w="1418" w:type="dxa"/>
            <w:vAlign w:val="center"/>
          </w:tcPr>
          <w:p w14:paraId="65C15AD8" w14:textId="77777777" w:rsidR="00F0519A" w:rsidRPr="00D050C7" w:rsidRDefault="00F0519A" w:rsidP="00D050C7">
            <w:pPr>
              <w:jc w:val="center"/>
              <w:rPr>
                <w:color w:val="000000"/>
              </w:rPr>
            </w:pPr>
            <w:r w:rsidRPr="00D050C7">
              <w:rPr>
                <w:color w:val="000000"/>
              </w:rPr>
              <w:t>соотв.</w:t>
            </w:r>
          </w:p>
        </w:tc>
      </w:tr>
    </w:tbl>
    <w:p w14:paraId="4A51D7E6" w14:textId="77777777" w:rsidR="00F0519A" w:rsidRPr="002B180A" w:rsidRDefault="00F0519A" w:rsidP="00F0519A">
      <w:pPr>
        <w:rPr>
          <w:iCs/>
        </w:rPr>
      </w:pPr>
    </w:p>
    <w:p w14:paraId="5579D816" w14:textId="4A1EAD1A" w:rsidR="00703680" w:rsidRPr="00F014D9" w:rsidRDefault="00F0519A" w:rsidP="001742A1">
      <w:pPr>
        <w:rPr>
          <w:iCs/>
          <w:lang w:val="en-US"/>
        </w:rPr>
      </w:pPr>
      <w:r w:rsidRPr="003E68EC">
        <w:rPr>
          <w:b/>
        </w:rPr>
        <w:t>Таблица 2-</w:t>
      </w:r>
      <w:r>
        <w:rPr>
          <w:b/>
        </w:rPr>
        <w:t>12</w:t>
      </w:r>
      <w:r w:rsidRPr="003E68EC">
        <w:rPr>
          <w:b/>
        </w:rPr>
        <w:t>.</w:t>
      </w:r>
      <w:r w:rsidRPr="003E68EC">
        <w:t xml:space="preserve"> </w:t>
      </w:r>
      <w:r w:rsidRPr="002B180A">
        <w:rPr>
          <w:iCs/>
        </w:rPr>
        <w:t>Сравнение средних значений двух выборок по критерию Стьюдента</w:t>
      </w:r>
      <w:r w:rsidR="00F014D9">
        <w:rPr>
          <w:iCs/>
          <w:lang w:val="en-US"/>
        </w:rPr>
        <w:t>.</w:t>
      </w:r>
    </w:p>
    <w:tbl>
      <w:tblPr>
        <w:tblStyle w:val="34"/>
        <w:tblW w:w="9351" w:type="dxa"/>
        <w:tblLook w:val="04A0" w:firstRow="1" w:lastRow="0" w:firstColumn="1" w:lastColumn="0" w:noHBand="0" w:noVBand="1"/>
      </w:tblPr>
      <w:tblGrid>
        <w:gridCol w:w="1660"/>
        <w:gridCol w:w="1671"/>
        <w:gridCol w:w="1672"/>
        <w:gridCol w:w="1672"/>
        <w:gridCol w:w="1258"/>
        <w:gridCol w:w="1418"/>
      </w:tblGrid>
      <w:tr w:rsidR="00F0519A" w:rsidRPr="00F0519A" w14:paraId="0E0F939A" w14:textId="77777777" w:rsidTr="00F014D9">
        <w:trPr>
          <w:trHeight w:val="204"/>
        </w:trPr>
        <w:tc>
          <w:tcPr>
            <w:tcW w:w="9351" w:type="dxa"/>
            <w:gridSpan w:val="6"/>
            <w:shd w:val="clear" w:color="auto" w:fill="D9D9D9" w:themeFill="background1" w:themeFillShade="D9"/>
            <w:vAlign w:val="center"/>
          </w:tcPr>
          <w:p w14:paraId="51964CDD" w14:textId="77777777" w:rsidR="00F0519A" w:rsidRPr="00D050C7" w:rsidRDefault="00F0519A" w:rsidP="00D050C7">
            <w:pPr>
              <w:tabs>
                <w:tab w:val="left" w:pos="927"/>
              </w:tabs>
              <w:jc w:val="center"/>
              <w:rPr>
                <w:bCs/>
              </w:rPr>
            </w:pPr>
            <w:r w:rsidRPr="00D050C7">
              <w:rPr>
                <w:b/>
              </w:rPr>
              <w:t>Сравнение средних значений двух выборок</w:t>
            </w:r>
          </w:p>
        </w:tc>
      </w:tr>
      <w:tr w:rsidR="00F0519A" w:rsidRPr="00F0519A" w14:paraId="274EE494" w14:textId="77777777" w:rsidTr="00F014D9">
        <w:trPr>
          <w:trHeight w:val="193"/>
        </w:trPr>
        <w:tc>
          <w:tcPr>
            <w:tcW w:w="1660" w:type="dxa"/>
            <w:vAlign w:val="center"/>
          </w:tcPr>
          <w:p w14:paraId="069E4235" w14:textId="77777777" w:rsidR="00F0519A" w:rsidRPr="00D050C7" w:rsidRDefault="00F0519A" w:rsidP="00D050C7">
            <w:pPr>
              <w:tabs>
                <w:tab w:val="left" w:pos="927"/>
              </w:tabs>
              <w:jc w:val="center"/>
              <w:rPr>
                <w:bCs/>
              </w:rPr>
            </w:pPr>
            <w:r w:rsidRPr="00D050C7">
              <w:t>t теор.</w:t>
            </w:r>
          </w:p>
        </w:tc>
        <w:tc>
          <w:tcPr>
            <w:tcW w:w="1671" w:type="dxa"/>
            <w:tcBorders>
              <w:top w:val="nil"/>
              <w:left w:val="nil"/>
              <w:bottom w:val="single" w:sz="8" w:space="0" w:color="000000"/>
              <w:right w:val="single" w:sz="8" w:space="0" w:color="000000"/>
            </w:tcBorders>
            <w:shd w:val="clear" w:color="auto" w:fill="auto"/>
            <w:vAlign w:val="center"/>
          </w:tcPr>
          <w:p w14:paraId="005E94C5" w14:textId="77777777" w:rsidR="00F0519A" w:rsidRPr="00D050C7" w:rsidRDefault="00F0519A" w:rsidP="00D050C7">
            <w:pPr>
              <w:jc w:val="center"/>
              <w:rPr>
                <w:bCs/>
                <w:color w:val="000000"/>
              </w:rPr>
            </w:pPr>
            <w:r w:rsidRPr="00D050C7">
              <w:rPr>
                <w:bCs/>
                <w:color w:val="000000"/>
              </w:rPr>
              <w:t>1,72</w:t>
            </w:r>
          </w:p>
        </w:tc>
        <w:tc>
          <w:tcPr>
            <w:tcW w:w="1672" w:type="dxa"/>
            <w:tcBorders>
              <w:top w:val="nil"/>
              <w:left w:val="nil"/>
              <w:bottom w:val="single" w:sz="8" w:space="0" w:color="000000"/>
              <w:right w:val="single" w:sz="8" w:space="0" w:color="000000"/>
            </w:tcBorders>
            <w:shd w:val="clear" w:color="auto" w:fill="auto"/>
            <w:vAlign w:val="center"/>
          </w:tcPr>
          <w:p w14:paraId="477DEECE" w14:textId="77777777" w:rsidR="00F0519A" w:rsidRPr="00D050C7" w:rsidRDefault="00F0519A" w:rsidP="00D050C7">
            <w:pPr>
              <w:jc w:val="center"/>
              <w:rPr>
                <w:bCs/>
                <w:color w:val="000000"/>
              </w:rPr>
            </w:pPr>
            <w:r w:rsidRPr="00D050C7">
              <w:rPr>
                <w:bCs/>
                <w:color w:val="000000"/>
              </w:rPr>
              <w:t>1,72</w:t>
            </w:r>
          </w:p>
        </w:tc>
        <w:tc>
          <w:tcPr>
            <w:tcW w:w="1672" w:type="dxa"/>
            <w:tcBorders>
              <w:top w:val="nil"/>
              <w:left w:val="nil"/>
              <w:bottom w:val="single" w:sz="8" w:space="0" w:color="000000"/>
              <w:right w:val="single" w:sz="8" w:space="0" w:color="000000"/>
            </w:tcBorders>
            <w:shd w:val="clear" w:color="auto" w:fill="auto"/>
            <w:vAlign w:val="center"/>
          </w:tcPr>
          <w:p w14:paraId="453F393E" w14:textId="77777777" w:rsidR="00F0519A" w:rsidRPr="00D050C7" w:rsidRDefault="00F0519A" w:rsidP="00D050C7">
            <w:pPr>
              <w:jc w:val="center"/>
              <w:rPr>
                <w:bCs/>
                <w:color w:val="000000"/>
              </w:rPr>
            </w:pPr>
            <w:r w:rsidRPr="00D050C7">
              <w:rPr>
                <w:bCs/>
                <w:color w:val="000000"/>
              </w:rPr>
              <w:t>1,72</w:t>
            </w:r>
          </w:p>
        </w:tc>
        <w:tc>
          <w:tcPr>
            <w:tcW w:w="1258" w:type="dxa"/>
            <w:tcBorders>
              <w:top w:val="nil"/>
              <w:left w:val="nil"/>
              <w:bottom w:val="single" w:sz="8" w:space="0" w:color="000000"/>
              <w:right w:val="single" w:sz="8" w:space="0" w:color="000000"/>
            </w:tcBorders>
            <w:shd w:val="clear" w:color="auto" w:fill="auto"/>
            <w:vAlign w:val="center"/>
          </w:tcPr>
          <w:p w14:paraId="2583D0AC" w14:textId="77777777" w:rsidR="00F0519A" w:rsidRPr="00D050C7" w:rsidRDefault="00F0519A" w:rsidP="00D050C7">
            <w:pPr>
              <w:jc w:val="center"/>
              <w:rPr>
                <w:bCs/>
                <w:color w:val="000000"/>
              </w:rPr>
            </w:pPr>
            <w:r w:rsidRPr="00D050C7">
              <w:rPr>
                <w:bCs/>
                <w:color w:val="000000"/>
              </w:rPr>
              <w:t>1,72</w:t>
            </w:r>
          </w:p>
        </w:tc>
        <w:tc>
          <w:tcPr>
            <w:tcW w:w="1418" w:type="dxa"/>
            <w:tcBorders>
              <w:top w:val="nil"/>
              <w:left w:val="nil"/>
              <w:bottom w:val="single" w:sz="8" w:space="0" w:color="000000"/>
              <w:right w:val="single" w:sz="8" w:space="0" w:color="000000"/>
            </w:tcBorders>
            <w:shd w:val="clear" w:color="auto" w:fill="auto"/>
            <w:vAlign w:val="center"/>
          </w:tcPr>
          <w:p w14:paraId="4CE92575" w14:textId="77777777" w:rsidR="00F0519A" w:rsidRPr="00D050C7" w:rsidRDefault="00F0519A" w:rsidP="00D050C7">
            <w:pPr>
              <w:jc w:val="center"/>
              <w:rPr>
                <w:bCs/>
                <w:color w:val="000000"/>
              </w:rPr>
            </w:pPr>
            <w:r w:rsidRPr="00D050C7">
              <w:rPr>
                <w:bCs/>
                <w:color w:val="000000"/>
              </w:rPr>
              <w:t>1,72</w:t>
            </w:r>
          </w:p>
        </w:tc>
      </w:tr>
      <w:tr w:rsidR="00F0519A" w:rsidRPr="00F0519A" w14:paraId="08FB71D5" w14:textId="77777777" w:rsidTr="00762053">
        <w:trPr>
          <w:trHeight w:val="217"/>
        </w:trPr>
        <w:tc>
          <w:tcPr>
            <w:tcW w:w="1660" w:type="dxa"/>
            <w:vAlign w:val="center"/>
          </w:tcPr>
          <w:p w14:paraId="18A3CAE6" w14:textId="77777777" w:rsidR="00F0519A" w:rsidRPr="00D050C7" w:rsidRDefault="00F0519A" w:rsidP="00D050C7">
            <w:pPr>
              <w:tabs>
                <w:tab w:val="left" w:pos="927"/>
              </w:tabs>
              <w:jc w:val="center"/>
              <w:rPr>
                <w:bCs/>
              </w:rPr>
            </w:pPr>
            <w:r w:rsidRPr="00D050C7">
              <w:rPr>
                <w:bCs/>
              </w:rPr>
              <w:t>t эксп.</w:t>
            </w:r>
          </w:p>
        </w:tc>
        <w:tc>
          <w:tcPr>
            <w:tcW w:w="1671" w:type="dxa"/>
            <w:tcBorders>
              <w:top w:val="nil"/>
              <w:left w:val="nil"/>
              <w:bottom w:val="single" w:sz="8" w:space="0" w:color="000000"/>
              <w:right w:val="single" w:sz="8" w:space="0" w:color="000000"/>
            </w:tcBorders>
            <w:shd w:val="clear" w:color="auto" w:fill="auto"/>
            <w:vAlign w:val="center"/>
          </w:tcPr>
          <w:p w14:paraId="5EAB97D2" w14:textId="77777777" w:rsidR="00F0519A" w:rsidRPr="00D050C7" w:rsidRDefault="00F0519A" w:rsidP="00D050C7">
            <w:pPr>
              <w:jc w:val="center"/>
              <w:rPr>
                <w:bCs/>
                <w:color w:val="000000"/>
              </w:rPr>
            </w:pPr>
            <w:r w:rsidRPr="00D050C7">
              <w:rPr>
                <w:bCs/>
                <w:color w:val="000000"/>
              </w:rPr>
              <w:t>1,80</w:t>
            </w:r>
          </w:p>
        </w:tc>
        <w:tc>
          <w:tcPr>
            <w:tcW w:w="1672" w:type="dxa"/>
            <w:tcBorders>
              <w:top w:val="nil"/>
              <w:left w:val="nil"/>
              <w:bottom w:val="single" w:sz="8" w:space="0" w:color="000000"/>
              <w:right w:val="single" w:sz="8" w:space="0" w:color="000000"/>
            </w:tcBorders>
            <w:shd w:val="clear" w:color="auto" w:fill="auto"/>
            <w:vAlign w:val="center"/>
          </w:tcPr>
          <w:p w14:paraId="77EC2AF4" w14:textId="77777777" w:rsidR="00F0519A" w:rsidRPr="00D050C7" w:rsidRDefault="00F0519A" w:rsidP="00D050C7">
            <w:pPr>
              <w:jc w:val="center"/>
              <w:rPr>
                <w:bCs/>
                <w:color w:val="000000"/>
              </w:rPr>
            </w:pPr>
            <w:r w:rsidRPr="00D050C7">
              <w:rPr>
                <w:bCs/>
                <w:color w:val="000000"/>
              </w:rPr>
              <w:t>0,51</w:t>
            </w:r>
          </w:p>
        </w:tc>
        <w:tc>
          <w:tcPr>
            <w:tcW w:w="1672" w:type="dxa"/>
            <w:tcBorders>
              <w:top w:val="nil"/>
              <w:left w:val="nil"/>
              <w:bottom w:val="single" w:sz="8" w:space="0" w:color="000000"/>
              <w:right w:val="single" w:sz="8" w:space="0" w:color="000000"/>
            </w:tcBorders>
            <w:shd w:val="clear" w:color="auto" w:fill="auto"/>
            <w:vAlign w:val="center"/>
          </w:tcPr>
          <w:p w14:paraId="3A38C069" w14:textId="77777777" w:rsidR="00F0519A" w:rsidRPr="00D050C7" w:rsidRDefault="00F0519A" w:rsidP="00D050C7">
            <w:pPr>
              <w:jc w:val="center"/>
              <w:rPr>
                <w:bCs/>
                <w:color w:val="000000"/>
              </w:rPr>
            </w:pPr>
            <w:r w:rsidRPr="00D050C7">
              <w:rPr>
                <w:bCs/>
                <w:color w:val="000000"/>
              </w:rPr>
              <w:t>1,08</w:t>
            </w:r>
          </w:p>
        </w:tc>
        <w:tc>
          <w:tcPr>
            <w:tcW w:w="1258" w:type="dxa"/>
            <w:tcBorders>
              <w:top w:val="nil"/>
              <w:left w:val="nil"/>
              <w:bottom w:val="single" w:sz="8" w:space="0" w:color="000000"/>
              <w:right w:val="single" w:sz="8" w:space="0" w:color="000000"/>
            </w:tcBorders>
            <w:shd w:val="clear" w:color="auto" w:fill="auto"/>
            <w:vAlign w:val="center"/>
          </w:tcPr>
          <w:p w14:paraId="2E3A5A08" w14:textId="77777777" w:rsidR="00F0519A" w:rsidRPr="00D050C7" w:rsidRDefault="00F0519A" w:rsidP="00D050C7">
            <w:pPr>
              <w:jc w:val="center"/>
              <w:rPr>
                <w:bCs/>
                <w:color w:val="000000"/>
              </w:rPr>
            </w:pPr>
            <w:r w:rsidRPr="00D050C7">
              <w:rPr>
                <w:bCs/>
                <w:color w:val="000000"/>
              </w:rPr>
              <w:t>0,50</w:t>
            </w:r>
          </w:p>
        </w:tc>
        <w:tc>
          <w:tcPr>
            <w:tcW w:w="1418" w:type="dxa"/>
            <w:tcBorders>
              <w:top w:val="nil"/>
              <w:left w:val="nil"/>
              <w:bottom w:val="single" w:sz="8" w:space="0" w:color="000000"/>
              <w:right w:val="single" w:sz="8" w:space="0" w:color="000000"/>
            </w:tcBorders>
            <w:shd w:val="clear" w:color="auto" w:fill="auto"/>
            <w:vAlign w:val="center"/>
          </w:tcPr>
          <w:p w14:paraId="0F9CAF3D" w14:textId="77777777" w:rsidR="00F0519A" w:rsidRPr="00D050C7" w:rsidRDefault="00F0519A" w:rsidP="00D050C7">
            <w:pPr>
              <w:jc w:val="center"/>
              <w:rPr>
                <w:bCs/>
                <w:color w:val="000000"/>
              </w:rPr>
            </w:pPr>
            <w:r w:rsidRPr="00D050C7">
              <w:rPr>
                <w:bCs/>
                <w:color w:val="000000"/>
              </w:rPr>
              <w:t>0,43</w:t>
            </w:r>
          </w:p>
        </w:tc>
      </w:tr>
      <w:tr w:rsidR="00F0519A" w:rsidRPr="00F0519A" w14:paraId="3ED91265" w14:textId="77777777" w:rsidTr="00F014D9">
        <w:trPr>
          <w:trHeight w:val="530"/>
        </w:trPr>
        <w:tc>
          <w:tcPr>
            <w:tcW w:w="1660" w:type="dxa"/>
            <w:vAlign w:val="center"/>
          </w:tcPr>
          <w:p w14:paraId="314AB479" w14:textId="77777777" w:rsidR="00F0519A" w:rsidRPr="00D050C7" w:rsidRDefault="00F0519A" w:rsidP="00D050C7">
            <w:pPr>
              <w:tabs>
                <w:tab w:val="left" w:pos="927"/>
              </w:tabs>
              <w:jc w:val="center"/>
              <w:rPr>
                <w:b/>
                <w:bCs/>
              </w:rPr>
            </w:pPr>
            <w:r w:rsidRPr="00D050C7">
              <w:t>Критерий: t</w:t>
            </w:r>
            <w:r w:rsidRPr="00D050C7">
              <w:rPr>
                <w:vertAlign w:val="subscript"/>
              </w:rPr>
              <w:t>эксп.</w:t>
            </w:r>
            <w:r w:rsidRPr="00D050C7">
              <w:t xml:space="preserve"> &lt; t</w:t>
            </w:r>
            <w:r w:rsidRPr="00D050C7">
              <w:rPr>
                <w:vertAlign w:val="subscript"/>
              </w:rPr>
              <w:t>теор.</w:t>
            </w:r>
          </w:p>
        </w:tc>
        <w:tc>
          <w:tcPr>
            <w:tcW w:w="1671" w:type="dxa"/>
            <w:tcBorders>
              <w:top w:val="nil"/>
              <w:left w:val="nil"/>
              <w:bottom w:val="single" w:sz="8" w:space="0" w:color="000000"/>
              <w:right w:val="single" w:sz="8" w:space="0" w:color="000000"/>
            </w:tcBorders>
            <w:shd w:val="clear" w:color="auto" w:fill="auto"/>
            <w:vAlign w:val="center"/>
          </w:tcPr>
          <w:p w14:paraId="19FA535C" w14:textId="77777777" w:rsidR="00F0519A" w:rsidRPr="00D050C7" w:rsidRDefault="00F0519A" w:rsidP="00D050C7">
            <w:pPr>
              <w:jc w:val="center"/>
              <w:rPr>
                <w:color w:val="000000"/>
              </w:rPr>
            </w:pPr>
            <w:r w:rsidRPr="00D050C7">
              <w:rPr>
                <w:color w:val="000000"/>
              </w:rPr>
              <w:t>соотв.</w:t>
            </w:r>
          </w:p>
        </w:tc>
        <w:tc>
          <w:tcPr>
            <w:tcW w:w="1672" w:type="dxa"/>
            <w:tcBorders>
              <w:top w:val="nil"/>
              <w:left w:val="nil"/>
              <w:bottom w:val="single" w:sz="8" w:space="0" w:color="000000"/>
              <w:right w:val="single" w:sz="8" w:space="0" w:color="000000"/>
            </w:tcBorders>
            <w:shd w:val="clear" w:color="auto" w:fill="auto"/>
            <w:vAlign w:val="center"/>
          </w:tcPr>
          <w:p w14:paraId="335CBC40" w14:textId="77777777" w:rsidR="00F0519A" w:rsidRPr="00D050C7" w:rsidRDefault="00F0519A" w:rsidP="00D050C7">
            <w:pPr>
              <w:jc w:val="center"/>
              <w:rPr>
                <w:color w:val="000000"/>
              </w:rPr>
            </w:pPr>
            <w:r w:rsidRPr="00D050C7">
              <w:rPr>
                <w:color w:val="000000"/>
              </w:rPr>
              <w:t>соотв.</w:t>
            </w:r>
          </w:p>
        </w:tc>
        <w:tc>
          <w:tcPr>
            <w:tcW w:w="1672" w:type="dxa"/>
            <w:tcBorders>
              <w:top w:val="nil"/>
              <w:left w:val="nil"/>
              <w:bottom w:val="single" w:sz="8" w:space="0" w:color="000000"/>
              <w:right w:val="single" w:sz="8" w:space="0" w:color="000000"/>
            </w:tcBorders>
            <w:shd w:val="clear" w:color="auto" w:fill="auto"/>
            <w:vAlign w:val="center"/>
          </w:tcPr>
          <w:p w14:paraId="07AEB633" w14:textId="77777777" w:rsidR="00F0519A" w:rsidRPr="00D050C7" w:rsidRDefault="00F0519A" w:rsidP="00D050C7">
            <w:pPr>
              <w:jc w:val="center"/>
              <w:rPr>
                <w:color w:val="000000"/>
              </w:rPr>
            </w:pPr>
            <w:r w:rsidRPr="00D050C7">
              <w:rPr>
                <w:color w:val="000000"/>
              </w:rPr>
              <w:t>соотв.</w:t>
            </w:r>
          </w:p>
        </w:tc>
        <w:tc>
          <w:tcPr>
            <w:tcW w:w="1258" w:type="dxa"/>
            <w:tcBorders>
              <w:top w:val="nil"/>
              <w:left w:val="nil"/>
              <w:bottom w:val="single" w:sz="8" w:space="0" w:color="000000"/>
              <w:right w:val="single" w:sz="8" w:space="0" w:color="000000"/>
            </w:tcBorders>
            <w:shd w:val="clear" w:color="auto" w:fill="auto"/>
            <w:vAlign w:val="center"/>
          </w:tcPr>
          <w:p w14:paraId="549078ED" w14:textId="77777777" w:rsidR="00F0519A" w:rsidRPr="00D050C7" w:rsidRDefault="00F0519A" w:rsidP="00D050C7">
            <w:pPr>
              <w:jc w:val="center"/>
              <w:rPr>
                <w:color w:val="000000"/>
              </w:rPr>
            </w:pPr>
            <w:r w:rsidRPr="00D050C7">
              <w:rPr>
                <w:color w:val="000000"/>
              </w:rPr>
              <w:t>соотв.</w:t>
            </w:r>
          </w:p>
        </w:tc>
        <w:tc>
          <w:tcPr>
            <w:tcW w:w="1418" w:type="dxa"/>
            <w:tcBorders>
              <w:top w:val="nil"/>
              <w:left w:val="nil"/>
              <w:bottom w:val="single" w:sz="8" w:space="0" w:color="000000"/>
              <w:right w:val="single" w:sz="8" w:space="0" w:color="000000"/>
            </w:tcBorders>
            <w:shd w:val="clear" w:color="auto" w:fill="auto"/>
            <w:vAlign w:val="center"/>
          </w:tcPr>
          <w:p w14:paraId="457BF0FE" w14:textId="77777777" w:rsidR="00F0519A" w:rsidRPr="00D050C7" w:rsidRDefault="00F0519A" w:rsidP="00D050C7">
            <w:pPr>
              <w:jc w:val="center"/>
              <w:rPr>
                <w:color w:val="000000"/>
              </w:rPr>
            </w:pPr>
            <w:r w:rsidRPr="00D050C7">
              <w:rPr>
                <w:color w:val="000000"/>
              </w:rPr>
              <w:t>соотв.</w:t>
            </w:r>
          </w:p>
        </w:tc>
      </w:tr>
    </w:tbl>
    <w:p w14:paraId="456EDA30" w14:textId="77777777" w:rsidR="00F0519A" w:rsidRDefault="00F0519A" w:rsidP="00D050C7">
      <w:pPr>
        <w:rPr>
          <w:bCs/>
          <w:color w:val="FF0000"/>
          <w:lang w:eastAsia="ru-RU"/>
        </w:rPr>
      </w:pPr>
    </w:p>
    <w:p w14:paraId="7F86CA40" w14:textId="0B7CD8CD" w:rsidR="00F0519A" w:rsidRDefault="00F0519A" w:rsidP="001742A1">
      <w:pPr>
        <w:pStyle w:val="aff"/>
        <w:spacing w:after="0"/>
      </w:pPr>
      <w:r>
        <w:rPr>
          <w:noProof/>
          <w:lang w:eastAsia="ru-RU"/>
        </w:rPr>
        <w:lastRenderedPageBreak/>
        <w:drawing>
          <wp:anchor distT="0" distB="0" distL="114300" distR="114300" simplePos="0" relativeHeight="251665408" behindDoc="0" locked="0" layoutInCell="1" allowOverlap="1" wp14:anchorId="389F1FE9" wp14:editId="7138316B">
            <wp:simplePos x="0" y="0"/>
            <wp:positionH relativeFrom="margin">
              <wp:align>left</wp:align>
            </wp:positionH>
            <wp:positionV relativeFrom="paragraph">
              <wp:posOffset>351790</wp:posOffset>
            </wp:positionV>
            <wp:extent cx="5956300" cy="2286000"/>
            <wp:effectExtent l="0" t="0" r="6350" b="0"/>
            <wp:wrapTopAndBottom/>
            <wp:docPr id="3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b/>
        </w:rPr>
        <w:t>Рисунок</w:t>
      </w:r>
      <w:r w:rsidRPr="003E68EC">
        <w:rPr>
          <w:b/>
        </w:rPr>
        <w:t xml:space="preserve"> 2-</w:t>
      </w:r>
      <w:r w:rsidR="00C87C41">
        <w:rPr>
          <w:b/>
        </w:rPr>
        <w:t>6</w:t>
      </w:r>
      <w:r w:rsidRPr="003E68EC">
        <w:rPr>
          <w:b/>
        </w:rPr>
        <w:t>.</w:t>
      </w:r>
      <w:r>
        <w:rPr>
          <w:b/>
        </w:rPr>
        <w:t xml:space="preserve"> </w:t>
      </w:r>
      <w:r w:rsidRPr="002B180A">
        <w:rPr>
          <w:noProof/>
        </w:rPr>
        <w:t xml:space="preserve">Усредненные профили высвобождения </w:t>
      </w:r>
      <w:r w:rsidR="00F014D9">
        <w:rPr>
          <w:noProof/>
        </w:rPr>
        <w:t xml:space="preserve">действующего вещества из препаратов </w:t>
      </w:r>
      <w:r w:rsidR="00F014D9" w:rsidRPr="007A55CB">
        <w:rPr>
          <w:color w:val="000000" w:themeColor="text1"/>
          <w:lang w:val="en-US"/>
        </w:rPr>
        <w:t>DT</w:t>
      </w:r>
      <w:r w:rsidR="00F014D9" w:rsidRPr="007A55CB">
        <w:rPr>
          <w:color w:val="000000" w:themeColor="text1"/>
        </w:rPr>
        <w:t>-</w:t>
      </w:r>
      <w:r w:rsidR="00F014D9">
        <w:rPr>
          <w:lang w:val="en-US" w:eastAsia="ru-RU"/>
        </w:rPr>
        <w:t>LNV</w:t>
      </w:r>
      <w:r w:rsidR="00F014D9" w:rsidRPr="007A55CB">
        <w:rPr>
          <w:color w:val="000000" w:themeColor="text1"/>
        </w:rPr>
        <w:t xml:space="preserve"> </w:t>
      </w:r>
      <w:r w:rsidR="00F014D9" w:rsidRPr="00904040">
        <w:rPr>
          <w:color w:val="000000" w:themeColor="text1"/>
        </w:rPr>
        <w:t xml:space="preserve">и </w:t>
      </w:r>
      <w:r w:rsidR="00F014D9">
        <w:rPr>
          <w:lang w:eastAsia="ru-RU"/>
        </w:rPr>
        <w:t>Ленвима</w:t>
      </w:r>
      <w:r w:rsidR="00F014D9" w:rsidRPr="00904040">
        <w:rPr>
          <w:vertAlign w:val="superscript"/>
          <w:lang w:eastAsia="ru-RU"/>
        </w:rPr>
        <w:t>®</w:t>
      </w:r>
      <w:r w:rsidR="00F014D9" w:rsidRPr="00904040">
        <w:rPr>
          <w:lang w:eastAsia="ru-RU"/>
        </w:rPr>
        <w:t xml:space="preserve"> </w:t>
      </w:r>
      <w:r w:rsidRPr="002B180A">
        <w:rPr>
          <w:noProof/>
        </w:rPr>
        <w:t xml:space="preserve">в </w:t>
      </w:r>
      <w:r w:rsidRPr="002B180A">
        <w:t>0,1 М растворе хлороводородной кислоты</w:t>
      </w:r>
    </w:p>
    <w:p w14:paraId="27E45B2E" w14:textId="362B9B00" w:rsidR="00F0519A" w:rsidRDefault="00F0519A" w:rsidP="001742A1">
      <w:pPr>
        <w:pStyle w:val="aff"/>
        <w:spacing w:after="0"/>
        <w:rPr>
          <w:b/>
        </w:rPr>
      </w:pPr>
    </w:p>
    <w:p w14:paraId="14231BFB" w14:textId="77777777" w:rsidR="005844DF" w:rsidRPr="00790286" w:rsidRDefault="00684564" w:rsidP="005844DF">
      <w:pPr>
        <w:pStyle w:val="aff"/>
        <w:spacing w:after="0"/>
      </w:pPr>
      <w:r>
        <w:rPr>
          <w:noProof/>
          <w:lang w:eastAsia="ru-RU"/>
        </w:rPr>
        <w:drawing>
          <wp:anchor distT="0" distB="0" distL="114300" distR="114300" simplePos="0" relativeHeight="251667456" behindDoc="0" locked="0" layoutInCell="1" allowOverlap="1" wp14:anchorId="5E255D7F" wp14:editId="51F747C3">
            <wp:simplePos x="0" y="0"/>
            <wp:positionH relativeFrom="margin">
              <wp:align>right</wp:align>
            </wp:positionH>
            <wp:positionV relativeFrom="paragraph">
              <wp:posOffset>396240</wp:posOffset>
            </wp:positionV>
            <wp:extent cx="5935980" cy="2352675"/>
            <wp:effectExtent l="0" t="0" r="7620" b="9525"/>
            <wp:wrapTopAndBottom/>
            <wp:docPr id="3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F0519A">
        <w:rPr>
          <w:b/>
        </w:rPr>
        <w:t>Рисунок</w:t>
      </w:r>
      <w:r w:rsidR="00F0519A" w:rsidRPr="003E68EC">
        <w:rPr>
          <w:b/>
        </w:rPr>
        <w:t xml:space="preserve"> 2-</w:t>
      </w:r>
      <w:r w:rsidR="00C87C41">
        <w:rPr>
          <w:b/>
        </w:rPr>
        <w:t>7</w:t>
      </w:r>
      <w:r w:rsidR="00F0519A" w:rsidRPr="003E68EC">
        <w:rPr>
          <w:b/>
        </w:rPr>
        <w:t>.</w:t>
      </w:r>
      <w:r w:rsidR="00F0519A">
        <w:rPr>
          <w:b/>
        </w:rPr>
        <w:t xml:space="preserve"> </w:t>
      </w:r>
      <w:r w:rsidR="00F0519A" w:rsidRPr="002B180A">
        <w:rPr>
          <w:noProof/>
        </w:rPr>
        <w:t>У</w:t>
      </w:r>
      <w:r w:rsidR="00F0519A" w:rsidRPr="00703680">
        <w:rPr>
          <w:noProof/>
        </w:rPr>
        <w:t xml:space="preserve">средненные </w:t>
      </w:r>
      <w:r w:rsidR="00F0519A" w:rsidRPr="002B180A">
        <w:rPr>
          <w:noProof/>
        </w:rPr>
        <w:t xml:space="preserve">профили высвобождения </w:t>
      </w:r>
      <w:r>
        <w:rPr>
          <w:noProof/>
        </w:rPr>
        <w:t xml:space="preserve">действующего вещества из препаратов </w:t>
      </w:r>
      <w:r w:rsidRPr="007A55CB">
        <w:rPr>
          <w:color w:val="000000" w:themeColor="text1"/>
          <w:lang w:val="en-US"/>
        </w:rPr>
        <w:t>DT</w:t>
      </w:r>
      <w:r w:rsidRPr="007A55CB">
        <w:rPr>
          <w:color w:val="000000" w:themeColor="text1"/>
        </w:rPr>
        <w:t>-</w:t>
      </w:r>
      <w:r>
        <w:rPr>
          <w:lang w:val="en-US" w:eastAsia="ru-RU"/>
        </w:rPr>
        <w:t>LNV</w:t>
      </w:r>
      <w:r w:rsidRPr="007A55CB">
        <w:rPr>
          <w:color w:val="000000" w:themeColor="text1"/>
        </w:rPr>
        <w:t xml:space="preserve"> </w:t>
      </w:r>
      <w:r w:rsidRPr="00904040">
        <w:rPr>
          <w:color w:val="000000" w:themeColor="text1"/>
        </w:rPr>
        <w:t xml:space="preserve">и </w:t>
      </w:r>
      <w:r>
        <w:rPr>
          <w:lang w:eastAsia="ru-RU"/>
        </w:rPr>
        <w:t>Ленвима</w:t>
      </w:r>
      <w:r w:rsidRPr="00904040">
        <w:rPr>
          <w:vertAlign w:val="superscript"/>
          <w:lang w:eastAsia="ru-RU"/>
        </w:rPr>
        <w:t>®</w:t>
      </w:r>
      <w:r w:rsidRPr="00904040">
        <w:rPr>
          <w:lang w:eastAsia="ru-RU"/>
        </w:rPr>
        <w:t xml:space="preserve"> </w:t>
      </w:r>
      <w:r w:rsidR="005844DF" w:rsidRPr="00D050C7">
        <w:rPr>
          <w:noProof/>
        </w:rPr>
        <w:t xml:space="preserve">в </w:t>
      </w:r>
      <w:r w:rsidR="005844DF" w:rsidRPr="00D050C7">
        <w:t>ацетатном буферном растворе рН 4,5</w:t>
      </w:r>
      <w:r w:rsidR="005844DF" w:rsidRPr="00790286">
        <w:t>.</w:t>
      </w:r>
    </w:p>
    <w:p w14:paraId="6582899B" w14:textId="6F067EB0" w:rsidR="00F0519A" w:rsidRPr="00703680" w:rsidRDefault="00F0519A" w:rsidP="00F0519A">
      <w:pPr>
        <w:pStyle w:val="aff"/>
        <w:spacing w:after="0"/>
        <w:rPr>
          <w:rFonts w:eastAsiaTheme="minorHAnsi"/>
          <w:lang w:eastAsia="en-US"/>
        </w:rPr>
      </w:pPr>
    </w:p>
    <w:p w14:paraId="5BE5F10C" w14:textId="03E36A8E" w:rsidR="00F0519A" w:rsidRPr="001742A1" w:rsidRDefault="001742A1" w:rsidP="00E36A78">
      <w:pPr>
        <w:pStyle w:val="aff"/>
        <w:spacing w:after="0"/>
      </w:pPr>
      <w:r>
        <w:rPr>
          <w:noProof/>
          <w:lang w:eastAsia="ru-RU"/>
        </w:rPr>
        <w:drawing>
          <wp:anchor distT="0" distB="0" distL="114300" distR="114300" simplePos="0" relativeHeight="251666432" behindDoc="0" locked="0" layoutInCell="1" allowOverlap="1" wp14:anchorId="4241EC6F" wp14:editId="1DC0070B">
            <wp:simplePos x="0" y="0"/>
            <wp:positionH relativeFrom="margin">
              <wp:align>right</wp:align>
            </wp:positionH>
            <wp:positionV relativeFrom="paragraph">
              <wp:posOffset>422910</wp:posOffset>
            </wp:positionV>
            <wp:extent cx="5935980" cy="2294255"/>
            <wp:effectExtent l="0" t="0" r="7620" b="10795"/>
            <wp:wrapTopAndBottom/>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F0519A">
        <w:rPr>
          <w:b/>
        </w:rPr>
        <w:t>Рисунок</w:t>
      </w:r>
      <w:r w:rsidR="00F0519A" w:rsidRPr="003E68EC">
        <w:rPr>
          <w:b/>
        </w:rPr>
        <w:t xml:space="preserve"> 2-</w:t>
      </w:r>
      <w:r w:rsidR="00C87C41">
        <w:rPr>
          <w:b/>
        </w:rPr>
        <w:t>8</w:t>
      </w:r>
      <w:r w:rsidR="00F0519A" w:rsidRPr="003E68EC">
        <w:rPr>
          <w:b/>
        </w:rPr>
        <w:t>.</w:t>
      </w:r>
      <w:r w:rsidR="00F0519A">
        <w:rPr>
          <w:b/>
        </w:rPr>
        <w:t xml:space="preserve"> </w:t>
      </w:r>
      <w:r w:rsidR="00F0519A" w:rsidRPr="002B180A">
        <w:rPr>
          <w:noProof/>
        </w:rPr>
        <w:t>У</w:t>
      </w:r>
      <w:r w:rsidR="00F0519A" w:rsidRPr="00703680">
        <w:rPr>
          <w:noProof/>
        </w:rPr>
        <w:t xml:space="preserve">средненные </w:t>
      </w:r>
      <w:r w:rsidR="00F0519A" w:rsidRPr="002B180A">
        <w:rPr>
          <w:noProof/>
        </w:rPr>
        <w:t xml:space="preserve">профили высвобождения активного ингредиента из препаратов </w:t>
      </w:r>
      <w:r w:rsidR="00F0519A" w:rsidRPr="001742A1">
        <w:rPr>
          <w:noProof/>
        </w:rPr>
        <w:t xml:space="preserve">в </w:t>
      </w:r>
      <w:r w:rsidR="00F0519A" w:rsidRPr="001742A1">
        <w:t>фосфатном буферном растворе рН 6,8</w:t>
      </w:r>
    </w:p>
    <w:p w14:paraId="00D763CB" w14:textId="6482EF4E" w:rsidR="00E36A78" w:rsidRDefault="001742A1" w:rsidP="00E36A78">
      <w:pPr>
        <w:suppressAutoHyphens/>
        <w:ind w:firstLine="709"/>
      </w:pPr>
      <w:r w:rsidRPr="001742A1">
        <w:rPr>
          <w:spacing w:val="-6"/>
        </w:rPr>
        <w:lastRenderedPageBreak/>
        <w:t xml:space="preserve">По результатам исследования кинетика растворения лекарственных препаратов </w:t>
      </w:r>
      <w:r w:rsidR="005844DF">
        <w:rPr>
          <w:lang w:val="en-US"/>
        </w:rPr>
        <w:t>DT</w:t>
      </w:r>
      <w:r w:rsidR="005844DF" w:rsidRPr="005844DF">
        <w:t>-</w:t>
      </w:r>
      <w:r w:rsidR="005844DF">
        <w:rPr>
          <w:lang w:val="en-US"/>
        </w:rPr>
        <w:t>LNV</w:t>
      </w:r>
      <w:r w:rsidR="00C87C41">
        <w:t>,</w:t>
      </w:r>
      <w:r w:rsidRPr="001742A1">
        <w:t xml:space="preserve"> капсулы, 10 мг производства АО «ОРТАТ», Российская Федерация признана эквивалентной препарату Ленвима</w:t>
      </w:r>
      <w:r w:rsidR="00C87C41">
        <w:t>,</w:t>
      </w:r>
      <w:r w:rsidRPr="001742A1">
        <w:t xml:space="preserve"> капсулы, 10 мг производства «Патеон Инк.», Канада для всех сред растворения.</w:t>
      </w:r>
    </w:p>
    <w:p w14:paraId="465A9929" w14:textId="7A49344A" w:rsidR="00295007" w:rsidRDefault="00295007" w:rsidP="006A2AD7">
      <w:pPr>
        <w:pStyle w:val="111"/>
      </w:pPr>
      <w:bookmarkStart w:id="63" w:name="_Toc126059703"/>
      <w:r w:rsidRPr="00EB0650">
        <w:t>2.2.4</w:t>
      </w:r>
      <w:r w:rsidR="00E36A78">
        <w:t>.</w:t>
      </w:r>
      <w:r w:rsidRPr="00EB0650">
        <w:t xml:space="preserve"> Форма выпуска</w:t>
      </w:r>
      <w:bookmarkEnd w:id="63"/>
    </w:p>
    <w:p w14:paraId="2CD55BBA" w14:textId="77777777" w:rsidR="00AC7B8A" w:rsidRDefault="00AC7B8A" w:rsidP="005844DF">
      <w:pPr>
        <w:ind w:firstLine="709"/>
        <w:rPr>
          <w:b/>
          <w:bCs/>
        </w:rPr>
      </w:pPr>
      <w:r w:rsidRPr="00AC7B8A">
        <w:t xml:space="preserve">Капсулы 4 мг, 10 мг </w:t>
      </w:r>
    </w:p>
    <w:p w14:paraId="662BB224" w14:textId="77777777" w:rsidR="001D0BEA" w:rsidRPr="000C4DAF" w:rsidRDefault="001D0BEA" w:rsidP="001D0BEA">
      <w:pPr>
        <w:ind w:firstLine="709"/>
        <w:rPr>
          <w:rFonts w:eastAsiaTheme="minorEastAsia"/>
        </w:rPr>
      </w:pPr>
      <w:r w:rsidRPr="000C4DAF">
        <w:rPr>
          <w:rFonts w:eastAsiaTheme="minorEastAsia"/>
        </w:rPr>
        <w:t>По 10 капсул в контурную ячейковую упаковку из фольги алюминиевой (материал комбинированный для холодной формовки) и фольги алюминиевой печатной лакированной производителя «Клёкнер Пентапласт ГмбХ и Ко. КГ», Германия и фольги алюминиевой печатной лакированной.</w:t>
      </w:r>
    </w:p>
    <w:p w14:paraId="355DF8CE" w14:textId="77777777" w:rsidR="001D0BEA" w:rsidRPr="000C4DAF" w:rsidRDefault="001D0BEA" w:rsidP="001D0BEA">
      <w:pPr>
        <w:ind w:firstLine="709"/>
        <w:rPr>
          <w:rFonts w:eastAsiaTheme="minorEastAsia"/>
        </w:rPr>
      </w:pPr>
      <w:r w:rsidRPr="000C4DAF">
        <w:rPr>
          <w:rFonts w:eastAsiaTheme="minorEastAsia"/>
        </w:rPr>
        <w:t>По 30 капсул в банку полимерную (из полиэтилена или полипропилена) для лекарственных средств, укупоренную крышкой полимерной (из полиэтилена или полипропилена) с влагопоглотителем и контролем первого вскрытия производителя «Герресхаймер Глас ГмбХ», Германия.</w:t>
      </w:r>
    </w:p>
    <w:p w14:paraId="711EB5A0" w14:textId="77777777" w:rsidR="001D0BEA" w:rsidRPr="000C4DAF" w:rsidRDefault="001D0BEA" w:rsidP="001D0BEA">
      <w:pPr>
        <w:pStyle w:val="aff"/>
        <w:tabs>
          <w:tab w:val="left" w:pos="4678"/>
        </w:tabs>
        <w:spacing w:after="0"/>
        <w:ind w:firstLine="709"/>
        <w:rPr>
          <w:color w:val="000000"/>
        </w:rPr>
      </w:pPr>
      <w:r w:rsidRPr="000C4DAF">
        <w:rPr>
          <w:color w:val="000000"/>
        </w:rPr>
        <w:t>На банку наклеивают этикетку из бумаги этикеточной или писчей или самоклеящуюся этикетку.</w:t>
      </w:r>
    </w:p>
    <w:p w14:paraId="422A9D35" w14:textId="77777777" w:rsidR="001D0BEA" w:rsidRPr="000C4DAF" w:rsidRDefault="001D0BEA" w:rsidP="001D0BEA">
      <w:pPr>
        <w:ind w:firstLine="709"/>
        <w:rPr>
          <w:rFonts w:eastAsiaTheme="minorEastAsia"/>
          <w:spacing w:val="-2"/>
        </w:rPr>
      </w:pPr>
      <w:r w:rsidRPr="000C4DAF">
        <w:rPr>
          <w:rFonts w:eastAsiaTheme="minorEastAsia"/>
          <w:spacing w:val="-2"/>
        </w:rPr>
        <w:t>Каждую банку, по 3 контурных ячейковых упаковок</w:t>
      </w:r>
      <w:r w:rsidRPr="000C4DAF">
        <w:rPr>
          <w:rFonts w:eastAsiaTheme="minorEastAsia"/>
        </w:rPr>
        <w:t xml:space="preserve"> </w:t>
      </w:r>
      <w:r w:rsidRPr="000C4DAF">
        <w:rPr>
          <w:rFonts w:eastAsiaTheme="minorEastAsia"/>
          <w:spacing w:val="-2"/>
        </w:rPr>
        <w:t>вместе с инструкцией по применению (листком-вкладышем) помещают</w:t>
      </w:r>
      <w:r w:rsidRPr="000C4DAF">
        <w:t xml:space="preserve"> </w:t>
      </w:r>
      <w:r w:rsidRPr="000C4DAF">
        <w:rPr>
          <w:rFonts w:eastAsiaTheme="minorEastAsia"/>
          <w:spacing w:val="-2"/>
        </w:rPr>
        <w:t>в пачку из картона коробочного.</w:t>
      </w:r>
    </w:p>
    <w:p w14:paraId="305D4BAE" w14:textId="1320E9B6" w:rsidR="00AC7B8A" w:rsidRDefault="001D0BEA" w:rsidP="001D0BEA">
      <w:pPr>
        <w:ind w:firstLine="709"/>
      </w:pPr>
      <w:r w:rsidRPr="000C4DAF">
        <w:rPr>
          <w:color w:val="000000"/>
        </w:rPr>
        <w:t>Пачк</w:t>
      </w:r>
      <w:r>
        <w:rPr>
          <w:color w:val="000000"/>
        </w:rPr>
        <w:t>и помещают в групповую упаковку</w:t>
      </w:r>
      <w:r w:rsidR="00CB2661">
        <w:t>.</w:t>
      </w:r>
    </w:p>
    <w:p w14:paraId="13CA4F08" w14:textId="0CA0A45B" w:rsidR="00E36A78" w:rsidRPr="00E36A78" w:rsidRDefault="00E36A78" w:rsidP="00E36A78">
      <w:pPr>
        <w:pStyle w:val="2"/>
        <w:spacing w:line="240" w:lineRule="auto"/>
        <w:rPr>
          <w:color w:val="000000" w:themeColor="text1"/>
          <w:szCs w:val="24"/>
        </w:rPr>
      </w:pPr>
      <w:bookmarkStart w:id="64" w:name="_Toc115217926"/>
      <w:bookmarkStart w:id="65" w:name="_Toc126059704"/>
      <w:r w:rsidRPr="00E36A78">
        <w:rPr>
          <w:color w:val="000000" w:themeColor="text1"/>
          <w:szCs w:val="24"/>
        </w:rPr>
        <w:t>2.3</w:t>
      </w:r>
      <w:r>
        <w:rPr>
          <w:color w:val="000000" w:themeColor="text1"/>
          <w:szCs w:val="24"/>
        </w:rPr>
        <w:t>.</w:t>
      </w:r>
      <w:r w:rsidRPr="00E36A78">
        <w:rPr>
          <w:color w:val="000000" w:themeColor="text1"/>
          <w:szCs w:val="24"/>
        </w:rPr>
        <w:t xml:space="preserve"> Правила хранения и обращения</w:t>
      </w:r>
      <w:bookmarkEnd w:id="64"/>
      <w:bookmarkEnd w:id="65"/>
    </w:p>
    <w:p w14:paraId="04ABBE91" w14:textId="220BBA9D" w:rsidR="00295007" w:rsidRPr="005E6358" w:rsidRDefault="00295007" w:rsidP="00295007">
      <w:pPr>
        <w:pStyle w:val="3"/>
        <w:spacing w:after="240"/>
        <w:rPr>
          <w:rFonts w:ascii="Times New Roman" w:hAnsi="Times New Roman"/>
          <w:color w:val="000000" w:themeColor="text1"/>
          <w:szCs w:val="24"/>
        </w:rPr>
      </w:pPr>
      <w:bookmarkStart w:id="66" w:name="_Toc126059705"/>
      <w:r w:rsidRPr="005E6358">
        <w:rPr>
          <w:rFonts w:ascii="Times New Roman" w:hAnsi="Times New Roman"/>
          <w:color w:val="000000" w:themeColor="text1"/>
          <w:szCs w:val="24"/>
        </w:rPr>
        <w:t>2.3.1</w:t>
      </w:r>
      <w:r w:rsidR="00E36A78">
        <w:rPr>
          <w:rFonts w:ascii="Times New Roman" w:hAnsi="Times New Roman"/>
          <w:color w:val="000000" w:themeColor="text1"/>
          <w:szCs w:val="24"/>
        </w:rPr>
        <w:t>.</w:t>
      </w:r>
      <w:r w:rsidRPr="005E6358">
        <w:rPr>
          <w:rFonts w:ascii="Times New Roman" w:hAnsi="Times New Roman"/>
          <w:color w:val="000000" w:themeColor="text1"/>
          <w:szCs w:val="24"/>
        </w:rPr>
        <w:t xml:space="preserve"> Условия хранения и транспортировки</w:t>
      </w:r>
      <w:bookmarkEnd w:id="66"/>
    </w:p>
    <w:p w14:paraId="4BBA7D5E" w14:textId="44D49627" w:rsidR="00295007" w:rsidRPr="00BF3966" w:rsidRDefault="00295007" w:rsidP="005844DF">
      <w:pPr>
        <w:pStyle w:val="OT"/>
        <w:spacing w:after="0"/>
        <w:ind w:left="567"/>
        <w:rPr>
          <w:sz w:val="24"/>
          <w:szCs w:val="24"/>
        </w:rPr>
      </w:pPr>
      <w:r w:rsidRPr="00BF3966">
        <w:rPr>
          <w:sz w:val="24"/>
          <w:szCs w:val="24"/>
        </w:rPr>
        <w:t xml:space="preserve">При температуре не выше </w:t>
      </w:r>
      <w:r w:rsidR="00FA5143">
        <w:rPr>
          <w:sz w:val="24"/>
          <w:szCs w:val="24"/>
        </w:rPr>
        <w:t>25</w:t>
      </w:r>
      <w:r w:rsidRPr="00BF3966">
        <w:rPr>
          <w:sz w:val="24"/>
          <w:szCs w:val="24"/>
        </w:rPr>
        <w:t xml:space="preserve"> °С. </w:t>
      </w:r>
    </w:p>
    <w:p w14:paraId="5AE86B0C" w14:textId="6F67DBAF" w:rsidR="00295007" w:rsidRDefault="00295007" w:rsidP="00295007">
      <w:pPr>
        <w:pStyle w:val="3"/>
        <w:spacing w:after="240"/>
        <w:rPr>
          <w:rFonts w:ascii="Times New Roman" w:hAnsi="Times New Roman"/>
          <w:color w:val="000000" w:themeColor="text1"/>
          <w:szCs w:val="24"/>
        </w:rPr>
      </w:pPr>
      <w:bookmarkStart w:id="67" w:name="_Toc126059706"/>
      <w:r w:rsidRPr="00884C56">
        <w:rPr>
          <w:rFonts w:ascii="Times New Roman" w:hAnsi="Times New Roman"/>
          <w:color w:val="000000" w:themeColor="text1"/>
          <w:szCs w:val="24"/>
        </w:rPr>
        <w:t>2.3.2. Срок годности</w:t>
      </w:r>
      <w:bookmarkEnd w:id="67"/>
    </w:p>
    <w:p w14:paraId="7E63BCDC" w14:textId="05609049" w:rsidR="001D0BEA" w:rsidRPr="001D0BEA" w:rsidRDefault="001D0BEA" w:rsidP="001D0BEA">
      <w:pPr>
        <w:ind w:firstLine="709"/>
      </w:pPr>
      <w:r w:rsidRPr="00094E98">
        <w:t xml:space="preserve">2 </w:t>
      </w:r>
      <w:r>
        <w:t>года.</w:t>
      </w:r>
    </w:p>
    <w:p w14:paraId="67F04DEC" w14:textId="3A7C7512" w:rsidR="00295007" w:rsidRDefault="00295007" w:rsidP="00295007">
      <w:pPr>
        <w:pStyle w:val="3"/>
        <w:spacing w:after="240"/>
        <w:rPr>
          <w:rFonts w:ascii="Times New Roman" w:hAnsi="Times New Roman"/>
          <w:color w:val="000000" w:themeColor="text1"/>
          <w:szCs w:val="24"/>
        </w:rPr>
      </w:pPr>
      <w:bookmarkStart w:id="68" w:name="_Toc126059707"/>
      <w:r w:rsidRPr="005E6358">
        <w:rPr>
          <w:rFonts w:ascii="Times New Roman" w:hAnsi="Times New Roman"/>
          <w:color w:val="000000" w:themeColor="text1"/>
          <w:szCs w:val="24"/>
        </w:rPr>
        <w:t>2.3.</w:t>
      </w:r>
      <w:r w:rsidRPr="005844DF">
        <w:rPr>
          <w:rFonts w:ascii="Times New Roman" w:hAnsi="Times New Roman"/>
          <w:szCs w:val="24"/>
        </w:rPr>
        <w:t>3. Правила по обращению с препаратом</w:t>
      </w:r>
      <w:bookmarkEnd w:id="68"/>
    </w:p>
    <w:p w14:paraId="3AC17459" w14:textId="77777777" w:rsidR="005844DF" w:rsidRPr="00447B4C" w:rsidRDefault="005844DF" w:rsidP="005844DF">
      <w:pPr>
        <w:ind w:firstLine="709"/>
        <w:contextualSpacing/>
        <w:rPr>
          <w:rFonts w:eastAsia="Calibri"/>
          <w:color w:val="000000" w:themeColor="text1"/>
          <w:lang w:eastAsia="en-US"/>
        </w:rPr>
      </w:pPr>
      <w:r w:rsidRPr="002C0C2C">
        <w:rPr>
          <w:color w:val="000000" w:themeColor="text1"/>
        </w:rPr>
        <w:t>Не требует особых мер предосторожности при использовании</w:t>
      </w:r>
      <w:r w:rsidRPr="002C0C2C">
        <w:rPr>
          <w:rFonts w:eastAsia="Courier New"/>
          <w:lang w:bidi="ru-RU"/>
        </w:rPr>
        <w:t>.</w:t>
      </w:r>
    </w:p>
    <w:p w14:paraId="168F59FC" w14:textId="18DAF122" w:rsidR="00200EBA" w:rsidRPr="005E6358" w:rsidRDefault="00200EBA" w:rsidP="00200EBA">
      <w:pPr>
        <w:pStyle w:val="12"/>
        <w:tabs>
          <w:tab w:val="left" w:pos="142"/>
          <w:tab w:val="left" w:pos="284"/>
        </w:tabs>
        <w:spacing w:line="240" w:lineRule="auto"/>
        <w:rPr>
          <w:rFonts w:cs="Times New Roman"/>
          <w:color w:val="000000" w:themeColor="text1"/>
          <w:szCs w:val="24"/>
        </w:rPr>
      </w:pPr>
      <w:bookmarkStart w:id="69" w:name="_Toc126059708"/>
      <w:r>
        <w:rPr>
          <w:rFonts w:cs="Times New Roman"/>
          <w:color w:val="000000" w:themeColor="text1"/>
          <w:szCs w:val="24"/>
        </w:rPr>
        <w:t>3</w:t>
      </w:r>
      <w:r w:rsidRPr="005E6358">
        <w:rPr>
          <w:rFonts w:cs="Times New Roman"/>
          <w:color w:val="000000" w:themeColor="text1"/>
          <w:szCs w:val="24"/>
        </w:rPr>
        <w:t>. РЕЗУЛЬТАТЫ ДОКЛИНИЧЕСКИХ ИССЛЕДОВАНИЙ</w:t>
      </w:r>
      <w:bookmarkEnd w:id="69"/>
    </w:p>
    <w:p w14:paraId="147BCDC0" w14:textId="77777777" w:rsidR="00200EBA" w:rsidRPr="005E6358" w:rsidRDefault="00200EBA" w:rsidP="00200EBA">
      <w:pPr>
        <w:pStyle w:val="2"/>
        <w:spacing w:line="240" w:lineRule="auto"/>
        <w:rPr>
          <w:color w:val="000000" w:themeColor="text1"/>
          <w:szCs w:val="24"/>
        </w:rPr>
      </w:pPr>
      <w:bookmarkStart w:id="70" w:name="_Toc126059709"/>
      <w:r w:rsidRPr="005E6358">
        <w:rPr>
          <w:color w:val="000000" w:themeColor="text1"/>
          <w:szCs w:val="24"/>
        </w:rPr>
        <w:t>Введение</w:t>
      </w:r>
      <w:r>
        <w:rPr>
          <w:color w:val="000000" w:themeColor="text1"/>
          <w:szCs w:val="24"/>
        </w:rPr>
        <w:t xml:space="preserve"> и резюме</w:t>
      </w:r>
      <w:bookmarkEnd w:id="70"/>
    </w:p>
    <w:p w14:paraId="6C90F0E0" w14:textId="005CB637" w:rsidR="00200EBA" w:rsidRPr="00944B59" w:rsidRDefault="00200EBA" w:rsidP="00DC16C7">
      <w:pPr>
        <w:ind w:firstLine="709"/>
      </w:pPr>
      <w:bookmarkStart w:id="71" w:name="_Hlk118202589"/>
      <w:r w:rsidRPr="00944B59">
        <w:t xml:space="preserve">Доклинических исследований препарата </w:t>
      </w:r>
      <w:r w:rsidR="00944B59" w:rsidRPr="00944B59">
        <w:rPr>
          <w:lang w:val="en-US"/>
        </w:rPr>
        <w:t>DT</w:t>
      </w:r>
      <w:r w:rsidR="00944B59" w:rsidRPr="00944B59">
        <w:t>-</w:t>
      </w:r>
      <w:r w:rsidR="00944B59" w:rsidRPr="00944B59">
        <w:rPr>
          <w:lang w:val="en-US"/>
        </w:rPr>
        <w:t>VLD</w:t>
      </w:r>
      <w:r w:rsidR="00427E21" w:rsidRPr="00944B59">
        <w:t xml:space="preserve">, </w:t>
      </w:r>
      <w:r w:rsidRPr="00944B59">
        <w:t>капсулы 4 мг</w:t>
      </w:r>
      <w:r w:rsidR="0005153E" w:rsidRPr="0005153E">
        <w:t xml:space="preserve"> </w:t>
      </w:r>
      <w:r w:rsidR="0005153E">
        <w:t>и</w:t>
      </w:r>
      <w:r w:rsidRPr="00944B59">
        <w:t xml:space="preserve"> 10 мг (АО «Р-Фарм», Россия) не проводилось. Так как препарат </w:t>
      </w:r>
      <w:r w:rsidR="00944B59" w:rsidRPr="00944B59">
        <w:rPr>
          <w:lang w:val="en-US"/>
        </w:rPr>
        <w:t>DT</w:t>
      </w:r>
      <w:r w:rsidR="00944B59" w:rsidRPr="00944B59">
        <w:t>-</w:t>
      </w:r>
      <w:r w:rsidR="00944B59" w:rsidRPr="00944B59">
        <w:rPr>
          <w:lang w:val="en-US"/>
        </w:rPr>
        <w:t>VLD</w:t>
      </w:r>
      <w:r w:rsidR="00944B59" w:rsidRPr="00944B59">
        <w:t xml:space="preserve"> </w:t>
      </w:r>
      <w:r w:rsidRPr="00944B59">
        <w:t>представляет собой воспроизведенный препарат ленватиниба, ожидается, что его свойства будут идентичны свойствам оригинального препарата Ленвима</w:t>
      </w:r>
      <w:r w:rsidRPr="00944B59">
        <w:rPr>
          <w:vertAlign w:val="superscript"/>
        </w:rPr>
        <w:t>®</w:t>
      </w:r>
      <w:r w:rsidRPr="00944B59">
        <w:t xml:space="preserve"> (МНН: ленватиниб), капсулы 4 мг, 10 мг (владелец РУ: Эйсай Юроп Лимитед, Соединенное Королевство), которому </w:t>
      </w:r>
      <w:r w:rsidR="00944B59" w:rsidRPr="00944B59">
        <w:rPr>
          <w:lang w:val="en-US"/>
        </w:rPr>
        <w:t>DT</w:t>
      </w:r>
      <w:r w:rsidR="00944B59" w:rsidRPr="00944B59">
        <w:t>-</w:t>
      </w:r>
      <w:r w:rsidR="00944B59" w:rsidRPr="00944B59">
        <w:rPr>
          <w:lang w:val="en-US"/>
        </w:rPr>
        <w:t>VLD</w:t>
      </w:r>
      <w:r w:rsidR="00944B59" w:rsidRPr="00944B59">
        <w:t xml:space="preserve"> </w:t>
      </w:r>
      <w:r w:rsidRPr="00944B59">
        <w:t>полностью соответствует по качественному и количественному составу действующ</w:t>
      </w:r>
      <w:r w:rsidR="00944B59" w:rsidRPr="00944B59">
        <w:t>его</w:t>
      </w:r>
      <w:r w:rsidRPr="00944B59">
        <w:t xml:space="preserve"> и вспомогательных веществ, а также по лекарственной форме и дозировке. В связи с этим ниже приводятся данные доклинических исследований оригинального препарата Ленвима</w:t>
      </w:r>
      <w:r w:rsidRPr="00944B59">
        <w:rPr>
          <w:vertAlign w:val="superscript"/>
        </w:rPr>
        <w:t>®</w:t>
      </w:r>
      <w:r w:rsidRPr="00944B59">
        <w:t xml:space="preserve"> </w:t>
      </w:r>
      <w:r w:rsidRPr="00944B59">
        <w:lastRenderedPageBreak/>
        <w:t>(МНН: ленватиниб), капсулы 4 мг</w:t>
      </w:r>
      <w:r w:rsidR="00944B59" w:rsidRPr="00944B59">
        <w:t xml:space="preserve"> и</w:t>
      </w:r>
      <w:r w:rsidRPr="00944B59">
        <w:t xml:space="preserve"> 10 мг (владелец РУ: Эйсай Юроп Лимитед, Соединенное Королевство).</w:t>
      </w:r>
    </w:p>
    <w:p w14:paraId="0F75AF13" w14:textId="77777777" w:rsidR="00200EBA" w:rsidRPr="00AF7CFB" w:rsidRDefault="00200EBA" w:rsidP="00DC16C7">
      <w:pPr>
        <w:ind w:firstLine="709"/>
        <w:rPr>
          <w:color w:val="000000" w:themeColor="text1"/>
        </w:rPr>
      </w:pPr>
      <w:bookmarkStart w:id="72" w:name="_Hlk118202508"/>
      <w:bookmarkEnd w:id="71"/>
      <w:r w:rsidRPr="00AF7CFB">
        <w:rPr>
          <w:color w:val="000000" w:themeColor="text1"/>
        </w:rPr>
        <w:t xml:space="preserve">Для изучения ленватиниба 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ленватиниба. </w:t>
      </w:r>
    </w:p>
    <w:p w14:paraId="30CA1C62" w14:textId="4EBA0D51" w:rsidR="00200EBA" w:rsidRPr="009F43BF" w:rsidRDefault="00200EBA" w:rsidP="00DC16C7">
      <w:pPr>
        <w:ind w:firstLine="709"/>
      </w:pPr>
      <w:r w:rsidRPr="009F43BF">
        <w:t xml:space="preserve">При изучении </w:t>
      </w:r>
      <w:r w:rsidRPr="00944B59">
        <w:rPr>
          <w:bCs/>
        </w:rPr>
        <w:t>первичной фармакодинамики</w:t>
      </w:r>
      <w:r w:rsidRPr="00944B59">
        <w:t xml:space="preserve"> </w:t>
      </w:r>
      <w:r w:rsidRPr="009F43BF">
        <w:rPr>
          <w:i/>
          <w:iCs/>
        </w:rPr>
        <w:t>in vitro</w:t>
      </w:r>
      <w:r w:rsidRPr="009F43BF">
        <w:t xml:space="preserve"> было показано, что ленватиниб селективно ингибировал тирозинкиназную активность рецепторов VEGF (VEGFR1-3) и RET со значени</w:t>
      </w:r>
      <w:r w:rsidR="00DB5C42">
        <w:t>е</w:t>
      </w:r>
      <w:r w:rsidR="00DC16C7">
        <w:t xml:space="preserve">м </w:t>
      </w:r>
      <w:r w:rsidRPr="009F43BF">
        <w:t>Ki приблизительно равным 1 нмоль/л. Ленватиниб ингибировал другие тирозинкиназные рецепторы, связанные с проангиогенными и онкогенными путями, включая FGFR1-4, PDGFRα и KIT, со значениями медианной ингибирующей концентрации (IC</w:t>
      </w:r>
      <w:r w:rsidRPr="009B4009">
        <w:rPr>
          <w:vertAlign w:val="subscript"/>
        </w:rPr>
        <w:t>50</w:t>
      </w:r>
      <w:r w:rsidRPr="009F43BF">
        <w:t>) ниже 100 нмоль/л.</w:t>
      </w:r>
    </w:p>
    <w:p w14:paraId="54AFA315" w14:textId="77777777" w:rsidR="00200EBA" w:rsidRPr="009F43BF" w:rsidRDefault="00200EBA" w:rsidP="00DC16C7">
      <w:pPr>
        <w:ind w:firstLine="709"/>
      </w:pPr>
      <w:bookmarkStart w:id="73" w:name="_Hlk119264118"/>
      <w:r w:rsidRPr="009F43BF">
        <w:t>Константа равновесной диссоциации (Kd)</w:t>
      </w:r>
      <w:bookmarkEnd w:id="73"/>
      <w:r w:rsidRPr="009F43BF">
        <w:t xml:space="preserve"> ленватиниба против VEGFR2 составила 2,1 нмоль/л. Рентгеновский анализ кристаллической структуры комплекса VEGFR2-ленватиниб и комплекса FGFR1-ленватиниб показал, что ленватиниб связывается с сайтом связывания </w:t>
      </w:r>
      <w:bookmarkStart w:id="74" w:name="_Hlk119260156"/>
      <w:r w:rsidRPr="009F43BF">
        <w:t xml:space="preserve">аденозинтрифосфата (АТФ) </w:t>
      </w:r>
      <w:bookmarkEnd w:id="74"/>
      <w:r w:rsidRPr="009F43BF">
        <w:t>и соседней аллостерической областью в киназном домене, принимая конформацию "аспаргиновая кислота-фенилаланин-глицин (DFG)-in"</w:t>
      </w:r>
      <w:r>
        <w:t>.</w:t>
      </w:r>
    </w:p>
    <w:p w14:paraId="71104168" w14:textId="2C987B2B" w:rsidR="00200EBA" w:rsidRPr="009F43BF" w:rsidRDefault="00200EBA" w:rsidP="00DC16C7">
      <w:pPr>
        <w:ind w:firstLine="709"/>
      </w:pPr>
      <w:r w:rsidRPr="009F43BF">
        <w:t xml:space="preserve">Был оценен противоопухолевый эффект ленватиниба </w:t>
      </w:r>
      <w:r w:rsidRPr="009F43BF">
        <w:rPr>
          <w:i/>
          <w:iCs/>
        </w:rPr>
        <w:t>in vivo</w:t>
      </w:r>
      <w:r w:rsidRPr="009F43BF">
        <w:t xml:space="preserve"> на рост опухоли клеточной линии папиллярной карциномы щитовидной железы человека К1 на модели ксенотрансплантата мыши. </w:t>
      </w:r>
      <w:r w:rsidR="00DC16C7">
        <w:t>Установлено</w:t>
      </w:r>
      <w:r w:rsidRPr="009F43BF">
        <w:t>, что ежедневное введение ленватиниба в течение 14 дней мышам, которым имплантировали клеточную линию карциномы щитовидной железы человека К1, приводило к задержке роста опухоли дозозависимым образом без статистически значимого влияния на массу тела.</w:t>
      </w:r>
    </w:p>
    <w:p w14:paraId="17AA1863" w14:textId="6A88DD27" w:rsidR="00200EBA" w:rsidRPr="009F43BF" w:rsidRDefault="00DC16C7" w:rsidP="00DC16C7">
      <w:pPr>
        <w:ind w:firstLine="709"/>
      </w:pPr>
      <w:r>
        <w:t>И</w:t>
      </w:r>
      <w:r w:rsidR="00200EBA" w:rsidRPr="009F43BF">
        <w:t xml:space="preserve">зучено влияние ленватиниба как на рост опухоли, так и на ангиогенез опухоли в ксенотрансплантатах линии клеток анапластического рака человека 8305C у бестимусных мышей. </w:t>
      </w:r>
      <w:r>
        <w:t>В</w:t>
      </w:r>
      <w:r w:rsidR="00200EBA" w:rsidRPr="009F43BF">
        <w:t xml:space="preserve">ыяснено, что ленватиниб имел значительное дозозависимое снижение объема опухоли по сравнению с </w:t>
      </w:r>
      <w:r w:rsidR="001335DC">
        <w:t>контролем</w:t>
      </w:r>
      <w:r w:rsidR="001335DC" w:rsidRPr="009F43BF">
        <w:t xml:space="preserve"> </w:t>
      </w:r>
      <w:r w:rsidR="00200EBA" w:rsidRPr="009F43BF">
        <w:t xml:space="preserve">на 15-й день. Ленватиниб в диапазоне доз от 3 до 100 мг/кг значительно и дозозависимо снижал плотность микрососудов в опухолях 8305C на 15-й день. </w:t>
      </w:r>
    </w:p>
    <w:p w14:paraId="73764D20" w14:textId="27B2AD9A" w:rsidR="00200EBA" w:rsidRPr="009F43BF" w:rsidRDefault="00200EBA" w:rsidP="00DC16C7">
      <w:pPr>
        <w:ind w:firstLine="709"/>
      </w:pPr>
      <w:r w:rsidRPr="009F43BF">
        <w:t xml:space="preserve">Для оценки </w:t>
      </w:r>
      <w:r w:rsidRPr="00944B59">
        <w:t xml:space="preserve">потенциальных </w:t>
      </w:r>
      <w:r w:rsidRPr="00944B59">
        <w:rPr>
          <w:bCs/>
        </w:rPr>
        <w:t>вторичных фармакодинамических эффектов</w:t>
      </w:r>
      <w:r w:rsidRPr="009F43BF">
        <w:t xml:space="preserve"> ленватиниба было проведено исследование связывани</w:t>
      </w:r>
      <w:r w:rsidR="00DC16C7">
        <w:t>я</w:t>
      </w:r>
      <w:r w:rsidRPr="009F43BF">
        <w:t xml:space="preserve"> с панелью из 50 некиназных рецепторов (ExpressSProfile) при концентрациях ленватиниба от 1 и 10 мкмоль/л. Не отмечалось значительного связывания (&gt;50% ингибирование) ленватиниба </w:t>
      </w:r>
      <w:r w:rsidR="00DC16C7">
        <w:t>с</w:t>
      </w:r>
      <w:r w:rsidRPr="009F43BF">
        <w:t xml:space="preserve"> рецепторам</w:t>
      </w:r>
      <w:r w:rsidR="00DC16C7">
        <w:t>и</w:t>
      </w:r>
      <w:r w:rsidRPr="009F43BF">
        <w:t xml:space="preserve"> ExpresSProfile при оцениваемых концентрациях, за исключением рецептора 5-гидрокситриптамина 1В (58%) и человеческого переносчик</w:t>
      </w:r>
      <w:r w:rsidR="00DC16C7">
        <w:t>а</w:t>
      </w:r>
      <w:r w:rsidRPr="009F43BF">
        <w:t xml:space="preserve"> норадреналина (50%) при 10 мкмоль/л.</w:t>
      </w:r>
    </w:p>
    <w:p w14:paraId="1C79C98D" w14:textId="0BFA7A5C" w:rsidR="00200EBA" w:rsidRPr="009F43BF" w:rsidRDefault="00200EBA" w:rsidP="00DC16C7">
      <w:pPr>
        <w:ind w:firstLine="709"/>
      </w:pPr>
      <w:r w:rsidRPr="00944B59">
        <w:rPr>
          <w:bCs/>
        </w:rPr>
        <w:t>Фармакокинетика</w:t>
      </w:r>
      <w:r w:rsidRPr="00944B59">
        <w:t xml:space="preserve"> ленватиниба оценивалась </w:t>
      </w:r>
      <w:r w:rsidRPr="00944B59">
        <w:rPr>
          <w:i/>
          <w:iCs/>
        </w:rPr>
        <w:t>in vivo</w:t>
      </w:r>
      <w:r w:rsidRPr="00944B59">
        <w:t xml:space="preserve"> после перорального введения мыш</w:t>
      </w:r>
      <w:r w:rsidR="00DC16C7">
        <w:t>ам</w:t>
      </w:r>
      <w:r w:rsidRPr="00944B59">
        <w:t>, крыс</w:t>
      </w:r>
      <w:r w:rsidR="00DC16C7">
        <w:t>ам</w:t>
      </w:r>
      <w:r w:rsidRPr="00944B59">
        <w:t>, собак</w:t>
      </w:r>
      <w:r w:rsidR="00DC16C7">
        <w:t>ам</w:t>
      </w:r>
      <w:r w:rsidRPr="00944B59">
        <w:t xml:space="preserve"> и обезьян</w:t>
      </w:r>
      <w:r w:rsidR="00DC16C7">
        <w:t>ам</w:t>
      </w:r>
      <w:r w:rsidRPr="009F43BF">
        <w:t xml:space="preserve">. Образцы плазмы, собранные у мышей, крыс, собак и обезьян в ходе токсикокинетических исследований, анализировали с помощью </w:t>
      </w:r>
      <w:bookmarkStart w:id="75" w:name="_Hlk118313007"/>
      <w:r w:rsidR="00524381">
        <w:t>в</w:t>
      </w:r>
      <w:r w:rsidR="00524381" w:rsidRPr="00524381">
        <w:t>ысокоэффективн</w:t>
      </w:r>
      <w:r w:rsidR="00524381">
        <w:t>ой</w:t>
      </w:r>
      <w:r w:rsidR="00524381" w:rsidRPr="00524381">
        <w:t xml:space="preserve"> жидкостн</w:t>
      </w:r>
      <w:r w:rsidR="00524381">
        <w:t>ой</w:t>
      </w:r>
      <w:r w:rsidR="00524381" w:rsidRPr="00524381">
        <w:t xml:space="preserve"> хроматографи</w:t>
      </w:r>
      <w:r w:rsidR="004F1FC8">
        <w:t>и (</w:t>
      </w:r>
      <w:r w:rsidRPr="009F43BF">
        <w:t>ВЭЖХ</w:t>
      </w:r>
      <w:bookmarkEnd w:id="75"/>
      <w:r w:rsidR="004F1FC8">
        <w:t>)</w:t>
      </w:r>
      <w:r w:rsidRPr="009F43BF">
        <w:t xml:space="preserve"> </w:t>
      </w:r>
      <w:r w:rsidR="00392B93">
        <w:t xml:space="preserve">и </w:t>
      </w:r>
      <w:r w:rsidR="005E0125">
        <w:t>ж</w:t>
      </w:r>
      <w:r w:rsidR="004F1FC8" w:rsidRPr="004F1FC8">
        <w:t>идкостн</w:t>
      </w:r>
      <w:r w:rsidR="005E0125">
        <w:t>ой</w:t>
      </w:r>
      <w:r w:rsidR="004F1FC8" w:rsidRPr="004F1FC8">
        <w:t xml:space="preserve"> хроматографи</w:t>
      </w:r>
      <w:r w:rsidR="005E0125">
        <w:t>и</w:t>
      </w:r>
      <w:r w:rsidR="004F1FC8" w:rsidRPr="004F1FC8">
        <w:t xml:space="preserve"> с масс спектрометрией</w:t>
      </w:r>
      <w:r w:rsidR="005E0125">
        <w:t xml:space="preserve"> (</w:t>
      </w:r>
      <w:r w:rsidRPr="009F43BF">
        <w:t>ЖХ/МС</w:t>
      </w:r>
      <w:r w:rsidR="005E0125">
        <w:t>)</w:t>
      </w:r>
      <w:r w:rsidRPr="009F43BF">
        <w:t xml:space="preserve">. После введения радиоактивного </w:t>
      </w:r>
      <w:r w:rsidRPr="00C22830">
        <w:rPr>
          <w:vertAlign w:val="superscript"/>
        </w:rPr>
        <w:t>14</w:t>
      </w:r>
      <w:r w:rsidRPr="009F43BF">
        <w:t xml:space="preserve">C-ленватиниба радиоактивность измеряли жидкостным сцинтилляционным счетчиком (ЖСС). Билиарная экскреция исследовалась у крыс с канюлированными желчными протоками в течение 48 часов после введения </w:t>
      </w:r>
      <w:r w:rsidRPr="00C22830">
        <w:rPr>
          <w:vertAlign w:val="superscript"/>
        </w:rPr>
        <w:t>14</w:t>
      </w:r>
      <w:r w:rsidRPr="009F43BF">
        <w:t>C-ленватиниба.</w:t>
      </w:r>
    </w:p>
    <w:p w14:paraId="0735E2B2" w14:textId="5A9AECDF" w:rsidR="00200EBA" w:rsidRPr="009F43BF" w:rsidRDefault="00200EBA" w:rsidP="00DC16C7">
      <w:pPr>
        <w:ind w:firstLine="709"/>
      </w:pPr>
      <w:r w:rsidRPr="009F43BF">
        <w:t>Пероральная биодоступность ленватиниба составляла 64,4%, 68,7%, 70,4% и 78,4% у мышей, крыс, собак и обезьян</w:t>
      </w:r>
      <w:r w:rsidR="00DC16C7">
        <w:t>,</w:t>
      </w:r>
      <w:r w:rsidRPr="009F43BF">
        <w:t xml:space="preserve"> соответственно. T</w:t>
      </w:r>
      <w:r w:rsidRPr="00D95A14">
        <w:rPr>
          <w:vertAlign w:val="subscript"/>
        </w:rPr>
        <w:t>max</w:t>
      </w:r>
      <w:r w:rsidRPr="009F43BF">
        <w:t xml:space="preserve"> варьировала от 0,5 до 2 часов у животных после перорального введения ленватиниба, что незначительно короче, чем диапазон от 1 до 4 часов, наблюдаемый у людей. </w:t>
      </w:r>
    </w:p>
    <w:p w14:paraId="39466A2E" w14:textId="10BAD16D" w:rsidR="00200EBA" w:rsidRPr="009F43BF" w:rsidRDefault="00200EBA" w:rsidP="00DC16C7">
      <w:pPr>
        <w:ind w:firstLine="709"/>
      </w:pPr>
      <w:r w:rsidRPr="009F43BF">
        <w:lastRenderedPageBreak/>
        <w:t xml:space="preserve">Период полувыведения </w:t>
      </w:r>
      <w:r w:rsidR="00EC563F">
        <w:t>(</w:t>
      </w:r>
      <w:r w:rsidR="001F08B5" w:rsidRPr="001F08B5">
        <w:t>T</w:t>
      </w:r>
      <w:r w:rsidR="001F08B5" w:rsidRPr="00C22830">
        <w:rPr>
          <w:vertAlign w:val="subscript"/>
        </w:rPr>
        <w:t>1/2</w:t>
      </w:r>
      <w:r w:rsidR="001F08B5">
        <w:t xml:space="preserve">) </w:t>
      </w:r>
      <w:r w:rsidRPr="009F43BF">
        <w:t>у всех видов животных после однократного перорального приема ленватиниба колеблется от 1,74 до 5,27 часов, что намного короче, чем у людей (~28 часов после однократного и многократного приема ленватиниба</w:t>
      </w:r>
      <w:r w:rsidR="000A15B2">
        <w:t>)</w:t>
      </w:r>
      <w:r w:rsidRPr="009F43BF">
        <w:t>.</w:t>
      </w:r>
    </w:p>
    <w:p w14:paraId="5D64444B" w14:textId="63A6BA6D" w:rsidR="00200EBA" w:rsidRPr="009F43BF" w:rsidRDefault="00200EBA" w:rsidP="00DC16C7">
      <w:pPr>
        <w:ind w:firstLine="709"/>
      </w:pPr>
      <w:r w:rsidRPr="009F43BF">
        <w:t>Радиоактивность после перорального приема радиоактивно</w:t>
      </w:r>
      <w:r w:rsidR="00DC16C7">
        <w:t xml:space="preserve"> меченного</w:t>
      </w:r>
      <w:r w:rsidRPr="009F43BF">
        <w:t xml:space="preserve"> </w:t>
      </w:r>
      <w:r w:rsidRPr="006C4F53">
        <w:rPr>
          <w:vertAlign w:val="superscript"/>
        </w:rPr>
        <w:t>14</w:t>
      </w:r>
      <w:r w:rsidRPr="009F43BF">
        <w:t xml:space="preserve">C-ленватиниба крысам (перорально через желудочный зонд в дозе 3 мг/кг) достигла максимального уровня в большинстве тканей через 30 мин после введения </w:t>
      </w:r>
      <w:r w:rsidRPr="006C4F53">
        <w:rPr>
          <w:vertAlign w:val="superscript"/>
        </w:rPr>
        <w:t>14</w:t>
      </w:r>
      <w:r w:rsidRPr="009F43BF">
        <w:t>C-ленватиниба, за исключением слепой кишки, толстой кишк</w:t>
      </w:r>
      <w:r w:rsidR="00DC16C7">
        <w:t>и</w:t>
      </w:r>
      <w:r w:rsidRPr="009F43BF">
        <w:t xml:space="preserve"> и кожи, где он достиг максимального уровня через 6 часов после введения. Распределение </w:t>
      </w:r>
      <w:r w:rsidRPr="006C4F53">
        <w:rPr>
          <w:vertAlign w:val="superscript"/>
        </w:rPr>
        <w:t>14</w:t>
      </w:r>
      <w:r w:rsidRPr="009F43BF">
        <w:t>C-ленватиниба было самым высоким в печени крыс, надпочечниках, желудке и тонком кишечнике (в 1</w:t>
      </w:r>
      <w:r w:rsidR="008036D6" w:rsidRPr="009F43BF">
        <w:t>–</w:t>
      </w:r>
      <w:r w:rsidRPr="009F43BF">
        <w:t xml:space="preserve">3 раза выше, чем в плазме). Через 30 минут после введения радиоактивного </w:t>
      </w:r>
      <w:r w:rsidRPr="006C4F53">
        <w:rPr>
          <w:vertAlign w:val="superscript"/>
        </w:rPr>
        <w:t>14</w:t>
      </w:r>
      <w:r w:rsidRPr="009F43BF">
        <w:t xml:space="preserve">C-ленватиниба в слепой кишке и толстой кишке, радиоактивность </w:t>
      </w:r>
      <w:r w:rsidR="00DC16C7">
        <w:t xml:space="preserve">была </w:t>
      </w:r>
      <w:r w:rsidRPr="009F43BF">
        <w:t xml:space="preserve">примерно в 12 раз выше, чем в плазме через 6 часов после введения. Распределение </w:t>
      </w:r>
      <w:r w:rsidRPr="006C4F53">
        <w:rPr>
          <w:vertAlign w:val="superscript"/>
        </w:rPr>
        <w:t>14</w:t>
      </w:r>
      <w:r w:rsidRPr="009F43BF">
        <w:t xml:space="preserve">C-ленватиниба в головном мозге крыс, мозжечке, продолговатом мозге и спинном мозге составляло ≤2% </w:t>
      </w:r>
      <w:r w:rsidRPr="006C4F53">
        <w:rPr>
          <w:vertAlign w:val="superscript"/>
        </w:rPr>
        <w:t>14</w:t>
      </w:r>
      <w:r w:rsidRPr="009F43BF">
        <w:t>C-ленватиниба в плазме, а распределение радиоактивности в головной мозг составило ≤0,02% от общей дозы радиоактивности.</w:t>
      </w:r>
    </w:p>
    <w:p w14:paraId="6A9CEC6D" w14:textId="77777777" w:rsidR="00200EBA" w:rsidRPr="009F43BF" w:rsidRDefault="00200EBA" w:rsidP="00DC16C7">
      <w:pPr>
        <w:ind w:firstLine="709"/>
      </w:pPr>
      <w:r w:rsidRPr="006C4F53">
        <w:rPr>
          <w:i/>
          <w:iCs/>
        </w:rPr>
        <w:t>In vitro</w:t>
      </w:r>
      <w:r w:rsidRPr="009F43BF">
        <w:t xml:space="preserve"> ленватиниб в значительной степени связывался с белками плазмы как у животных (~90-98%), так и у человека (98–99%), преимущественно с альбумином и в меньшей степени с α1-кислым гликопротеином и γ-глобулином.</w:t>
      </w:r>
    </w:p>
    <w:p w14:paraId="2127031E" w14:textId="1C9DDAAD" w:rsidR="00200EBA" w:rsidRPr="009F43BF" w:rsidRDefault="00200EBA" w:rsidP="00DC16C7">
      <w:pPr>
        <w:ind w:firstLine="709"/>
      </w:pPr>
      <w:r w:rsidRPr="009F43BF">
        <w:t xml:space="preserve">Был оценен метаболизм ленватиниба </w:t>
      </w:r>
      <w:r w:rsidRPr="006C4F53">
        <w:rPr>
          <w:i/>
          <w:iCs/>
        </w:rPr>
        <w:t>in vitro</w:t>
      </w:r>
      <w:r w:rsidRPr="009F43BF">
        <w:t xml:space="preserve"> с исп</w:t>
      </w:r>
      <w:r w:rsidR="00DC16C7">
        <w:t>ользованием микросом печени мышей, крыс, собак</w:t>
      </w:r>
      <w:r w:rsidRPr="009F43BF">
        <w:t>,</w:t>
      </w:r>
      <w:r w:rsidR="00DC16C7">
        <w:t xml:space="preserve"> обезьян</w:t>
      </w:r>
      <w:r w:rsidRPr="009F43BF">
        <w:t xml:space="preserve"> и человека, реакционные смеси анализировали с помощью </w:t>
      </w:r>
      <w:bookmarkStart w:id="76" w:name="_Hlk118199779"/>
      <w:r w:rsidRPr="009F43BF">
        <w:t xml:space="preserve">ЖХ/МС. </w:t>
      </w:r>
      <w:bookmarkEnd w:id="76"/>
      <w:r w:rsidRPr="009F43BF">
        <w:t>В микросомах печени было идентифицировано восемь метаболитов. В микросомах печени человека обнаружено шесть метаболитов: М1, М2, М3, М4, М5 и М8. M8 также был обнаружен в микросомах печени обезьян, а остальные 5 метаболитов были обнаружены в микросомах всех исследованных видов. М2, деметилированная форма ленватиниба, был основным метаболитом, идентифицированным в микросомах печени человека.</w:t>
      </w:r>
    </w:p>
    <w:p w14:paraId="70AF507D" w14:textId="6E20EE8B" w:rsidR="00200EBA" w:rsidRPr="009F43BF" w:rsidRDefault="00200EBA" w:rsidP="00DC16C7">
      <w:pPr>
        <w:ind w:firstLine="709"/>
      </w:pPr>
      <w:r w:rsidRPr="009F43BF">
        <w:t xml:space="preserve">После однократного перорального введения </w:t>
      </w:r>
      <w:r w:rsidRPr="006C4F53">
        <w:rPr>
          <w:vertAlign w:val="superscript"/>
        </w:rPr>
        <w:t>14</w:t>
      </w:r>
      <w:r w:rsidRPr="009F43BF">
        <w:t xml:space="preserve">C-ленватиниба крысам (перорально через желудочный зонд в дозе 3 мг/кг), экскреция </w:t>
      </w:r>
      <w:r w:rsidRPr="006C4F53">
        <w:rPr>
          <w:vertAlign w:val="superscript"/>
        </w:rPr>
        <w:t>14</w:t>
      </w:r>
      <w:r w:rsidRPr="009F43BF">
        <w:t xml:space="preserve">C-ленватиниба с калом составила 87,2%, с мочой 12,2%. Через сорок восемь часов после введения однократной пероральной дозы </w:t>
      </w:r>
      <w:r w:rsidRPr="006C4F53">
        <w:rPr>
          <w:vertAlign w:val="superscript"/>
        </w:rPr>
        <w:t>14</w:t>
      </w:r>
      <w:r w:rsidRPr="009F43BF">
        <w:t>C-ленватиниба крысам с канюлированными желчными протоками экскреция с желчью, мочой и калом составила 41,6%, 18,1% и 27,2% дозы</w:t>
      </w:r>
      <w:r w:rsidR="00DC16C7">
        <w:t>,</w:t>
      </w:r>
      <w:r w:rsidRPr="009F43BF">
        <w:t xml:space="preserve"> соответственно. Эти данные свидетельствуют о том, что преобладающим путем выведения ленватиниба у крыс является фекальный путь с желчью, и по меньшей мере 65% введенной дозы всасывается.</w:t>
      </w:r>
    </w:p>
    <w:p w14:paraId="10AFCD44" w14:textId="77777777" w:rsidR="00200EBA" w:rsidRPr="009F43BF" w:rsidRDefault="00200EBA" w:rsidP="00DC16C7">
      <w:pPr>
        <w:ind w:firstLine="709"/>
      </w:pPr>
      <w:r w:rsidRPr="009F43BF">
        <w:t xml:space="preserve">После однократного перорального введения </w:t>
      </w:r>
      <w:r w:rsidRPr="006C4F53">
        <w:rPr>
          <w:vertAlign w:val="superscript"/>
        </w:rPr>
        <w:t>14</w:t>
      </w:r>
      <w:r w:rsidRPr="009F43BF">
        <w:t xml:space="preserve">C-ленватиниба обезьянам (перорально через желудочный зонд в дозе 3 мг/кг) экскреция </w:t>
      </w:r>
      <w:r w:rsidRPr="006C4F53">
        <w:rPr>
          <w:vertAlign w:val="superscript"/>
        </w:rPr>
        <w:t>14</w:t>
      </w:r>
      <w:r w:rsidRPr="009F43BF">
        <w:t>C-ленватиниба с калом составила 72,8%, с мочой 17,2%.</w:t>
      </w:r>
    </w:p>
    <w:p w14:paraId="436254F0" w14:textId="77777777" w:rsidR="00200EBA" w:rsidRPr="00944B59" w:rsidRDefault="00200EBA" w:rsidP="00DC16C7">
      <w:pPr>
        <w:ind w:firstLine="709"/>
      </w:pPr>
      <w:r w:rsidRPr="00944B59">
        <w:rPr>
          <w:bCs/>
        </w:rPr>
        <w:t>Токсичность при однократном и многократном введении ленватиниба</w:t>
      </w:r>
      <w:r w:rsidRPr="00944B59">
        <w:t xml:space="preserve"> изучали у крыс, собак и обезьян.</w:t>
      </w:r>
    </w:p>
    <w:p w14:paraId="2E614D9C" w14:textId="6F6C5426" w:rsidR="00200EBA" w:rsidRPr="00762053" w:rsidRDefault="00200EBA" w:rsidP="00DC16C7">
      <w:pPr>
        <w:ind w:firstLine="709"/>
        <w:rPr>
          <w:iCs/>
        </w:rPr>
      </w:pPr>
      <w:r w:rsidRPr="009F43BF">
        <w:t xml:space="preserve">Исследования токсичности при однократном введении </w:t>
      </w:r>
      <w:r w:rsidR="0005153E">
        <w:t>проводили</w:t>
      </w:r>
      <w:r w:rsidRPr="009F43BF">
        <w:t xml:space="preserve"> у крыс и собак. Ленватиниб в дозах 10, 30, 100 мг/кг однократно через желудочный зонд вводили самцам крыс </w:t>
      </w:r>
      <w:r w:rsidRPr="0005153E">
        <w:rPr>
          <w:iCs/>
        </w:rPr>
        <w:t>Sprague-Dawley</w:t>
      </w:r>
      <w:r w:rsidRPr="009F43BF">
        <w:t xml:space="preserve"> (6 самцов в экспериментальной группе, 6 в контроле) для оценки общего физического состояния, поведения животных, оценки дыхательной функции. Эксперименты проводилась до введения ленватиниба и через 1, 2, 4 и 8 часов после введения. Было выяснено, что все дозы до 100 мг/кг не оказывали влияния на общее физическое состояние и поведение крыс, не отмечалось статистически значимого влияния ленватиниба на измеренные параметры дыхательной функции у самцов крыс </w:t>
      </w:r>
      <w:r w:rsidRPr="00762053">
        <w:rPr>
          <w:iCs/>
        </w:rPr>
        <w:t>Sprague-Dawley.</w:t>
      </w:r>
    </w:p>
    <w:p w14:paraId="65EB2C04" w14:textId="383618E0" w:rsidR="00200EBA" w:rsidRPr="009F43BF" w:rsidRDefault="00200EBA" w:rsidP="00DC16C7">
      <w:pPr>
        <w:ind w:firstLine="709"/>
      </w:pPr>
      <w:r w:rsidRPr="009F43BF">
        <w:lastRenderedPageBreak/>
        <w:t xml:space="preserve">Влияние на сердечно-сосудистую систему изучалось при введении ленватиниба в дозах 6 и 30 мг/кг однократно через желудочный зонд собакам (3 самки, 3 самца). Было выяснено, что у самцов собак </w:t>
      </w:r>
      <w:bookmarkStart w:id="77" w:name="_Hlk118313079"/>
      <w:r w:rsidR="00016AD7">
        <w:t>частота сердечных сокращений (</w:t>
      </w:r>
      <w:r w:rsidRPr="009F43BF">
        <w:t>ЧСС</w:t>
      </w:r>
      <w:bookmarkEnd w:id="77"/>
      <w:r w:rsidR="00016AD7">
        <w:t>)</w:t>
      </w:r>
      <w:r w:rsidRPr="009F43BF">
        <w:t xml:space="preserve"> снизилась на 23% через 4 часа после введения дозы 6 мг/кг по сравнению с контролем. </w:t>
      </w:r>
      <w:r w:rsidR="00016AD7">
        <w:t>Артериальное давление (</w:t>
      </w:r>
      <w:r w:rsidRPr="009F43BF">
        <w:t>АД</w:t>
      </w:r>
      <w:r w:rsidR="00016AD7">
        <w:t>)</w:t>
      </w:r>
      <w:r w:rsidRPr="009F43BF">
        <w:t xml:space="preserve"> у самцов увеличилось на 29% и 23% через 2 часа после введения 6 и 30 мг/кг</w:t>
      </w:r>
      <w:r w:rsidR="00EB55CB">
        <w:t>,</w:t>
      </w:r>
      <w:r w:rsidRPr="009F43BF">
        <w:t xml:space="preserve"> соответственно</w:t>
      </w:r>
      <w:r w:rsidR="00EB55CB">
        <w:t>,</w:t>
      </w:r>
      <w:r w:rsidRPr="009F43BF">
        <w:t xml:space="preserve"> по сравнению с контролем. </w:t>
      </w:r>
      <w:r w:rsidR="0004606D">
        <w:t xml:space="preserve">При оценке </w:t>
      </w:r>
      <w:bookmarkStart w:id="78" w:name="_Hlk119269930"/>
      <w:r w:rsidR="0004606D">
        <w:t xml:space="preserve">электрокардиограммы (ЭКГ) </w:t>
      </w:r>
      <w:bookmarkEnd w:id="78"/>
      <w:r w:rsidR="0004606D">
        <w:t>п</w:t>
      </w:r>
      <w:r w:rsidRPr="009F43BF">
        <w:t>родолжительность QRS у самцов собак уменьшилась на 13% и 11% через 1 и 4 часа после введения дозы 30 мг/кг по сравнению с контролем.</w:t>
      </w:r>
    </w:p>
    <w:p w14:paraId="0A048733" w14:textId="77777777" w:rsidR="00200EBA" w:rsidRPr="009F43BF" w:rsidRDefault="00200EBA" w:rsidP="00DC16C7">
      <w:pPr>
        <w:ind w:firstLine="709"/>
      </w:pPr>
      <w:r w:rsidRPr="009F43BF">
        <w:t xml:space="preserve">Ленватиниб оценивался в токсикологических исследованиях при многократном введении у крыс </w:t>
      </w:r>
      <w:r w:rsidRPr="0005153E">
        <w:rPr>
          <w:iCs/>
        </w:rPr>
        <w:t>Sprague Dawley</w:t>
      </w:r>
      <w:r w:rsidRPr="009F43BF">
        <w:t xml:space="preserve"> (до 26 недель), у собак (до 4 недель), у яванских макак (до 39 недель).</w:t>
      </w:r>
    </w:p>
    <w:p w14:paraId="6AC358A9" w14:textId="61666177" w:rsidR="00200EBA" w:rsidRPr="009F43BF" w:rsidRDefault="00200EBA" w:rsidP="00DC16C7">
      <w:pPr>
        <w:ind w:firstLine="709"/>
      </w:pPr>
      <w:r w:rsidRPr="009F43BF">
        <w:t xml:space="preserve">Основными органами токсичности ленватиниба были </w:t>
      </w:r>
      <w:r w:rsidR="002659C2">
        <w:t>ЖКТ</w:t>
      </w:r>
      <w:r w:rsidRPr="009F43BF">
        <w:t xml:space="preserve"> (водянистый стул, снижение массы тела и потребления пищи, дегенерация медиальных артерий в желудке и слепой кишке), почк</w:t>
      </w:r>
      <w:r>
        <w:t>и</w:t>
      </w:r>
      <w:r w:rsidRPr="009F43BF">
        <w:t xml:space="preserve"> (гломерулопатия), печен</w:t>
      </w:r>
      <w:r>
        <w:t>ь</w:t>
      </w:r>
      <w:r w:rsidRPr="009F43BF">
        <w:t xml:space="preserve"> (повышение АЛТ и АСТ), желчн</w:t>
      </w:r>
      <w:r>
        <w:t>ый</w:t>
      </w:r>
      <w:r w:rsidRPr="009F43BF">
        <w:t xml:space="preserve"> пузыр</w:t>
      </w:r>
      <w:r>
        <w:t>ь</w:t>
      </w:r>
      <w:r w:rsidRPr="009F43BF">
        <w:t xml:space="preserve"> (артериальный фиброзный некроз), яичк</w:t>
      </w:r>
      <w:r>
        <w:t>и</w:t>
      </w:r>
      <w:r w:rsidRPr="009F43BF">
        <w:t>, головно</w:t>
      </w:r>
      <w:r>
        <w:t>й</w:t>
      </w:r>
      <w:r w:rsidRPr="009F43BF">
        <w:t xml:space="preserve"> мозг</w:t>
      </w:r>
      <w:r w:rsidR="008B5AFF">
        <w:t>,</w:t>
      </w:r>
      <w:r w:rsidRPr="009F43BF">
        <w:t xml:space="preserve"> селезенк</w:t>
      </w:r>
      <w:r w:rsidR="008B5AFF">
        <w:t>а</w:t>
      </w:r>
      <w:r w:rsidRPr="009F43BF">
        <w:t xml:space="preserve"> (лимфоидная атрофия) и надпочечник</w:t>
      </w:r>
      <w:r>
        <w:t>и</w:t>
      </w:r>
      <w:r w:rsidRPr="009F43BF">
        <w:t xml:space="preserve"> (корковая гипертрофия).</w:t>
      </w:r>
    </w:p>
    <w:p w14:paraId="632D40E1" w14:textId="4DDF3800" w:rsidR="00200EBA" w:rsidRPr="009F43BF" w:rsidRDefault="00200EBA" w:rsidP="00DC16C7">
      <w:pPr>
        <w:ind w:firstLine="709"/>
      </w:pPr>
      <w:r w:rsidRPr="009F43BF">
        <w:t xml:space="preserve">Ленватиниб не оказывал мутагенного действия в </w:t>
      </w:r>
      <w:r w:rsidR="00EB55CB">
        <w:t>тесте</w:t>
      </w:r>
      <w:r w:rsidR="00EB55CB" w:rsidRPr="009F43BF">
        <w:t xml:space="preserve"> </w:t>
      </w:r>
      <w:r w:rsidRPr="009F43BF">
        <w:t xml:space="preserve">Эймса </w:t>
      </w:r>
      <w:r w:rsidRPr="0039119F">
        <w:rPr>
          <w:i/>
          <w:iCs/>
        </w:rPr>
        <w:t>in vitro</w:t>
      </w:r>
      <w:r w:rsidRPr="009F43BF">
        <w:t xml:space="preserve"> и на мышах </w:t>
      </w:r>
      <w:r w:rsidRPr="0039119F">
        <w:rPr>
          <w:i/>
          <w:iCs/>
        </w:rPr>
        <w:t>in vitro</w:t>
      </w:r>
      <w:r w:rsidRPr="009F43BF">
        <w:t xml:space="preserve">. Ленватиниб был не кластогенным в микроядерном анализе костного мозга крыс </w:t>
      </w:r>
      <w:r w:rsidRPr="00423637">
        <w:rPr>
          <w:i/>
          <w:iCs/>
        </w:rPr>
        <w:t>in vivo</w:t>
      </w:r>
      <w:r w:rsidRPr="009F43BF">
        <w:t xml:space="preserve"> при уровнях доз до 2000 мг/кг. Хотя ленватиниб не был генотоксичен, </w:t>
      </w:r>
      <w:r w:rsidR="00EB55CB">
        <w:t>для</w:t>
      </w:r>
      <w:r w:rsidR="00EB55CB" w:rsidRPr="009F43BF">
        <w:t xml:space="preserve"> </w:t>
      </w:r>
      <w:r w:rsidRPr="009F43BF">
        <w:t xml:space="preserve">5 из 14 примесей, протестированных </w:t>
      </w:r>
      <w:r w:rsidRPr="00C22830">
        <w:rPr>
          <w:i/>
          <w:iCs/>
        </w:rPr>
        <w:t>in vitro</w:t>
      </w:r>
      <w:r w:rsidRPr="009F43BF">
        <w:t xml:space="preserve"> </w:t>
      </w:r>
      <w:r w:rsidR="00EB55CB">
        <w:t>в тесте</w:t>
      </w:r>
      <w:r w:rsidR="00EB55CB" w:rsidRPr="009F43BF">
        <w:t xml:space="preserve"> Эймс</w:t>
      </w:r>
      <w:r w:rsidR="00EB55CB">
        <w:t>а</w:t>
      </w:r>
      <w:r w:rsidRPr="009F43BF">
        <w:t xml:space="preserve">, </w:t>
      </w:r>
      <w:r w:rsidR="00EB55CB">
        <w:t>был выявлен мутагенный потенциал</w:t>
      </w:r>
      <w:r w:rsidRPr="009F43BF">
        <w:t xml:space="preserve">. </w:t>
      </w:r>
    </w:p>
    <w:p w14:paraId="5A1EF0BF" w14:textId="77777777" w:rsidR="00200EBA" w:rsidRPr="009F43BF" w:rsidRDefault="00200EBA" w:rsidP="00DC16C7">
      <w:pPr>
        <w:tabs>
          <w:tab w:val="left" w:pos="851"/>
        </w:tabs>
        <w:ind w:firstLine="709"/>
      </w:pPr>
      <w:r w:rsidRPr="009F43BF">
        <w:t>Исследования фертильности/эмбрионального развития ленватиниба не проводились. Однако, результаты токсикокинетических исследований повторных доз позволяют предположить, что введение ленватиниба может ухудшить мужскую и женскую репродуктивную функцию и/или фертильность.</w:t>
      </w:r>
    </w:p>
    <w:p w14:paraId="7006B6A3" w14:textId="50513ABE" w:rsidR="00200EBA" w:rsidRPr="009F43BF" w:rsidRDefault="00EB55CB" w:rsidP="00DC16C7">
      <w:pPr>
        <w:ind w:firstLine="709"/>
      </w:pPr>
      <w:r>
        <w:t>В</w:t>
      </w:r>
      <w:r w:rsidR="00200EBA" w:rsidRPr="009F43BF">
        <w:t xml:space="preserve"> токсикокинетических исследованиях у крыс отмечалась фолликулярная атрезия яичников, гипоцеллюлярность семенного эпителия в семенниках в дозах, в 9–39 раз превышающие дозы, рекомендуемые для человека (24 мг). </w:t>
      </w:r>
    </w:p>
    <w:p w14:paraId="4C997098" w14:textId="0365CF9A" w:rsidR="00200EBA" w:rsidRPr="009F43BF" w:rsidRDefault="00200EBA" w:rsidP="00DC16C7">
      <w:pPr>
        <w:ind w:firstLine="709"/>
      </w:pPr>
      <w:r w:rsidRPr="009F43BF">
        <w:t xml:space="preserve">При токсикокинетических исследованиях у обезьян отмечалась фолликулярная атрезия яичников и снижение частоты менструаций </w:t>
      </w:r>
      <w:r w:rsidR="00DC16C7">
        <w:t>при</w:t>
      </w:r>
      <w:r w:rsidRPr="009F43BF">
        <w:t xml:space="preserve"> </w:t>
      </w:r>
      <w:r w:rsidR="00D86828" w:rsidRPr="009F43BF">
        <w:t>экспозици</w:t>
      </w:r>
      <w:r w:rsidR="00D86828">
        <w:t>и</w:t>
      </w:r>
      <w:r w:rsidR="00D86828" w:rsidRPr="009F43BF">
        <w:t xml:space="preserve"> </w:t>
      </w:r>
      <w:r w:rsidRPr="009F43BF">
        <w:t>ленватиниба примерно в 0,2–1 раза превыша</w:t>
      </w:r>
      <w:r w:rsidR="00DC16C7">
        <w:t>вшей</w:t>
      </w:r>
      <w:r w:rsidRPr="009F43BF">
        <w:t xml:space="preserve"> клиническую экспозицию в рекомендованной дозе для человека. Гипоклеточность семенного эпителия в семенниках наблюдалось у обезьян при </w:t>
      </w:r>
      <w:r w:rsidR="008A676A">
        <w:t>экспозиции</w:t>
      </w:r>
      <w:r w:rsidRPr="009F43BF">
        <w:t xml:space="preserve"> ленватиниба примерно в 4</w:t>
      </w:r>
      <w:r w:rsidR="00731FA3" w:rsidRPr="009F43BF">
        <w:t>–</w:t>
      </w:r>
      <w:r w:rsidRPr="009F43BF">
        <w:t xml:space="preserve">19 раз </w:t>
      </w:r>
      <w:r w:rsidR="008A676A">
        <w:t>выше</w:t>
      </w:r>
      <w:r w:rsidRPr="009F43BF">
        <w:t xml:space="preserve">, чем </w:t>
      </w:r>
      <w:r w:rsidR="008A676A">
        <w:t xml:space="preserve">экспозиция </w:t>
      </w:r>
      <w:r w:rsidRPr="009F43BF">
        <w:t xml:space="preserve">в рекомендуемой дозе для человека. </w:t>
      </w:r>
    </w:p>
    <w:p w14:paraId="358147EB" w14:textId="4FFFBD58" w:rsidR="00200EBA" w:rsidRPr="00944B59" w:rsidRDefault="00EB55CB" w:rsidP="00E348B2">
      <w:pPr>
        <w:ind w:firstLine="709"/>
      </w:pPr>
      <w:r>
        <w:t>В</w:t>
      </w:r>
      <w:r w:rsidRPr="00944B59">
        <w:t xml:space="preserve"> </w:t>
      </w:r>
      <w:r w:rsidR="00200EBA" w:rsidRPr="00944B59">
        <w:rPr>
          <w:bCs/>
        </w:rPr>
        <w:t>токсикокинетических</w:t>
      </w:r>
      <w:r w:rsidR="00200EBA" w:rsidRPr="00944B59">
        <w:t xml:space="preserve"> исследованиях у собак отмечались гипоцеллюлярность семенного эпителия в яичках и </w:t>
      </w:r>
      <w:r w:rsidR="00202E76">
        <w:t>десквамация</w:t>
      </w:r>
      <w:r w:rsidR="00200EBA" w:rsidRPr="00944B59">
        <w:t xml:space="preserve"> клеток семенного эпителия в придатках яичка при </w:t>
      </w:r>
      <w:r w:rsidR="008A676A">
        <w:t>экспозиции</w:t>
      </w:r>
      <w:r w:rsidR="00200EBA" w:rsidRPr="00944B59">
        <w:t xml:space="preserve"> ленватиниба примерно от 0,02 до 0,09 раз </w:t>
      </w:r>
      <w:r w:rsidR="00797301" w:rsidRPr="00944B59">
        <w:t>превыша</w:t>
      </w:r>
      <w:r w:rsidR="008A676A">
        <w:t>вш</w:t>
      </w:r>
      <w:r w:rsidR="00797301" w:rsidRPr="00944B59">
        <w:t xml:space="preserve">ей </w:t>
      </w:r>
      <w:r w:rsidR="00200EBA" w:rsidRPr="00944B59">
        <w:t>клиническую экспозицию при рекомендуемой дозе для человека.</w:t>
      </w:r>
    </w:p>
    <w:p w14:paraId="3BB0CDE6" w14:textId="1DA7F20D" w:rsidR="00200EBA" w:rsidRPr="00944B59" w:rsidRDefault="00200EBA" w:rsidP="00E348B2">
      <w:pPr>
        <w:ind w:firstLine="709"/>
      </w:pPr>
      <w:r w:rsidRPr="00944B59">
        <w:t xml:space="preserve">В исследовании на беременных крысах были изучены токсикокинетические показатели проницаемости плацентарного барьера и оценена способность проникновения ленватиниба в молоко лактирующих крыс. Хотя ленватиниб преодолел плацентарный барьер, процентное распределение радиоактивности </w:t>
      </w:r>
      <w:r w:rsidR="00E348B2">
        <w:t>в</w:t>
      </w:r>
      <w:r w:rsidRPr="00944B59">
        <w:t xml:space="preserve"> каждый плод составляло ≤ 0,02% от </w:t>
      </w:r>
      <w:r w:rsidR="00EB55CB">
        <w:t>введенной дозы</w:t>
      </w:r>
      <w:r w:rsidR="00EB55CB" w:rsidRPr="00944B59">
        <w:t xml:space="preserve"> </w:t>
      </w:r>
      <w:r w:rsidRPr="00944B59">
        <w:t>радиоактивности, что свидетельствует об относительно низкой плацентарной передаче ленватиниба плоду.</w:t>
      </w:r>
    </w:p>
    <w:p w14:paraId="08D7CDFE" w14:textId="6BE19A2D" w:rsidR="00200EBA" w:rsidRPr="009F43BF" w:rsidRDefault="00200EBA" w:rsidP="00E348B2">
      <w:pPr>
        <w:ind w:firstLine="709"/>
      </w:pPr>
      <w:r w:rsidRPr="00944B59">
        <w:t xml:space="preserve">В исследовании на крысах была изучена </w:t>
      </w:r>
      <w:r w:rsidR="00E348B2">
        <w:rPr>
          <w:bCs/>
        </w:rPr>
        <w:t>эмбрио</w:t>
      </w:r>
      <w:r w:rsidRPr="00944B59">
        <w:rPr>
          <w:bCs/>
        </w:rPr>
        <w:t>фетальная токсичность</w:t>
      </w:r>
      <w:r w:rsidR="00EB55CB">
        <w:rPr>
          <w:bCs/>
        </w:rPr>
        <w:t>.</w:t>
      </w:r>
      <w:r w:rsidRPr="00944B59">
        <w:t xml:space="preserve"> Исследование эмбриофетального развития, проведенное на крысах, показало, что ленватиниб эмбриотоксичен, фетотоксичен и обладает тератогенным потенциалом. В группе ленватиниба постимплантационные потери составляли 82,2</w:t>
      </w:r>
      <w:r w:rsidRPr="009F43BF">
        <w:t xml:space="preserve">% по сравнению с контрольной группой (3,8%) из-за ранней резорбции плода, что приводило к статистически </w:t>
      </w:r>
      <w:r w:rsidRPr="009F43BF">
        <w:lastRenderedPageBreak/>
        <w:t xml:space="preserve">значимому снижению среднего числа живых плодов в помете и количества самок с живыми плодами. </w:t>
      </w:r>
    </w:p>
    <w:p w14:paraId="5A065028" w14:textId="6FDBA756" w:rsidR="00200EBA" w:rsidRPr="009F43BF" w:rsidRDefault="00200EBA" w:rsidP="00E348B2">
      <w:pPr>
        <w:ind w:firstLine="709"/>
      </w:pPr>
      <w:r>
        <w:t>Введение</w:t>
      </w:r>
      <w:r w:rsidRPr="009F43BF">
        <w:t xml:space="preserve"> ленватиниб</w:t>
      </w:r>
      <w:r>
        <w:t>а</w:t>
      </w:r>
      <w:r w:rsidRPr="009F43BF">
        <w:t xml:space="preserve"> приводило к статистически значимому дозозависимому увеличению количеств</w:t>
      </w:r>
      <w:r w:rsidR="0005153E">
        <w:t>а</w:t>
      </w:r>
      <w:r w:rsidRPr="009F43BF">
        <w:t xml:space="preserve"> плодов с внешними аномалиями и скелетными аномалиями по сравнению с контролем </w:t>
      </w:r>
      <w:r w:rsidR="0005153E">
        <w:t>в</w:t>
      </w:r>
      <w:r w:rsidRPr="009F43BF">
        <w:t xml:space="preserve"> исследовании у крыс и </w:t>
      </w:r>
      <w:r w:rsidR="008A6B35" w:rsidRPr="009F43BF">
        <w:t>кролик</w:t>
      </w:r>
      <w:r w:rsidR="008A6B35">
        <w:t>ов</w:t>
      </w:r>
      <w:r w:rsidRPr="009F43BF">
        <w:t>. Внешние аномалии плода наблюдались при уровнях доз ≥0,3 мг/кг (1,8 мг/м</w:t>
      </w:r>
      <w:r w:rsidRPr="00C22830">
        <w:rPr>
          <w:vertAlign w:val="superscript"/>
        </w:rPr>
        <w:t>2</w:t>
      </w:r>
      <w:r w:rsidRPr="009F43BF">
        <w:t>). Аномалии плодов включали дозозависимый париетальный отек, криптофтальмию, отсутствующие или аномальные хвосты.</w:t>
      </w:r>
    </w:p>
    <w:p w14:paraId="3F3DE1ED" w14:textId="33C757F4" w:rsidR="00200EBA" w:rsidRPr="00944B59" w:rsidRDefault="00200EBA" w:rsidP="00E348B2">
      <w:pPr>
        <w:ind w:firstLine="709"/>
      </w:pPr>
      <w:r w:rsidRPr="009F43BF">
        <w:t>При оценке постнатальной токсичности выяснено, что органы-мишени токсичности, вызванн</w:t>
      </w:r>
      <w:r w:rsidR="00E348B2">
        <w:t>ой</w:t>
      </w:r>
      <w:r w:rsidRPr="009F43BF">
        <w:t xml:space="preserve"> ленватинибом, в целом аналогичн</w:t>
      </w:r>
      <w:r w:rsidR="00E348B2">
        <w:t>ы</w:t>
      </w:r>
      <w:r w:rsidRPr="009F43BF">
        <w:t xml:space="preserve"> </w:t>
      </w:r>
      <w:r w:rsidR="00E348B2">
        <w:t>таковым</w:t>
      </w:r>
      <w:r w:rsidRPr="009F43BF">
        <w:t xml:space="preserve"> у взрослых крыс и включали резцы, бедренную кость, большеберцовую кость, грудину, бедренный и грудинный костный мозг, почки, ЖКТ, надпочечники, печень, общий желчный проток, сердце, вилочковую железу, селезенку, поджелудочную железу. Дополнительные органы-мишени для ленватиниба у молодых крыс включали большеберцовую кость и легкие. При дозе 10 мг/кг отмечались тромбоз, инфаркт миокарда, гипертрофия </w:t>
      </w:r>
      <w:r w:rsidRPr="00944B59">
        <w:t xml:space="preserve">сердца и альвеолярные кровоизлияния в легких, что, возможно, связано </w:t>
      </w:r>
      <w:r w:rsidR="008A6B35" w:rsidRPr="00944B59">
        <w:t xml:space="preserve">с </w:t>
      </w:r>
      <w:r w:rsidRPr="00944B59">
        <w:t>ингибированием VEGF.</w:t>
      </w:r>
    </w:p>
    <w:p w14:paraId="4411214E" w14:textId="353B7AFF" w:rsidR="00200EBA" w:rsidRPr="00944B59" w:rsidRDefault="00200EBA" w:rsidP="00E348B2">
      <w:pPr>
        <w:ind w:firstLine="709"/>
      </w:pPr>
      <w:r w:rsidRPr="00944B59">
        <w:rPr>
          <w:bCs/>
        </w:rPr>
        <w:t>Токсикокинетические исследования</w:t>
      </w:r>
      <w:r w:rsidRPr="00944B59">
        <w:t xml:space="preserve"> повторных доз ленватиниба у самцов и самок крыс, собак и обезьян, получавши</w:t>
      </w:r>
      <w:r w:rsidR="008B5AFF">
        <w:t>х</w:t>
      </w:r>
      <w:r w:rsidRPr="00944B59">
        <w:t xml:space="preserve"> пероральные дозы один раз в день в течение 26, 4 и 39 недель</w:t>
      </w:r>
      <w:r w:rsidR="00EC2949">
        <w:t>,</w:t>
      </w:r>
      <w:r w:rsidRPr="00944B59">
        <w:t xml:space="preserve"> соответственно, не выявили системного накопления ленватиниба. Системное воздействие на самцов и самок был</w:t>
      </w:r>
      <w:r w:rsidR="0005153E">
        <w:t>о</w:t>
      </w:r>
      <w:r w:rsidRPr="00944B59">
        <w:t xml:space="preserve"> в целом сопоставим</w:t>
      </w:r>
      <w:r w:rsidR="0005153E">
        <w:t>о</w:t>
      </w:r>
      <w:r w:rsidRPr="00944B59">
        <w:t xml:space="preserve"> у всех изученных видов животных. У собак при дозах &lt;30 мг/кг системная экспозиция обычно увеличивалась пропорционально дозе. Системное воздействие увеличилось менее чем пропорционально дозе при более высоких уровнях дозы у крыс (&gt; 10 мг/кг). У обезьян системное воздействие увеличивалось более чем пропорционально дозе при низких уровнях дозы (0,1–3 мг/кг). В о</w:t>
      </w:r>
      <w:r w:rsidR="0005153E">
        <w:t>тличие от крыс и обезьян</w:t>
      </w:r>
      <w:r w:rsidRPr="00944B59">
        <w:t xml:space="preserve">, системное воздействие </w:t>
      </w:r>
      <w:r w:rsidR="0005153E">
        <w:t>у</w:t>
      </w:r>
      <w:r w:rsidRPr="00944B59">
        <w:t xml:space="preserve"> человека увеличивалось пропорционально дозе.</w:t>
      </w:r>
    </w:p>
    <w:p w14:paraId="60378FDD" w14:textId="3A8DA0D3" w:rsidR="00200EBA" w:rsidRPr="009F43BF" w:rsidRDefault="00200EBA" w:rsidP="00E348B2">
      <w:pPr>
        <w:ind w:firstLine="709"/>
      </w:pPr>
      <w:r w:rsidRPr="00944B59">
        <w:t xml:space="preserve">Было рассчитано, что </w:t>
      </w:r>
      <w:bookmarkStart w:id="79" w:name="_Hlk118313150"/>
      <w:r w:rsidR="007E7339" w:rsidRPr="00944B59">
        <w:rPr>
          <w:lang w:val="en-US"/>
        </w:rPr>
        <w:t>c</w:t>
      </w:r>
      <w:r w:rsidR="007E7339" w:rsidRPr="00944B59">
        <w:t>редний фотоэффект (</w:t>
      </w:r>
      <w:r w:rsidRPr="00944B59">
        <w:t>MPE</w:t>
      </w:r>
      <w:r w:rsidR="007E7339" w:rsidRPr="00944B59">
        <w:t>)</w:t>
      </w:r>
      <w:r w:rsidRPr="00944B59">
        <w:t xml:space="preserve"> для ленватиниба </w:t>
      </w:r>
      <w:bookmarkEnd w:id="79"/>
      <w:r w:rsidRPr="00944B59">
        <w:t>составляет -0,024, что указывает на отсутствие</w:t>
      </w:r>
      <w:r w:rsidRPr="009F43BF">
        <w:t xml:space="preserve"> фототоксичности (MPE &lt;0,1).</w:t>
      </w:r>
    </w:p>
    <w:p w14:paraId="4E970C04" w14:textId="77777777" w:rsidR="00200EBA" w:rsidRDefault="00200EBA" w:rsidP="00200EBA">
      <w:pPr>
        <w:pStyle w:val="2"/>
        <w:tabs>
          <w:tab w:val="left" w:pos="284"/>
          <w:tab w:val="left" w:pos="567"/>
        </w:tabs>
        <w:spacing w:line="240" w:lineRule="auto"/>
        <w:rPr>
          <w:color w:val="000000" w:themeColor="text1"/>
        </w:rPr>
      </w:pPr>
      <w:bookmarkStart w:id="80" w:name="_Toc126059710"/>
      <w:bookmarkEnd w:id="72"/>
      <w:r w:rsidRPr="005E6358">
        <w:rPr>
          <w:color w:val="000000" w:themeColor="text1"/>
        </w:rPr>
        <w:t>3.1 Доклиническая фармакология</w:t>
      </w:r>
      <w:bookmarkEnd w:id="80"/>
    </w:p>
    <w:p w14:paraId="13B4E387" w14:textId="77777777" w:rsidR="00200EBA" w:rsidRDefault="00200EBA" w:rsidP="00200EBA">
      <w:pPr>
        <w:pStyle w:val="3"/>
        <w:spacing w:after="240"/>
        <w:rPr>
          <w:rFonts w:ascii="Times New Roman" w:hAnsi="Times New Roman"/>
          <w:color w:val="000000" w:themeColor="text1"/>
          <w:szCs w:val="24"/>
        </w:rPr>
      </w:pPr>
      <w:bookmarkStart w:id="81" w:name="_Toc126059711"/>
      <w:r w:rsidRPr="005E6358">
        <w:rPr>
          <w:rFonts w:ascii="Times New Roman" w:hAnsi="Times New Roman"/>
          <w:color w:val="000000" w:themeColor="text1"/>
          <w:szCs w:val="24"/>
        </w:rPr>
        <w:t>3.1.1.</w:t>
      </w:r>
      <w:r>
        <w:rPr>
          <w:rFonts w:ascii="Times New Roman" w:hAnsi="Times New Roman"/>
          <w:color w:val="000000" w:themeColor="text1"/>
          <w:szCs w:val="24"/>
        </w:rPr>
        <w:t xml:space="preserve"> </w:t>
      </w:r>
      <w:r w:rsidRPr="005E6358">
        <w:rPr>
          <w:rFonts w:ascii="Times New Roman" w:hAnsi="Times New Roman"/>
          <w:color w:val="000000" w:themeColor="text1"/>
          <w:szCs w:val="24"/>
        </w:rPr>
        <w:t>Механизм действия</w:t>
      </w:r>
      <w:bookmarkEnd w:id="81"/>
    </w:p>
    <w:p w14:paraId="1D895F01" w14:textId="455FB43E" w:rsidR="00200EBA" w:rsidRDefault="00200EBA" w:rsidP="00200EBA">
      <w:pPr>
        <w:autoSpaceDE w:val="0"/>
        <w:autoSpaceDN w:val="0"/>
        <w:adjustRightInd w:val="0"/>
        <w:ind w:firstLine="708"/>
      </w:pPr>
      <w:r>
        <w:t xml:space="preserve">Ленватиниб является таргетным противоопухолевым средством, принадлежащим к семейству </w:t>
      </w:r>
      <w:r w:rsidRPr="005A5CE8">
        <w:rPr>
          <w:color w:val="000000" w:themeColor="text1"/>
        </w:rPr>
        <w:t>тирозинкиназных рецепторов</w:t>
      </w:r>
      <w:r>
        <w:t xml:space="preserve">, которые избирательно ингибируют киназную активность эндотелия сосудов </w:t>
      </w:r>
      <w:r w:rsidRPr="005A5CE8">
        <w:rPr>
          <w:color w:val="000000" w:themeColor="text1"/>
        </w:rPr>
        <w:t xml:space="preserve">VEGF- </w:t>
      </w:r>
      <w:r w:rsidRPr="005A5CE8">
        <w:rPr>
          <w:color w:val="000000" w:themeColor="text1"/>
          <w:lang w:val="en-US"/>
        </w:rPr>
        <w:t>VEGFR</w:t>
      </w:r>
      <w:r w:rsidRPr="005A5CE8">
        <w:rPr>
          <w:color w:val="000000" w:themeColor="text1"/>
        </w:rPr>
        <w:t>1 (</w:t>
      </w:r>
      <w:r w:rsidRPr="005A5CE8">
        <w:rPr>
          <w:color w:val="000000" w:themeColor="text1"/>
          <w:lang w:val="en-US"/>
        </w:rPr>
        <w:t>FLT</w:t>
      </w:r>
      <w:r w:rsidRPr="005A5CE8">
        <w:rPr>
          <w:color w:val="000000" w:themeColor="text1"/>
        </w:rPr>
        <w:t xml:space="preserve">1), </w:t>
      </w:r>
      <w:r w:rsidRPr="005A5CE8">
        <w:rPr>
          <w:color w:val="000000" w:themeColor="text1"/>
          <w:lang w:val="en-US"/>
        </w:rPr>
        <w:t>VEGFR</w:t>
      </w:r>
      <w:r w:rsidRPr="005A5CE8">
        <w:rPr>
          <w:color w:val="000000" w:themeColor="text1"/>
        </w:rPr>
        <w:t>2 (</w:t>
      </w:r>
      <w:r w:rsidRPr="005A5CE8">
        <w:rPr>
          <w:color w:val="000000" w:themeColor="text1"/>
          <w:lang w:val="en-US"/>
        </w:rPr>
        <w:t>KDR</w:t>
      </w:r>
      <w:r w:rsidRPr="005A5CE8">
        <w:rPr>
          <w:color w:val="000000" w:themeColor="text1"/>
        </w:rPr>
        <w:t xml:space="preserve">) и </w:t>
      </w:r>
      <w:r w:rsidRPr="005A5CE8">
        <w:rPr>
          <w:color w:val="000000" w:themeColor="text1"/>
          <w:lang w:val="en-US"/>
        </w:rPr>
        <w:t>VEGFR</w:t>
      </w:r>
      <w:r w:rsidRPr="005A5CE8">
        <w:rPr>
          <w:color w:val="000000" w:themeColor="text1"/>
        </w:rPr>
        <w:t>3 (</w:t>
      </w:r>
      <w:r w:rsidRPr="005A5CE8">
        <w:rPr>
          <w:color w:val="000000" w:themeColor="text1"/>
          <w:lang w:val="en-US"/>
        </w:rPr>
        <w:t>FLT</w:t>
      </w:r>
      <w:r w:rsidRPr="005A5CE8">
        <w:rPr>
          <w:color w:val="000000" w:themeColor="text1"/>
        </w:rPr>
        <w:t xml:space="preserve">4). Также ленватиниб оказывает ингибирующее воздействие на другие тирозинкиназные рецепторы, </w:t>
      </w:r>
      <w:r>
        <w:rPr>
          <w:color w:val="000000" w:themeColor="text1"/>
        </w:rPr>
        <w:t>участвующие</w:t>
      </w:r>
      <w:r w:rsidRPr="005A5CE8">
        <w:rPr>
          <w:color w:val="000000" w:themeColor="text1"/>
        </w:rPr>
        <w:t xml:space="preserve"> в проангиогенных и онкогенных механизмах, включая рецепторы фактора роста фибробластов (FGFR1, 2, 3 и 4), альфа-рецептор тромбоцитарного фактора роста (PDGFRo), а также тирозинкиназные рецепторы KIT и RET.</w:t>
      </w:r>
      <w:r>
        <w:rPr>
          <w:color w:val="000000" w:themeColor="text1"/>
        </w:rPr>
        <w:t xml:space="preserve"> </w:t>
      </w:r>
      <w:r>
        <w:t xml:space="preserve">Кроме того, ленватиниб обладает селективной, прямой антипролиферативной активностью в отношении гепатоцеллюлярных клеток, что связано с ингибированием ленватинибом передачи сигналов FGFR. </w:t>
      </w:r>
    </w:p>
    <w:p w14:paraId="3A0E5C3E" w14:textId="326127B2" w:rsidR="00200EBA" w:rsidRDefault="00200EBA" w:rsidP="00200EBA">
      <w:pPr>
        <w:autoSpaceDE w:val="0"/>
        <w:autoSpaceDN w:val="0"/>
        <w:adjustRightInd w:val="0"/>
        <w:ind w:firstLine="708"/>
      </w:pPr>
      <w:r w:rsidRPr="000B6203">
        <w:t xml:space="preserve">Ангиогенез является </w:t>
      </w:r>
      <w:r>
        <w:t>составной</w:t>
      </w:r>
      <w:r w:rsidRPr="000B6203">
        <w:t xml:space="preserve"> </w:t>
      </w:r>
      <w:r>
        <w:t>частью</w:t>
      </w:r>
      <w:r w:rsidRPr="000B6203">
        <w:t xml:space="preserve"> в росте опухоли и метастазировании и в основном регулируется путем VEGF</w:t>
      </w:r>
      <w:r>
        <w:t xml:space="preserve">. </w:t>
      </w:r>
      <w:r w:rsidRPr="000B6203">
        <w:t xml:space="preserve">Опухолевой ангиогенез обеспечивает питательные вещества и кислород для опухолевых клеток, и, таким образом, </w:t>
      </w:r>
      <w:r w:rsidR="007F089D">
        <w:t>терапевтическое воздействие</w:t>
      </w:r>
      <w:r w:rsidR="007F089D" w:rsidRPr="000B6203">
        <w:t xml:space="preserve"> </w:t>
      </w:r>
      <w:r w:rsidRPr="000B6203">
        <w:t>на опосредованный VEGFR ангиогенез опухоли вызывает голодание и гипоксию, что приводит к серьезной задержке роста или гибели клеток в опухолях.</w:t>
      </w:r>
    </w:p>
    <w:p w14:paraId="53F576D0" w14:textId="48241305" w:rsidR="00200EBA" w:rsidRDefault="00200EBA" w:rsidP="00200EBA">
      <w:pPr>
        <w:autoSpaceDE w:val="0"/>
        <w:autoSpaceDN w:val="0"/>
        <w:adjustRightInd w:val="0"/>
        <w:ind w:firstLine="708"/>
      </w:pPr>
      <w:r w:rsidRPr="00D9225F">
        <w:lastRenderedPageBreak/>
        <w:t xml:space="preserve">Кроме того, ленватиниб подавляет различные виды рака, такие как </w:t>
      </w:r>
      <w:r w:rsidR="002D0908">
        <w:t>ПКР</w:t>
      </w:r>
      <w:r>
        <w:t xml:space="preserve"> </w:t>
      </w:r>
      <w:r>
        <w:fldChar w:fldCharType="begin"/>
      </w:r>
      <w:r>
        <w:instrText xml:space="preserve"> ADDIN ZOTERO_ITEM CSL_CITATION {"citationID":"gRqrUlCm","properties":{"formattedCitation":"[1]","plainCitation":"[1]","noteIndex":0},"citationItems":[{"id":2775,"uris":["http://zotero.org/users/5483459/items/3BFJPSKG"],"itemData":{"id":2775,"type":"article-journal","abstract":"The combination of lenvatinib, a multiple receptor tyrosine kinase inhibitor, plus everolimus, a mammalian target of rapamycin (mTOR) inhibitor, significantly improved clinical outcomes versus everolimus monotherapy in a phase II clinical study of metastatic renal cell carcinoma (RCC). We investigated potential mechanisms underlying the antitumor activity of the combination treatment in preclinical RCC models. Lenvatinib plus everolimus showed greater antitumor activity than either monotherapy in three human RCC xenograft mouse models (A-498, Caki-1, and Caki-2). In particular, the combination led to tumor regression in the A-498 and Caki-1 models. In the A-498 model, everolimus showed antiproliferative activity, whereas lenvatinib showed anti-angiogenic effects. The anti-angiogenic activity was potentiated by the lenvatinib plus everolimus combination in Caki-1 xenografts, in which fibroblast growth factor (FGF)-driven angiogenesis may contribute to tumor growth. The combination showed mostly additive activity in vascular endothelial growth factor (VEGF)-activated, and synergistic activity against FGF-activated endothelial cells, in cell proliferation and tube formation assays, as well as strongly suppressed mTOR-S6K-S6 signaling. Enhanced antitumor activities of the combination versus each monotherapy were also observed in mice bearing human pancreatic KP-1 xenografts overexpressing VEGF or FGF. Our results indicated that simultaneous targeting of tumor cell growth and angiogenesis by lenvatinib plus everolimus resulted in enhanced antitumor activity. The enhanced inhibition of both VEGF and FGF signaling pathways by the combination underlies its superior anti-angiogenic activity in human RCC xenograft models.","container-title":"Cancer Science","DOI":"10.1111/cas.13169","ISSN":"1349-7006","issue":"4","journalAbbreviation":"Cancer Sci","language":"eng","note":"PMID: 28107584\nPMCID: PMC5406533","page":"763-771","source":"PubMed","title":"Targeting of tumor growth and angiogenesis underlies the enhanced antitumor activity of lenvatinib in combination with everolimus","volume":"108","author":[{"family":"Matsuki","given":"Masahiro"},{"family":"Adachi","given":"Yusuke"},{"family":"Ozawa","given":"Yoichi"},{"family":"Kimura","given":"Takayuki"},{"family":"Hoshi","given":"Taisuke"},{"family":"Okamoto","given":"Kiyoshi"},{"family":"Tohyama","given":"Osamu"},{"family":"Mitsuhashi","given":"Kaoru"},{"family":"Yamaguchi","given":"Atsumi"},{"family":"Matsui","given":"Junji"},{"family":"Funahashi","given":"Yasuhiro"}],"issued":{"date-parts":[["2017",4]]}}}],"schema":"https://github.com/citation-style-language/schema/raw/master/csl-citation.json"} </w:instrText>
      </w:r>
      <w:r>
        <w:fldChar w:fldCharType="separate"/>
      </w:r>
      <w:r w:rsidRPr="00B21EDB">
        <w:t>[1]</w:t>
      </w:r>
      <w:r>
        <w:fldChar w:fldCharType="end"/>
      </w:r>
      <w:r w:rsidRPr="00D9225F">
        <w:t xml:space="preserve">, </w:t>
      </w:r>
      <w:r w:rsidR="002D0908">
        <w:t xml:space="preserve">РПЖ </w:t>
      </w:r>
      <w:r>
        <w:t xml:space="preserve"> </w:t>
      </w:r>
      <w:r>
        <w:fldChar w:fldCharType="begin"/>
      </w:r>
      <w:r>
        <w:instrText xml:space="preserve"> ADDIN ZOTERO_ITEM CSL_CITATION {"citationID":"2mAJ1vFr","properties":{"formattedCitation":"[2]","plainCitation":"[2]","noteIndex":0},"citationItems":[{"id":2765,"uris":["http://zotero.org/users/5483459/items/8N6A7WGU"],"itemData":{"id":2765,"type":"article-journal","abstract":"BACKGROUND: Lenvatinib is an oral inhibitor of multiple receptor tyrosine kinases (RTKs) targeting vascular endothelial growth factor receptor (VEGFR1-3), fibroblast growth factor receptor (FGFR1-4), platelet growth factor receptor α (PDGFR α), RET and KIT. Antiangiogenesis activity of lenvatinib in VEGF- and FGF-driven angiogenesis models in both in vitro and in vivo was determined. Roles of tumor vasculature (microvessel density (MVD) and pericyte coverage) as biomarkers for lenvatinib were also examined in this study.\nMETHOD: We evaluated antiangiogenesis activity of lenvatinib against VEGF- and FGF-driven proliferation and tube formation of HUVECs in vitro. Effects of lenvatinib on in vivo angiogenesis, which was enhanced by overexpressed VEGF or FGF in human pancreatic cancer KP-1 cells, were examined in the mouse dorsal air sac assay. We determined antitumor activity of lenvatinib in a broad panel of human tumor xenograft models to test if vascular score, which consisted of high MVD and low pericyte coverage, was associated with sensitivity to lenvatinib treatment. Vascular score was also analyzed using human tumor specimens with 18 different types of human primary tumors.\nRESULT: Lenvatinib inhibited VEGF- and FGF-driven proliferation and tube formation of HUVECs in vitro. In vivo angiogenesis induced by overexpressed VEGF (KP-1/VEGF transfectants) or FGF (KP-1/FGF transfectants) was significantly suppressed with oral treatments of lenvatinib. Lenvatinib showed significant antitumor activity in KP-1/VEGF and five 5 of 7 different types of human tumor xenograft models at between 1 to 100 mg/kg. We divided 19 human tumor xenograft models into lenvatinib-sensitive (tumor-shrinkage) and relatively resistant (slow-growth) subgroups based on sensitivity to lenvatinib treatments at 100 mg/kg. IHC analysis showed that vascular score was significantly higher in sensitive subgroup than relatively resistant subgroup (p &lt; 0.0004). Among 18 types of human primary tumors, kidney cancer had the highest MVD, while liver cancer had the lowest pericyte coverage, and cancers in Kidney and Stomach had highest vascular score.\nCONCLUSION: These results indicated that Lenvatinib inhibited VEGF- and FGF-driven angiogenesis and showed a broad spectrum of antitumor activity with a wide therapeutic window. MVD and pericyte-coverage of tumor vasculature might be biomarkers and suggest cases that would respond for lenvatinib therapy.","container-title":"Vascular Cell","DOI":"10.1186/2045-824X-6-18","ISSN":"2045-824X","journalAbbreviation":"Vasc Cell","language":"eng","note":"PMID: 25197551\nPMCID: PMC4156793","page":"18","source":"PubMed","title":"Lenvatinib, an angiogenesis inhibitor targeting VEGFR/FGFR, shows broad antitumor activity in human tumor xenograft models associated with microvessel density and pericyte coverage","volume":"6","author":[{"family":"Yamamoto","given":"Yuji"},{"family":"Matsui","given":"Junji"},{"family":"Matsushima","given":"Tomohiro"},{"family":"Obaishi","given":"Hiroshi"},{"family":"Miyazaki","given":"Kazuki"},{"family":"Nakamura","given":"Katsuji"},{"family":"Tohyama","given":"Osamu"},{"family":"Semba","given":"Taro"},{"family":"Yamaguchi","given":"Atsumi"},{"family":"Hoshi","given":"Sachi Suzuki"},{"family":"Mimura","given":"Fusayo"},{"family":"Haneda","given":"Toru"},{"family":"Fukuda","given":"Yoshio"},{"family":"Kamata","given":"Jun-Ichi"},{"family":"Takahashi","given":"Keiko"},{"family":"Matsukura","given":"Masayuki"},{"family":"Wakabayashi","given":"Toshiaki"},{"family":"Asada","given":"Makoto"},{"family":"Nomoto","given":"Ken-Ichi"},{"family":"Watanabe","given":"Tatsuo"},{"family":"Dezso","given":"Zoltan"},{"family":"Yoshimatsu","given":"Kentaro"},{"family":"Funahashi","given":"Yasuhiro"},{"family":"Tsuruoka","given":"Akihiko"}],"issued":{"date-parts":[["2014"]]}}}],"schema":"https://github.com/citation-style-language/schema/raw/master/csl-citation.json"} </w:instrText>
      </w:r>
      <w:r>
        <w:fldChar w:fldCharType="separate"/>
      </w:r>
      <w:r w:rsidRPr="00B21EDB">
        <w:t>[2]</w:t>
      </w:r>
      <w:r>
        <w:fldChar w:fldCharType="end"/>
      </w:r>
      <w:r w:rsidRPr="00D9225F">
        <w:t xml:space="preserve">, мелкоклеточный рак легкого </w:t>
      </w:r>
      <w:r>
        <w:fldChar w:fldCharType="begin"/>
      </w:r>
      <w:r>
        <w:instrText xml:space="preserve"> ADDIN ZOTERO_ITEM CSL_CITATION {"citationID":"OgR09pPr","properties":{"formattedCitation":"[3]","plainCitation":"[3]","noteIndex":0},"citationItems":[{"id":2768,"uris":["http://zotero.org/users/5483459/items/XBJEJW4L"],"itemData":{"id":2768,"type":"article-journal","abstract":"E7080 is an orally active inhibitor of multiple receptor tyrosine kinases including VEGF, FGF and SCF receptors. In this study, we show the inhibitory activity of E7080 against SCF-induced angiogenesis in vitro and tumor growth of SCF-producing human small cell lung carcinoma H146 cells in vivo. E7080 inhibits SCF-driven tube formation of HUVEC, which express SCF receptor, KIT at the IC(50) value of 5.2 nM and it was almost identical for VEGF-driven one (IC(50) = 5.1 nM). To assess the role of SCF/KIT signaling in tumor angiogenesis, we evaluated the effect of imatinib, a selective KIT kinase inhibitor, on tumor growth of H146 cells in nude mice. Imatinib did not show the potent antitumor activity in vitro (IC(50) = 2,200 nM), because H146 cells did not express KIT. However, oral administration of imatinib at 160 mg/kg clearly slowed tumor growth of H146 cells in nude mice, accompanied by decreased microvessel density. Oral administration of E7080 inhibited tumor growth of H146 cells at doses of 30 and 100 mg/kg in a dose-dependent manner and caused tumor regression at 100 mg/kg. While anti-VEGF antibody also slowed tumor growth, it did not cause tumor regression. These results indicate that KIT signaling has a role in tumor angiogenesis of SCF-producing H146 cells, and E7080 causes regression of H146 tumors as a result of antiangiogenic activity mediated by inhibition of both KIT and VEGF receptor signaling. E7080 may provide therapeutic benefits in the treatment of SCF-producing tumors.","container-title":"International Journal of Cancer","DOI":"10.1002/ijc.23131","ISSN":"1097-0215","issue":"3","journalAbbreviation":"Int J Cancer","language":"eng","note":"PMID: 17943726","page":"664-671","source":"PubMed","title":"E7080, a novel inhibitor that targets multiple kinases, has potent antitumor activities against stem cell factor producing human small cell lung cancer H146, based on angiogenesis inhibition","volume":"122","author":[{"family":"Matsui","given":"Junji"},{"family":"Yamamoto","given":"Yuji"},{"family":"Funahashi","given":"Yasuhiro"},{"family":"Tsuruoka","given":"Akihiko"},{"family":"Watanabe","given":"Tatsuo"},{"family":"Wakabayashi","given":"Toshiaki"},{"family":"Uenaka","given":"Toshimitsu"},{"family":"Asada","given":"Makoto"}],"issued":{"date-parts":[["2008",2,1]]}}}],"schema":"https://github.com/citation-style-language/schema/raw/master/csl-citation.json"} </w:instrText>
      </w:r>
      <w:r>
        <w:fldChar w:fldCharType="separate"/>
      </w:r>
      <w:r w:rsidRPr="00B21EDB">
        <w:t>[3]</w:t>
      </w:r>
      <w:r>
        <w:fldChar w:fldCharType="end"/>
      </w:r>
      <w:r w:rsidRPr="00D9225F">
        <w:t xml:space="preserve">, рак молочной железы </w:t>
      </w:r>
      <w:r>
        <w:fldChar w:fldCharType="begin"/>
      </w:r>
      <w:r>
        <w:instrText xml:space="preserve"> ADDIN ZOTERO_ITEM CSL_CITATION {"citationID":"ZRw1i6bi","properties":{"formattedCitation":"[4]","plainCitation":"[4]","noteIndex":0},"citationItems":[{"id":2770,"uris":["http://zotero.org/users/5483459/items/933BCTC5"],"itemData":{"id":2770,"type":"article-journal","abstract":"PURPOSE: Vascular endothelial growth factor (VEGF)-C/VEGF-receptor 3 (VEGF-R3) signal plays a significant role in lymphangiogenesis and tumor metastasis based on its effects on lymphatic vessels. However, little is known about the effect of inhibiting VEGF-R3 on lymphangiogenesis and lymph node metastases using a small-molecule kinase inhibitor.\nEXPERIMENTAL DESIGN: We evaluated the effect of E7080, a potent inhibitor of both VEGF-R2 and VEGF-R3 kinase, and bevacizumab on lymphangiogenesis and angiogenesis in a mammary fat pad xenograft model of human breast cancer using MDA-MB-231 cells that express excessive amounts of VEGF-C. Lymphangiogenesis was determined by lymphatic vessel density (LVD) and angiogenesis by microvessel density (MVD).\nRESULTS: In contrast to MDA-MB-435 cells, which expressed a similar amount of VEGF to MDA-MB-231 cells with an undetectable amount of VEGF-C, only MDA-MB-231 exhibited lymphangiogenesis in the primary tumor. E7080 but not bevacizumab significantly decreased LVD within the MDA-MB-231 tumor. E7080 and bevacizumab decreased MVD in both the MDA-MB-231 and MDA-MB-435 models. E7080 significantly suppressed regional lymph nodes and distant lung metastases of MDA-MB-231, whereas bevacizumab significantly inhibited only lung metastases. E7080 also decreased both MVD and LVD within the metastatic nodules at lymph nodes after resection of the primary tumor.\nCONCLUSIONS: Inhibition of VEGF-R3 kinase with E7080 effectively decreased LVD within MDA-MB-231 tumors, which express VEGF-C. Simultaneous inhibition of both VEGF-R2 and VEGF-R3 kinases by E7080 may be a promising new strategy to control regional lymph node and distant lung metastases.","container-title":"Clinical Cancer Research: An Official Journal of the American Association for Cancer Research","DOI":"10.1158/1078-0432.CCR-07-5270","ISSN":"1078-0432","issue":"17","journalAbbreviation":"Clin Cancer Res","language":"eng","note":"PMID: 18765537","page":"5459-5465","source":"PubMed","title":"Multi-kinase inhibitor E7080 suppresses lymph node and lung metastases of human mammary breast tumor MDA-MB-231 via inhibition of vascular endothelial growth factor-receptor (VEGF-R) 2 and VEGF-R3 kinase","volume":"14","author":[{"family":"Matsui","given":"Junji"},{"family":"Funahashi","given":"Yasuhiro"},{"family":"Uenaka","given":"Toshimitsu"},{"family":"Watanabe","given":"Tatsuo"},{"family":"Tsuruoka","given":"Akihiko"},{"family":"Asada","given":"Makoto"}],"issued":{"date-parts":[["2008",9,1]]}}}],"schema":"https://github.com/citation-style-language/schema/raw/master/csl-citation.json"} </w:instrText>
      </w:r>
      <w:r>
        <w:fldChar w:fldCharType="separate"/>
      </w:r>
      <w:r w:rsidRPr="00B21EDB">
        <w:t>[4]</w:t>
      </w:r>
      <w:r>
        <w:fldChar w:fldCharType="end"/>
      </w:r>
      <w:r w:rsidRPr="00D9225F">
        <w:t xml:space="preserve">, дифференцированный </w:t>
      </w:r>
      <w:r w:rsidR="002D0908">
        <w:t>РЩЖ</w:t>
      </w:r>
      <w:r w:rsidRPr="00D9225F">
        <w:t xml:space="preserve"> и анапластический </w:t>
      </w:r>
      <w:r w:rsidR="002D0908">
        <w:t>РЩЖ</w:t>
      </w:r>
      <w:r w:rsidRPr="00D9225F">
        <w:t xml:space="preserve"> </w:t>
      </w:r>
      <w:r>
        <w:fldChar w:fldCharType="begin"/>
      </w:r>
      <w:r>
        <w:instrText xml:space="preserve"> ADDIN ZOTERO_ITEM CSL_CITATION {"citationID":"6e36PQWn","properties":{"formattedCitation":"[5]","plainCitation":"[5]","noteIndex":0},"citationItems":[{"id":2772,"uris":["http://zotero.org/users/5483459/items/HYSRPEWN"],"itemData":{"id":2772,"type":"article-journal","abstract":"Context and objectiveWe have studied the antitumor activity of a novel cyclic amide, CLM94, with anti-vascular endothelial growth factor (VEGF) receptor-2 and antiangiogenic activity in primary anaplastic thyroid cancer (ATC) cells in vitro and in vivo.Design and main outcome measuresCLM94 was tested: 1) in two human cell lines (HMVEC-d, dermal microvascular endothelial cells; and 8305C, undifferentiated thyroid cancer) at 0.001-100 μm; 2) in ATC cells at the concentrations of 10, 30, and 50 μm; and 3) in an ATC cell line (AF) in CD nu/nu mice.ResultsCLM94 significantly inhibited VEGF receptor-2 and epidermal growth factor receptor phosphorylation in HMVEC-d and proliferation in HMVEC-d and 8305C cells. A significant reduction of proliferation with CLM94 in ATC cells (P ConclusionsThe antitumor and antiangiogenic activity of a new \"cyclic amide\" compound, CLM94, is very promising in ATC, opening the way to a future clinical evaluation.","container-title":"The Journal of clinical endocrinology and metabolism","DOI":"10.1210/jc.2011-1987","ISSN":"1945-7197","issue":"4","journalAbbreviation":"J Clin Endocrinol Metab","language":"eng","note":"PMID: 22278419","page":"E528-36","source":"Europe PMC","title":"CLM94, a novel cyclic amide with anti-VEGFR-2 and antiangiogenic properties, is active against primary anaplastic thyroid cancer in vitro and in vivo","volume":"97","author":[{"family":"Antonelli","given":"Alessandro"},{"family":"Bocci","given":"Guido"},{"family":"La Motta","given":"Concettina"},{"family":"Ferrari","given":"Silvia Martina"},{"family":"Fallahi","given":"Poupak"},{"family":"Ruffilli","given":"Ilaria"},{"family":"Di Domenicantonio","given":"Andrea"},{"family":"Fioravanti","given":"Anna"},{"family":"Sartini","given":"Stefania"},{"family":"Minuto","given":"Michele"},{"family":"Piaggi","given":"Simona"},{"family":"Corti","given":"Alessandro"},{"family":"Alì","given":"Greta"},{"family":"Di Desidero","given":"Teresa"},{"family":"Berti","given":"Piero"},{"family":"Fontanini","given":"Gabriella"},{"family":"Danesi","given":"Romano"},{"family":"Da Settimo","given":"Federico"},{"family":"Miccoli","given":"Paolo"}],"issued":{"date-parts":[["2012",4,1]]}}}],"schema":"https://github.com/citation-style-language/schema/raw/master/csl-citation.json"} </w:instrText>
      </w:r>
      <w:r>
        <w:fldChar w:fldCharType="separate"/>
      </w:r>
      <w:r w:rsidRPr="00B21EDB">
        <w:t>[5]</w:t>
      </w:r>
      <w:r>
        <w:fldChar w:fldCharType="end"/>
      </w:r>
      <w:r w:rsidRPr="00D9225F">
        <w:t xml:space="preserve">, блокируя путь VEGFR. </w:t>
      </w:r>
      <w:r>
        <w:t>Эти</w:t>
      </w:r>
      <w:r w:rsidRPr="00D9225F">
        <w:t xml:space="preserve"> данные указывают на то, что ленватиниб проявляет мощную антиангиогенную</w:t>
      </w:r>
      <w:r>
        <w:t xml:space="preserve"> активность</w:t>
      </w:r>
      <w:r w:rsidRPr="00D9225F">
        <w:t xml:space="preserve"> в различных доклинических моделях.</w:t>
      </w:r>
    </w:p>
    <w:p w14:paraId="0ADBDD90" w14:textId="77A29184" w:rsidR="00200EBA" w:rsidRPr="00A119AB" w:rsidRDefault="00200EBA" w:rsidP="00200EBA">
      <w:pPr>
        <w:autoSpaceDE w:val="0"/>
        <w:autoSpaceDN w:val="0"/>
        <w:adjustRightInd w:val="0"/>
        <w:ind w:firstLine="708"/>
      </w:pPr>
      <w:r>
        <w:t xml:space="preserve">В доклинических исследованиях отмечалась повышенная антиангиогенная и противоопухолевая активность при изучении комбинации ленватиниба и эверолимуса. </w:t>
      </w:r>
      <w:r w:rsidRPr="008F698B">
        <w:t xml:space="preserve">В сингенных моделях опухолей у мышей ленватиниб </w:t>
      </w:r>
      <w:r w:rsidR="007F089D">
        <w:t>снижал</w:t>
      </w:r>
      <w:r w:rsidR="007F089D" w:rsidRPr="008F698B">
        <w:t xml:space="preserve"> </w:t>
      </w:r>
      <w:r w:rsidRPr="008F698B">
        <w:t>популяцию макрофагов, ассоциированных с опухолью, увеличивал количество активированных цитотоксических Т-клеток</w:t>
      </w:r>
      <w:r>
        <w:t>, п</w:t>
      </w:r>
      <w:r w:rsidRPr="00A119AB">
        <w:t>ротивоопухоле</w:t>
      </w:r>
      <w:r w:rsidR="00A45E53">
        <w:t>вая</w:t>
      </w:r>
      <w:r w:rsidRPr="00A119AB">
        <w:t xml:space="preserve"> активность комбинации ленватиниба и анти-PD-1 моноклонального антитела </w:t>
      </w:r>
      <w:r>
        <w:t xml:space="preserve">была </w:t>
      </w:r>
      <w:r w:rsidRPr="00A119AB">
        <w:t xml:space="preserve">выше, чем </w:t>
      </w:r>
      <w:r w:rsidR="00A45E53">
        <w:t xml:space="preserve">активность </w:t>
      </w:r>
      <w:r w:rsidRPr="00A119AB">
        <w:t>монотерапи</w:t>
      </w:r>
      <w:r w:rsidR="00A45E53">
        <w:t>и</w:t>
      </w:r>
      <w:r w:rsidRPr="00A119AB">
        <w:t>.</w:t>
      </w:r>
    </w:p>
    <w:p w14:paraId="2FCF822E" w14:textId="77777777" w:rsidR="00200EBA" w:rsidRDefault="00200EBA" w:rsidP="00200EBA">
      <w:pPr>
        <w:autoSpaceDE w:val="0"/>
        <w:autoSpaceDN w:val="0"/>
        <w:adjustRightInd w:val="0"/>
        <w:ind w:firstLine="708"/>
        <w:rPr>
          <w:iCs/>
          <w:lang w:eastAsia="en-US"/>
        </w:rPr>
      </w:pPr>
      <w:bookmarkStart w:id="82" w:name="_Toc499821138"/>
      <w:bookmarkStart w:id="83" w:name="_Toc505020000"/>
      <w:r>
        <w:rPr>
          <w:iCs/>
          <w:lang w:eastAsia="en-US"/>
        </w:rPr>
        <w:t>П</w:t>
      </w:r>
      <w:r w:rsidRPr="00043808">
        <w:rPr>
          <w:iCs/>
          <w:lang w:eastAsia="en-US"/>
        </w:rPr>
        <w:t xml:space="preserve">ри артериальной гипертензии </w:t>
      </w:r>
      <w:r w:rsidRPr="008F698B">
        <w:t>ленватиниб</w:t>
      </w:r>
      <w:r>
        <w:t xml:space="preserve">, </w:t>
      </w:r>
      <w:r w:rsidRPr="00043808">
        <w:rPr>
          <w:iCs/>
          <w:lang w:eastAsia="en-US"/>
        </w:rPr>
        <w:t>предполо</w:t>
      </w:r>
      <w:r>
        <w:rPr>
          <w:iCs/>
          <w:lang w:eastAsia="en-US"/>
        </w:rPr>
        <w:t>ж</w:t>
      </w:r>
      <w:r w:rsidRPr="00043808">
        <w:rPr>
          <w:iCs/>
          <w:lang w:eastAsia="en-US"/>
        </w:rPr>
        <w:t>ительно</w:t>
      </w:r>
      <w:r>
        <w:rPr>
          <w:iCs/>
          <w:lang w:eastAsia="en-US"/>
        </w:rPr>
        <w:t>,</w:t>
      </w:r>
      <w:r w:rsidRPr="00043808">
        <w:rPr>
          <w:iCs/>
          <w:lang w:eastAsia="en-US"/>
        </w:rPr>
        <w:t xml:space="preserve"> ингибир</w:t>
      </w:r>
      <w:r>
        <w:rPr>
          <w:iCs/>
          <w:lang w:eastAsia="en-US"/>
        </w:rPr>
        <w:t>ует</w:t>
      </w:r>
      <w:r w:rsidRPr="00043808">
        <w:rPr>
          <w:iCs/>
          <w:lang w:eastAsia="en-US"/>
        </w:rPr>
        <w:t xml:space="preserve"> VEGFR2 в эндотелиальных клетках сосудов. Сходным образом,</w:t>
      </w:r>
      <w:r>
        <w:rPr>
          <w:iCs/>
          <w:lang w:eastAsia="en-US"/>
        </w:rPr>
        <w:t xml:space="preserve"> </w:t>
      </w:r>
      <w:r w:rsidRPr="00043808">
        <w:rPr>
          <w:iCs/>
          <w:lang w:eastAsia="en-US"/>
        </w:rPr>
        <w:t xml:space="preserve">хотя это и не изучалось напрямую, </w:t>
      </w:r>
      <w:r>
        <w:rPr>
          <w:iCs/>
          <w:lang w:eastAsia="en-US"/>
        </w:rPr>
        <w:t>предполагается</w:t>
      </w:r>
      <w:r w:rsidRPr="00043808">
        <w:rPr>
          <w:iCs/>
          <w:lang w:eastAsia="en-US"/>
        </w:rPr>
        <w:t xml:space="preserve">, что </w:t>
      </w:r>
      <w:r w:rsidRPr="008F698B">
        <w:t>ленватиниб</w:t>
      </w:r>
      <w:r>
        <w:t xml:space="preserve"> ингибирует </w:t>
      </w:r>
      <w:r w:rsidRPr="00043808">
        <w:rPr>
          <w:iCs/>
          <w:lang w:eastAsia="en-US"/>
        </w:rPr>
        <w:t xml:space="preserve">VEGFR1 и VEGFR2 в подоцитах </w:t>
      </w:r>
      <w:r>
        <w:rPr>
          <w:iCs/>
          <w:lang w:eastAsia="en-US"/>
        </w:rPr>
        <w:t xml:space="preserve">гломерулярных клубочков. </w:t>
      </w:r>
      <w:r w:rsidRPr="005814AA">
        <w:rPr>
          <w:iCs/>
          <w:lang w:eastAsia="en-US"/>
        </w:rPr>
        <w:t xml:space="preserve">Механизм действия при гипотиреозе до конца не </w:t>
      </w:r>
      <w:r>
        <w:rPr>
          <w:iCs/>
          <w:lang w:eastAsia="en-US"/>
        </w:rPr>
        <w:t xml:space="preserve">изучен </w:t>
      </w:r>
      <w:r>
        <w:rPr>
          <w:iCs/>
          <w:lang w:eastAsia="en-US"/>
        </w:rPr>
        <w:fldChar w:fldCharType="begin"/>
      </w:r>
      <w:r>
        <w:rPr>
          <w:iCs/>
          <w:lang w:eastAsia="en-US"/>
        </w:rPr>
        <w:instrText xml:space="preserve"> ADDIN ZOTERO_ITEM CSL_CITATION {"citationID":"qdmzhyIp","properties":{"formattedCitation":"[6\\uc0\\u8211{}8]","plainCitation":"[6–8]","noteIndex":0},"citationItems":[{"id":2745,"uris":["http://zotero.org/users/5483459/items/95XEZDWJ"],"itemData":{"id":2745,"type":"document","title":"European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Pr>
          <w:iCs/>
          <w:lang w:eastAsia="en-US"/>
        </w:rPr>
        <w:fldChar w:fldCharType="separate"/>
      </w:r>
      <w:r w:rsidRPr="00B21EDB">
        <w:t>[6–8]</w:t>
      </w:r>
      <w:r>
        <w:rPr>
          <w:iCs/>
          <w:lang w:eastAsia="en-US"/>
        </w:rPr>
        <w:fldChar w:fldCharType="end"/>
      </w:r>
      <w:r>
        <w:rPr>
          <w:iCs/>
          <w:lang w:eastAsia="en-US"/>
        </w:rPr>
        <w:t>.</w:t>
      </w:r>
    </w:p>
    <w:p w14:paraId="46C1E046" w14:textId="77777777" w:rsidR="00200EBA" w:rsidRDefault="00200EBA" w:rsidP="00200EBA">
      <w:pPr>
        <w:autoSpaceDE w:val="0"/>
        <w:autoSpaceDN w:val="0"/>
        <w:adjustRightInd w:val="0"/>
        <w:ind w:firstLine="708"/>
        <w:rPr>
          <w:iCs/>
          <w:lang w:eastAsia="en-US"/>
        </w:rPr>
      </w:pPr>
    </w:p>
    <w:p w14:paraId="16C5B4CD" w14:textId="77777777" w:rsidR="00200EBA" w:rsidRPr="00AD62F6" w:rsidRDefault="00200EBA" w:rsidP="00200EBA">
      <w:pPr>
        <w:autoSpaceDE w:val="0"/>
        <w:autoSpaceDN w:val="0"/>
        <w:adjustRightInd w:val="0"/>
        <w:rPr>
          <w:b/>
          <w:i/>
          <w:color w:val="000000" w:themeColor="text1"/>
        </w:rPr>
      </w:pPr>
      <w:r w:rsidRPr="005E6358">
        <w:rPr>
          <w:rFonts w:eastAsia="Times New Roman"/>
          <w:b/>
          <w:color w:val="000000" w:themeColor="text1"/>
          <w:lang w:eastAsia="en-US"/>
        </w:rPr>
        <w:t xml:space="preserve">3.1.2. </w:t>
      </w:r>
      <w:bookmarkEnd w:id="82"/>
      <w:bookmarkEnd w:id="83"/>
      <w:r>
        <w:rPr>
          <w:b/>
          <w:color w:val="000000" w:themeColor="text1"/>
        </w:rPr>
        <w:t>Первичная фармакодинамика</w:t>
      </w:r>
    </w:p>
    <w:p w14:paraId="39B5C802" w14:textId="77777777" w:rsidR="00200EBA" w:rsidRDefault="00200EBA" w:rsidP="00200EBA">
      <w:pPr>
        <w:pStyle w:val="4"/>
        <w:spacing w:after="240"/>
        <w:rPr>
          <w:rFonts w:ascii="Times New Roman" w:hAnsi="Times New Roman"/>
          <w:i/>
          <w:color w:val="000000" w:themeColor="text1"/>
          <w:sz w:val="24"/>
          <w:szCs w:val="24"/>
        </w:rPr>
      </w:pPr>
      <w:bookmarkStart w:id="84" w:name="_Hlk521883669"/>
      <w:bookmarkStart w:id="85" w:name="_Toc126059712"/>
      <w:r>
        <w:rPr>
          <w:rFonts w:ascii="Times New Roman" w:hAnsi="Times New Roman"/>
          <w:color w:val="000000" w:themeColor="text1"/>
          <w:sz w:val="24"/>
          <w:szCs w:val="24"/>
        </w:rPr>
        <w:t>3.1.2.1. Первичная ф</w:t>
      </w:r>
      <w:r w:rsidRPr="00AD62F6">
        <w:rPr>
          <w:rFonts w:ascii="Times New Roman" w:hAnsi="Times New Roman"/>
          <w:color w:val="000000" w:themeColor="text1"/>
          <w:sz w:val="24"/>
          <w:szCs w:val="24"/>
        </w:rPr>
        <w:t xml:space="preserve">армакодинамика </w:t>
      </w:r>
      <w:r w:rsidRPr="00AD62F6">
        <w:rPr>
          <w:rFonts w:ascii="Times New Roman" w:hAnsi="Times New Roman"/>
          <w:i/>
          <w:color w:val="000000" w:themeColor="text1"/>
          <w:sz w:val="24"/>
          <w:szCs w:val="24"/>
        </w:rPr>
        <w:t>in</w:t>
      </w:r>
      <w:r>
        <w:rPr>
          <w:rFonts w:ascii="Times New Roman" w:hAnsi="Times New Roman"/>
          <w:i/>
          <w:color w:val="000000" w:themeColor="text1"/>
          <w:sz w:val="24"/>
          <w:szCs w:val="24"/>
        </w:rPr>
        <w:t xml:space="preserve"> </w:t>
      </w:r>
      <w:r w:rsidRPr="00AD62F6">
        <w:rPr>
          <w:rFonts w:ascii="Times New Roman" w:hAnsi="Times New Roman"/>
          <w:i/>
          <w:color w:val="000000" w:themeColor="text1"/>
          <w:sz w:val="24"/>
          <w:szCs w:val="24"/>
        </w:rPr>
        <w:t>vitro</w:t>
      </w:r>
      <w:bookmarkEnd w:id="85"/>
    </w:p>
    <w:p w14:paraId="0DC6BCA9" w14:textId="6B2A288F" w:rsidR="00200EBA" w:rsidRPr="00AD22E0" w:rsidRDefault="00200EBA" w:rsidP="007F089D">
      <w:pPr>
        <w:ind w:firstLine="709"/>
      </w:pPr>
      <w:r w:rsidRPr="00536FEC">
        <w:t>Тирозинкиназы (ТК) являются ключевыми регуляторами клеточной функции и составляют большую и функционально разнообразную группу членов семейства, имеющих общий консервативный киназный домен. Добавляя фосфатную группу из АТФ к оста</w:t>
      </w:r>
      <w:r w:rsidR="00A45E53">
        <w:t>тку тирозина на своем субстрате</w:t>
      </w:r>
      <w:r w:rsidRPr="00536FEC">
        <w:t>(ах), ТК изменяют активность субстрата, локализацию и взаимодействие со многими другими белками</w:t>
      </w:r>
      <w:r w:rsidR="00ED584F">
        <w:t>.</w:t>
      </w:r>
      <w:r w:rsidRPr="00536FEC">
        <w:t xml:space="preserve"> Они тесно вовлечены во многие клеточные процессы, такие как ангиогенез и контроль клеточного цикла</w:t>
      </w:r>
      <w:r>
        <w:t xml:space="preserve"> </w:t>
      </w:r>
      <w:r>
        <w:fldChar w:fldCharType="begin"/>
      </w:r>
      <w:r>
        <w:instrText xml:space="preserve"> ADDIN ZOTERO_ITEM CSL_CITATION {"citationID":"kwNHoOfF","properties":{"formattedCitation":"[9,10]","plainCitation":"[9,10]","noteIndex":0},"citationItems":[{"id":2820,"uris":["http://zotero.org/users/5483459/items/TIDN32EX"],"itemData":{"id":2820,"type":"article-journal","abstract":"Cell division in mammalian cells is driven by protein kinases that regulate progression through the various phases of the cell cycle. Cyclin-dependent kinases (Cdks) regulate cell cycle commitment, DNA synthesis and the onset of mitosis. Kinases of the Aurora, Polo and Nek families participate in the centrosome cycle and modulate spindle function. Additional kinases such as Bub1, BubR1 and Mps1 regulate the spindle assembly checkpoint. It has been well established that misregulation of Cdks is one of the most frequent alterations in human cancer. Recent evidence indicates that mutations involving mitotic kinases are also linked to tumor development. These findings suggest novel strategies to use cell cycle kinases as targets for therapeutic intervention.","container-title":"Current Opinion in Genetics &amp; Development","DOI":"10.1016/j.gde.2006.12.008","ISSN":"0959-437X","issue":"1","journalAbbreviation":"Curr Opin Genet Dev","language":"eng","note":"PMID: 17208431","page":"60-65","source":"PubMed","title":"Cell cycle kinases in cancer","volume":"17","author":[{"family":"Malumbres","given":"Marcos"},{"family":"Barbacid","given":"Mariano"}],"issued":{"date-parts":[["2007",2]]}},"label":"page"},{"id":2818,"uris":["http://zotero.org/users/5483459/items/9E3QCISE"],"itemData":{"id":2818,"type":"article-journal","abstract":"Mitogen-activated protein (MAP) kinase kinase (MAPKK) activates MAP kinase in a signal transduction pathway that mediates cellular responses to growth and differentiation factors. Oncogenes such as ras, src, raf, and mos have been proposed to transform cells by prolonging the activated state of MAPKK and of components downstream in the signaling pathway. To test this hypothesis, constitutively active MAPKK mutants were designed that had basal activities up to 400 times greater than that of the unphosphorylated wild-type kinase. Expression of these mutants in mammalian cells activated AP-1-regulated transcription. The cells formed transformed foci, grew efficiently in soft agar, and were highly tumorigenic in nude mice. These findings indicate that constitutive activation of MAPKK is sufficient to promote cell transformation.","container-title":"Science (New York, N.Y.)","DOI":"10.1126/science.8052857","ISSN":"0036-8075","issue":"5174","journalAbbreviation":"Science","language":"eng","note":"PMID: 8052857","page":"966-970","source":"PubMed","title":"Transformation of mammalian cells by constitutively active MAP kinase kinase","volume":"265","author":[{"family":"Mansour","given":"S. J."},{"family":"Matten","given":"W. T."},{"family":"Hermann","given":"A. S."},{"family":"Candia","given":"J. M."},{"family":"Rong","given":"S."},{"family":"Fukasawa","given":"K."},{"family":"Vande Woude","given":"G. F."},{"family":"Ahn","given":"N. G."}],"issued":{"date-parts":[["1994",8,12]]}},"label":"page"}],"schema":"https://github.com/citation-style-language/schema/raw/master/csl-citation.json"} </w:instrText>
      </w:r>
      <w:r>
        <w:fldChar w:fldCharType="separate"/>
      </w:r>
      <w:r w:rsidRPr="0001535E">
        <w:t>[9,10]</w:t>
      </w:r>
      <w:r>
        <w:fldChar w:fldCharType="end"/>
      </w:r>
      <w:r>
        <w:t>.</w:t>
      </w:r>
    </w:p>
    <w:p w14:paraId="1C406142" w14:textId="365591C7" w:rsidR="00200EBA" w:rsidRPr="001F1A45" w:rsidRDefault="00200EBA" w:rsidP="007F089D">
      <w:pPr>
        <w:ind w:firstLine="709"/>
      </w:pPr>
      <w:r w:rsidRPr="001F1A45">
        <w:rPr>
          <w:lang w:val="en-US"/>
        </w:rPr>
        <w:t>VEGF</w:t>
      </w:r>
      <w:r w:rsidRPr="001F1A45">
        <w:t xml:space="preserve"> </w:t>
      </w:r>
      <w:r>
        <w:t>является</w:t>
      </w:r>
      <w:r w:rsidRPr="001F1A45">
        <w:t xml:space="preserve"> важнейши</w:t>
      </w:r>
      <w:r>
        <w:t>м</w:t>
      </w:r>
      <w:r w:rsidRPr="001F1A45">
        <w:t xml:space="preserve"> регулятор</w:t>
      </w:r>
      <w:r>
        <w:t>ом</w:t>
      </w:r>
      <w:r w:rsidRPr="001F1A45">
        <w:t xml:space="preserve"> как физиологическ</w:t>
      </w:r>
      <w:r>
        <w:t>ого</w:t>
      </w:r>
      <w:r w:rsidRPr="001F1A45">
        <w:t>, так и патологическ</w:t>
      </w:r>
      <w:r>
        <w:t xml:space="preserve">ого </w:t>
      </w:r>
      <w:r w:rsidRPr="001F1A45">
        <w:t>ангиогенез</w:t>
      </w:r>
      <w:r>
        <w:t>а</w:t>
      </w:r>
      <w:r w:rsidRPr="001F1A45">
        <w:t xml:space="preserve">, </w:t>
      </w:r>
      <w:r>
        <w:t>его</w:t>
      </w:r>
      <w:r w:rsidRPr="001F1A45">
        <w:t xml:space="preserve"> повышенная экспрессия связана с неблагоприятным прогнозом </w:t>
      </w:r>
      <w:r w:rsidR="007F089D">
        <w:t>при</w:t>
      </w:r>
      <w:r w:rsidR="007F089D" w:rsidRPr="001F1A45">
        <w:t xml:space="preserve"> </w:t>
      </w:r>
      <w:r w:rsidRPr="001F1A45">
        <w:t>многих</w:t>
      </w:r>
      <w:r>
        <w:t xml:space="preserve"> </w:t>
      </w:r>
      <w:r w:rsidR="007F089D" w:rsidRPr="001F1A45">
        <w:t>вид</w:t>
      </w:r>
      <w:r w:rsidR="007F089D">
        <w:t xml:space="preserve">ах </w:t>
      </w:r>
      <w:r w:rsidRPr="001F1A45">
        <w:t xml:space="preserve">опухолей человека. В опухолях щитовидной железы обнаружены повышенные уровни </w:t>
      </w:r>
      <w:r w:rsidRPr="001F1A45">
        <w:rPr>
          <w:lang w:val="en-US"/>
        </w:rPr>
        <w:t>VEGF</w:t>
      </w:r>
      <w:r w:rsidRPr="001F1A45">
        <w:t>.</w:t>
      </w:r>
      <w:r>
        <w:t xml:space="preserve"> </w:t>
      </w:r>
      <w:r w:rsidRPr="001F1A45">
        <w:t xml:space="preserve">Интенсивность экспрессии </w:t>
      </w:r>
      <w:r w:rsidRPr="001F1A45">
        <w:rPr>
          <w:lang w:val="en-US"/>
        </w:rPr>
        <w:t>VEGF</w:t>
      </w:r>
      <w:r w:rsidRPr="001F1A45">
        <w:t xml:space="preserve"> при </w:t>
      </w:r>
      <w:r>
        <w:t>Р</w:t>
      </w:r>
      <w:r w:rsidR="00703973">
        <w:t>Щ</w:t>
      </w:r>
      <w:r>
        <w:t>Ж</w:t>
      </w:r>
      <w:r w:rsidRPr="001F1A45">
        <w:t xml:space="preserve"> коррелирует с высоким</w:t>
      </w:r>
      <w:r>
        <w:t xml:space="preserve"> </w:t>
      </w:r>
      <w:r w:rsidRPr="001F1A45">
        <w:t>риск</w:t>
      </w:r>
      <w:r w:rsidR="009C13F4">
        <w:t>ом</w:t>
      </w:r>
      <w:r w:rsidRPr="001F1A45">
        <w:t xml:space="preserve"> метастазирования и </w:t>
      </w:r>
      <w:r>
        <w:t>короткой</w:t>
      </w:r>
      <w:r w:rsidRPr="001F1A45">
        <w:t xml:space="preserve"> безрецидив</w:t>
      </w:r>
      <w:r>
        <w:t>ной</w:t>
      </w:r>
      <w:r w:rsidRPr="001F1A45">
        <w:t xml:space="preserve"> выживаемость</w:t>
      </w:r>
      <w:r>
        <w:t xml:space="preserve">ю </w:t>
      </w:r>
      <w:r>
        <w:fldChar w:fldCharType="begin"/>
      </w:r>
      <w:r>
        <w:instrText xml:space="preserve"> ADDIN ZOTERO_ITEM CSL_CITATION {"citationID":"WumIIAf0","properties":{"formattedCitation":"[7]","plainCitation":"[7]","noteIndex":0},"citationItems":[{"id":2659,"uris":["http://zotero.org/users/5483459/items/JD8GLMBS"],"itemData":{"id":2659,"type":"document","title":"Product Monograph LENVIMA® Lenvatinib capsules 4 mg and 10 mg Lenvatinib (as lenvatinib mesylate). Eisai Limited.Date of Initial Authorization: DEC 22, 2015 Date of Revision:MAY 31, 2022"}}],"schema":"https://github.com/citation-style-language/schema/raw/master/csl-citation.json"} </w:instrText>
      </w:r>
      <w:r>
        <w:fldChar w:fldCharType="separate"/>
      </w:r>
      <w:r w:rsidRPr="00B21EDB">
        <w:t>[7]</w:t>
      </w:r>
      <w:r>
        <w:fldChar w:fldCharType="end"/>
      </w:r>
      <w:r>
        <w:t>.</w:t>
      </w:r>
    </w:p>
    <w:p w14:paraId="6CDFEDDA" w14:textId="78ABE377" w:rsidR="00200EBA" w:rsidRPr="00AB16EC" w:rsidRDefault="007F089D" w:rsidP="007F089D">
      <w:pPr>
        <w:ind w:firstLine="709"/>
      </w:pPr>
      <w:r>
        <w:t xml:space="preserve">В </w:t>
      </w:r>
      <w:r w:rsidR="00200EBA">
        <w:t xml:space="preserve">исследовании </w:t>
      </w:r>
      <w:r w:rsidR="00200EBA" w:rsidRPr="00AB16EC">
        <w:t>профиля ингибирования киназ</w:t>
      </w:r>
      <w:r w:rsidR="002F6EDA">
        <w:t xml:space="preserve"> (</w:t>
      </w:r>
      <w:r w:rsidR="00200EBA">
        <w:t>изуча</w:t>
      </w:r>
      <w:r w:rsidR="002F6EDA">
        <w:t>лось</w:t>
      </w:r>
      <w:r w:rsidR="00200EBA" w:rsidRPr="00AB16EC">
        <w:t xml:space="preserve"> 66 протеинкиназ</w:t>
      </w:r>
      <w:r w:rsidR="002F6EDA">
        <w:t>)</w:t>
      </w:r>
      <w:r>
        <w:t xml:space="preserve"> </w:t>
      </w:r>
      <w:r w:rsidR="00200EBA" w:rsidRPr="00AB16EC">
        <w:t>ленватиниб</w:t>
      </w:r>
      <w:r w:rsidR="00200EBA">
        <w:t xml:space="preserve"> </w:t>
      </w:r>
      <w:r w:rsidR="00200EBA" w:rsidRPr="00AB16EC">
        <w:t xml:space="preserve">селективно ингибировал тирозинкиназную активность рецепторов </w:t>
      </w:r>
      <w:r w:rsidR="00200EBA" w:rsidRPr="00AB16EC">
        <w:rPr>
          <w:lang w:val="en-US"/>
        </w:rPr>
        <w:t>VEGF</w:t>
      </w:r>
      <w:r w:rsidR="00200EBA" w:rsidRPr="00AB16EC">
        <w:t xml:space="preserve"> (</w:t>
      </w:r>
      <w:r w:rsidR="00200EBA" w:rsidRPr="00AB16EC">
        <w:rPr>
          <w:lang w:val="en-US"/>
        </w:rPr>
        <w:t>VEGFR</w:t>
      </w:r>
      <w:r w:rsidR="00200EBA" w:rsidRPr="00AB16EC">
        <w:t xml:space="preserve">1-3) и </w:t>
      </w:r>
      <w:r w:rsidR="00200EBA" w:rsidRPr="00AB16EC">
        <w:rPr>
          <w:lang w:val="en-US"/>
        </w:rPr>
        <w:t>RET</w:t>
      </w:r>
      <w:r w:rsidR="00200EBA" w:rsidRPr="00AB16EC">
        <w:t xml:space="preserve"> с</w:t>
      </w:r>
      <w:r w:rsidR="00200EBA">
        <w:t xml:space="preserve">о </w:t>
      </w:r>
      <w:r w:rsidR="00200EBA" w:rsidRPr="00AB16EC">
        <w:t>значени</w:t>
      </w:r>
      <w:r w:rsidR="00200EBA">
        <w:t>ем</w:t>
      </w:r>
      <w:r w:rsidR="00200EBA" w:rsidRPr="00AB16EC">
        <w:t xml:space="preserve"> </w:t>
      </w:r>
      <w:r w:rsidR="00200EBA" w:rsidRPr="00AB16EC">
        <w:rPr>
          <w:lang w:val="en-US"/>
        </w:rPr>
        <w:t>Ki</w:t>
      </w:r>
      <w:r w:rsidR="00200EBA" w:rsidRPr="00AB16EC">
        <w:t xml:space="preserve"> приблизительно равны</w:t>
      </w:r>
      <w:r w:rsidR="00200EBA">
        <w:t>м</w:t>
      </w:r>
      <w:r w:rsidR="00200EBA" w:rsidRPr="00AB16EC">
        <w:t xml:space="preserve"> 1 нмоль/л</w:t>
      </w:r>
      <w:r w:rsidR="00200EBA">
        <w:t xml:space="preserve"> </w:t>
      </w:r>
      <w:r w:rsidR="00200EBA">
        <w:rPr>
          <w:iCs/>
          <w:lang w:eastAsia="en-US"/>
        </w:rPr>
        <w:fldChar w:fldCharType="begin"/>
      </w:r>
      <w:r w:rsidR="00200EBA">
        <w:rPr>
          <w:iCs/>
          <w:lang w:eastAsia="en-US"/>
        </w:rPr>
        <w:instrText xml:space="preserve"> ADDIN ZOTERO_ITEM CSL_CITATION {"citationID":"vqkrKZan","properties":{"formattedCitation":"[6\\uc0\\u8211{}8]","plainCitation":"[6–8]","noteIndex":0},"citationItems":[{"id":2745,"uris":["http://zotero.org/users/5483459/items/95XEZDWJ"],"itemData":{"id":2745,"type":"document","title":"European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sidR="00200EBA">
        <w:rPr>
          <w:iCs/>
          <w:lang w:eastAsia="en-US"/>
        </w:rPr>
        <w:fldChar w:fldCharType="separate"/>
      </w:r>
      <w:r w:rsidR="00200EBA" w:rsidRPr="00B21EDB">
        <w:t>[6–8]</w:t>
      </w:r>
      <w:r w:rsidR="00200EBA">
        <w:rPr>
          <w:iCs/>
          <w:lang w:eastAsia="en-US"/>
        </w:rPr>
        <w:fldChar w:fldCharType="end"/>
      </w:r>
      <w:r w:rsidR="00200EBA">
        <w:rPr>
          <w:iCs/>
          <w:lang w:eastAsia="en-US"/>
        </w:rPr>
        <w:t>.</w:t>
      </w:r>
    </w:p>
    <w:p w14:paraId="65B4ABF8" w14:textId="77777777" w:rsidR="00200EBA" w:rsidRPr="00AB16EC" w:rsidRDefault="00200EBA" w:rsidP="007F089D">
      <w:pPr>
        <w:ind w:firstLine="709"/>
      </w:pPr>
      <w:r w:rsidRPr="00C4300D">
        <w:t xml:space="preserve">Ленватиниб также ингибировал другие </w:t>
      </w:r>
      <w:r w:rsidRPr="005A5CE8">
        <w:rPr>
          <w:color w:val="000000" w:themeColor="text1"/>
        </w:rPr>
        <w:t>тирозинкиназны</w:t>
      </w:r>
      <w:r>
        <w:rPr>
          <w:color w:val="000000" w:themeColor="text1"/>
        </w:rPr>
        <w:t>е</w:t>
      </w:r>
      <w:r w:rsidRPr="005A5CE8">
        <w:rPr>
          <w:color w:val="000000" w:themeColor="text1"/>
        </w:rPr>
        <w:t xml:space="preserve"> рецептор</w:t>
      </w:r>
      <w:r>
        <w:rPr>
          <w:color w:val="000000" w:themeColor="text1"/>
        </w:rPr>
        <w:t>ы</w:t>
      </w:r>
      <w:r w:rsidRPr="00C4300D">
        <w:t xml:space="preserve">, связанные с проангиогенными и онкогенными путями, включая FGFR1-4, PDGFRα и KIT, со значениями </w:t>
      </w:r>
      <w:r>
        <w:t>м</w:t>
      </w:r>
      <w:r w:rsidRPr="00F71C08">
        <w:t>едианн</w:t>
      </w:r>
      <w:r>
        <w:t>ой</w:t>
      </w:r>
      <w:r w:rsidRPr="00F71C08">
        <w:t xml:space="preserve"> ингибирующ</w:t>
      </w:r>
      <w:r>
        <w:t>ей</w:t>
      </w:r>
      <w:r w:rsidRPr="00F71C08">
        <w:t xml:space="preserve"> концентраци</w:t>
      </w:r>
      <w:r>
        <w:t>и</w:t>
      </w:r>
      <w:r w:rsidRPr="00F71C08">
        <w:t xml:space="preserve"> </w:t>
      </w:r>
      <w:r w:rsidRPr="00C4300D">
        <w:t>(IC</w:t>
      </w:r>
      <w:r w:rsidRPr="00F71C08">
        <w:rPr>
          <w:vertAlign w:val="subscript"/>
        </w:rPr>
        <w:t>50</w:t>
      </w:r>
      <w:r w:rsidRPr="00C4300D">
        <w:t>) ниже 100 нмоль/л</w:t>
      </w:r>
      <w:r>
        <w:t xml:space="preserve"> </w:t>
      </w:r>
      <w:r>
        <w:rPr>
          <w:iCs/>
          <w:lang w:eastAsia="en-US"/>
        </w:rPr>
        <w:fldChar w:fldCharType="begin"/>
      </w:r>
      <w:r>
        <w:rPr>
          <w:iCs/>
          <w:lang w:eastAsia="en-US"/>
        </w:rPr>
        <w:instrText xml:space="preserve"> ADDIN ZOTERO_ITEM CSL_CITATION {"citationID":"vqkrKZan","properties":{"formattedCitation":"[6\\uc0\\u8211{}8]","plainCitation":"[6–8]","noteIndex":0},"citationItems":[{"id":2745,"uris":["http://zotero.org/users/5483459/items/95XEZDWJ"],"itemData":{"id":2745,"type":"document","title":"European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Pr>
          <w:iCs/>
          <w:lang w:eastAsia="en-US"/>
        </w:rPr>
        <w:fldChar w:fldCharType="separate"/>
      </w:r>
      <w:r w:rsidRPr="00B21EDB">
        <w:t>[6–8]</w:t>
      </w:r>
      <w:r>
        <w:rPr>
          <w:iCs/>
          <w:lang w:eastAsia="en-US"/>
        </w:rPr>
        <w:fldChar w:fldCharType="end"/>
      </w:r>
      <w:r>
        <w:rPr>
          <w:iCs/>
          <w:lang w:eastAsia="en-US"/>
        </w:rPr>
        <w:t>.</w:t>
      </w:r>
    </w:p>
    <w:p w14:paraId="5F3638F6" w14:textId="12BA5BFF" w:rsidR="00200EBA" w:rsidRPr="009E4B56" w:rsidRDefault="00200EBA" w:rsidP="007F089D">
      <w:pPr>
        <w:ind w:firstLine="709"/>
      </w:pPr>
      <w:bookmarkStart w:id="86" w:name="_Hlk118313245"/>
      <w:r>
        <w:t xml:space="preserve">Константа равновесной диссоциации (Kd) </w:t>
      </w:r>
      <w:bookmarkEnd w:id="86"/>
      <w:r>
        <w:t xml:space="preserve">ленватиниба против VEGFR2 составила 2,1 нмоль/л. Рентгеновский анализ кристаллической структуры комплекса VEGFR2-ленватиниб и комплекса FGFR1-ленватиниб показал, что ленватиниб связывается с сайтом связывания АТФ и соседней аллостерической областью в киназном домене, принимая конформацию </w:t>
      </w:r>
      <w:r w:rsidRPr="009E4B56">
        <w:t>"</w:t>
      </w:r>
      <w:r>
        <w:t>аспаргиновая</w:t>
      </w:r>
      <w:r w:rsidRPr="009E4B56">
        <w:t xml:space="preserve"> </w:t>
      </w:r>
      <w:r>
        <w:t>кислота</w:t>
      </w:r>
      <w:r w:rsidRPr="009E4B56">
        <w:t>-</w:t>
      </w:r>
      <w:r>
        <w:t>фенилаланин</w:t>
      </w:r>
      <w:r w:rsidRPr="009E4B56">
        <w:t>-</w:t>
      </w:r>
      <w:r>
        <w:t>глицин</w:t>
      </w:r>
      <w:r w:rsidRPr="009E4B56">
        <w:t xml:space="preserve"> (</w:t>
      </w:r>
      <w:r w:rsidRPr="00575CE5">
        <w:rPr>
          <w:lang w:val="en-US"/>
        </w:rPr>
        <w:t>DFG</w:t>
      </w:r>
      <w:r w:rsidRPr="009E4B56">
        <w:t>)-</w:t>
      </w:r>
      <w:r w:rsidRPr="00575CE5">
        <w:rPr>
          <w:lang w:val="en-US"/>
        </w:rPr>
        <w:t>in</w:t>
      </w:r>
      <w:r w:rsidRPr="009E4B56">
        <w:t>"</w:t>
      </w:r>
      <w:r>
        <w:rPr>
          <w:iCs/>
          <w:lang w:eastAsia="en-US"/>
        </w:rPr>
        <w:fldChar w:fldCharType="begin"/>
      </w:r>
      <w:r>
        <w:rPr>
          <w:iCs/>
          <w:lang w:eastAsia="en-US"/>
        </w:rPr>
        <w:instrText xml:space="preserve"> ADDIN ZOTERO_ITEM CSL_CITATION {"citationID":"zfutC75G","properties":{"formattedCitation":"[6\\uc0\\u8211{}8]","plainCitation":"[6–8]","noteIndex":0},"citationItems":[{"id":2745,"uris":["http://zotero.org/users/5483459/items/95XEZDWJ"],"itemData":{"id":2745,"type":"document","title":"European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Pr>
          <w:iCs/>
          <w:lang w:eastAsia="en-US"/>
        </w:rPr>
        <w:fldChar w:fldCharType="separate"/>
      </w:r>
      <w:r w:rsidRPr="00B21EDB">
        <w:t>[6–8]</w:t>
      </w:r>
      <w:r>
        <w:rPr>
          <w:iCs/>
          <w:lang w:eastAsia="en-US"/>
        </w:rPr>
        <w:fldChar w:fldCharType="end"/>
      </w:r>
      <w:r w:rsidRPr="009E4B56">
        <w:rPr>
          <w:iCs/>
          <w:lang w:eastAsia="en-US"/>
        </w:rPr>
        <w:t>.</w:t>
      </w:r>
    </w:p>
    <w:p w14:paraId="3E34167A" w14:textId="1267F512" w:rsidR="00200EBA" w:rsidRDefault="00200EBA" w:rsidP="007F089D">
      <w:pPr>
        <w:ind w:firstLine="709"/>
      </w:pPr>
      <w:r w:rsidRPr="003440DA">
        <w:t xml:space="preserve">В клеточных исследованиях ленватиниб ингибировал управляемое </w:t>
      </w:r>
      <w:r w:rsidRPr="003440DA">
        <w:rPr>
          <w:lang w:val="en-US"/>
        </w:rPr>
        <w:t>VEGF</w:t>
      </w:r>
      <w:r w:rsidRPr="003440DA">
        <w:t xml:space="preserve"> фосфорилирование, пролиферацию </w:t>
      </w:r>
      <w:r w:rsidRPr="003440DA">
        <w:rPr>
          <w:lang w:val="en-US"/>
        </w:rPr>
        <w:t>VEGFR</w:t>
      </w:r>
      <w:r w:rsidRPr="003440DA">
        <w:t>2</w:t>
      </w:r>
      <w:r>
        <w:t xml:space="preserve"> и </w:t>
      </w:r>
      <w:r w:rsidRPr="003440DA">
        <w:t>образование трубок в моделях эндотелиальных клеток пупочной вены человека (</w:t>
      </w:r>
      <w:r w:rsidRPr="003440DA">
        <w:rPr>
          <w:lang w:val="en-US"/>
        </w:rPr>
        <w:t>HUVEC</w:t>
      </w:r>
      <w:r w:rsidRPr="003440DA">
        <w:t xml:space="preserve">) со значениями </w:t>
      </w:r>
      <w:r>
        <w:t>медианной</w:t>
      </w:r>
      <w:r w:rsidRPr="003440DA">
        <w:t xml:space="preserve"> ингибирующей концентрации (</w:t>
      </w:r>
      <w:r w:rsidRPr="003440DA">
        <w:rPr>
          <w:lang w:val="en-US"/>
        </w:rPr>
        <w:t>IC</w:t>
      </w:r>
      <w:r w:rsidRPr="009E4B56">
        <w:rPr>
          <w:vertAlign w:val="subscript"/>
        </w:rPr>
        <w:t>50</w:t>
      </w:r>
      <w:r w:rsidRPr="003440DA">
        <w:t>) 0,25, 3,4 и 2,1 нмоль/л соответственно.</w:t>
      </w:r>
      <w:r>
        <w:t xml:space="preserve"> Ленватиниб также ингибировал образование трубочек HUVEC под влиянием FGF со значением IC</w:t>
      </w:r>
      <w:r w:rsidRPr="00C22830">
        <w:rPr>
          <w:vertAlign w:val="subscript"/>
        </w:rPr>
        <w:t>50</w:t>
      </w:r>
      <w:r>
        <w:t xml:space="preserve"> 7,3 </w:t>
      </w:r>
      <w:r>
        <w:lastRenderedPageBreak/>
        <w:t xml:space="preserve">нмоль/л, что указывает на то, что ленватиниб ингибирует как VEGF-, так и FGF-зависимый ангиогенез </w:t>
      </w:r>
      <w:r w:rsidRPr="00780F3A">
        <w:rPr>
          <w:i/>
          <w:iCs/>
        </w:rPr>
        <w:t>in vitro</w:t>
      </w:r>
      <w:r>
        <w:t xml:space="preserve"> </w:t>
      </w:r>
      <w:r>
        <w:rPr>
          <w:iCs/>
          <w:lang w:eastAsia="en-US"/>
        </w:rPr>
        <w:fldChar w:fldCharType="begin"/>
      </w:r>
      <w:r>
        <w:rPr>
          <w:iCs/>
          <w:lang w:eastAsia="en-US"/>
        </w:rPr>
        <w:instrText xml:space="preserve"> ADDIN ZOTERO_ITEM CSL_CITATION {"citationID":"D8qfcXXd","properties":{"formattedCitation":"[6\\uc0\\u8211{}8]","plainCitation":"[6–8]","noteIndex":0},"citationItems":[{"id":2745,"uris":["http://zotero.org/users/5483459/items/95XEZDWJ"],"itemData":{"id":2745,"type":"document","title":"European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Pr>
          <w:iCs/>
          <w:lang w:eastAsia="en-US"/>
        </w:rPr>
        <w:fldChar w:fldCharType="separate"/>
      </w:r>
      <w:r w:rsidRPr="00B21EDB">
        <w:t>[6–8]</w:t>
      </w:r>
      <w:r>
        <w:rPr>
          <w:iCs/>
          <w:lang w:eastAsia="en-US"/>
        </w:rPr>
        <w:fldChar w:fldCharType="end"/>
      </w:r>
      <w:r w:rsidRPr="009E4B56">
        <w:rPr>
          <w:iCs/>
          <w:lang w:eastAsia="en-US"/>
        </w:rPr>
        <w:t>.</w:t>
      </w:r>
    </w:p>
    <w:p w14:paraId="6F4F0961" w14:textId="5C00853C" w:rsidR="00200EBA" w:rsidRPr="009E4B56" w:rsidRDefault="00200EBA" w:rsidP="007F089D">
      <w:pPr>
        <w:ind w:firstLine="709"/>
      </w:pPr>
      <w:r>
        <w:t>Анализ статуса фосфорилирования молекул передачи сигнала в HUVECs выявил что ленватиниб ингибирует как путь митогенактивируемой киназы (MAPK), так и путь PI3K AKT</w:t>
      </w:r>
      <w:r w:rsidR="000650AA">
        <w:t>.</w:t>
      </w:r>
      <w:r w:rsidR="00703973">
        <w:t xml:space="preserve"> </w:t>
      </w:r>
      <w:r>
        <w:t>Путь передачи сигнала mTOR-S6K-S6 (далее именуемый как путь mTOR-S6K-S6) запускается активированными VEGFR и FGFR, оба из которых важны для стимуляции ангиогенез</w:t>
      </w:r>
      <w:r w:rsidR="00A25898">
        <w:t>а</w:t>
      </w:r>
      <w:r>
        <w:t xml:space="preserve"> в опухолях </w:t>
      </w:r>
      <w:r>
        <w:rPr>
          <w:iCs/>
          <w:lang w:eastAsia="en-US"/>
        </w:rPr>
        <w:fldChar w:fldCharType="begin"/>
      </w:r>
      <w:r>
        <w:rPr>
          <w:iCs/>
          <w:lang w:eastAsia="en-US"/>
        </w:rPr>
        <w:instrText xml:space="preserve"> ADDIN ZOTERO_ITEM CSL_CITATION {"citationID":"D8qfcXXd","properties":{"formattedCitation":"[6\\uc0\\u8211{}8]","plainCitation":"[6–8]","noteIndex":0},"citationItems":[{"id":2745,"uris":["http://zotero.org/users/5483459/items/95XEZDWJ"],"itemData":{"id":2745,"type":"document","title":"European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rPr>
          <w:iCs/>
          <w:lang w:eastAsia="en-US"/>
        </w:rPr>
        <w:fldChar w:fldCharType="separate"/>
      </w:r>
      <w:r w:rsidRPr="00B21EDB">
        <w:t>[6–8]</w:t>
      </w:r>
      <w:r>
        <w:rPr>
          <w:iCs/>
          <w:lang w:eastAsia="en-US"/>
        </w:rPr>
        <w:fldChar w:fldCharType="end"/>
      </w:r>
      <w:r w:rsidRPr="009E4B56">
        <w:rPr>
          <w:iCs/>
          <w:lang w:eastAsia="en-US"/>
        </w:rPr>
        <w:t>.</w:t>
      </w:r>
    </w:p>
    <w:p w14:paraId="4627BDE2" w14:textId="1881CBBD" w:rsidR="00200EBA" w:rsidRDefault="00200EBA" w:rsidP="007F089D">
      <w:pPr>
        <w:ind w:firstLine="709"/>
      </w:pPr>
      <w:r w:rsidRPr="00961F0C">
        <w:t xml:space="preserve">Ленватиниб действует на несколько молекулярных мишеней, включая рецепторы VEGFR1–3, FGFR1–4, PDGFR, KIT (рецептор фактора стволовых клеток) и RET (перестраивается во время трансфекции). Поскольку эти мишени действуют как движущие силы </w:t>
      </w:r>
      <w:r>
        <w:t>развития раковой опухоли</w:t>
      </w:r>
      <w:r w:rsidRPr="00961F0C">
        <w:t>, ленватиниб проявляет противоопухолевую и иммуномодулирующую активность в различных доклинических моделях рака</w:t>
      </w:r>
      <w:r>
        <w:t>,</w:t>
      </w:r>
      <w:r w:rsidRPr="00961F0C">
        <w:t xml:space="preserve"> особенно при ГЦК</w:t>
      </w:r>
      <w:r>
        <w:t xml:space="preserve"> (Рисунок 3-1) </w:t>
      </w:r>
      <w:r>
        <w:fldChar w:fldCharType="begin"/>
      </w:r>
      <w:r>
        <w:instrText xml:space="preserve"> ADDIN ZOTERO_ITEM CSL_CITATION {"citationID":"DComRBi9","properties":{"formattedCitation":"[11]","plainCitation":"[11]","noteIndex":0},"citationItems":[{"id":2749,"uris":["http://zotero.org/users/5483459/items/MFXYR4ZH"],"itemData":{"id":2749,"type":"article-journal","abstract":"Angiogenesis inhibitors such as lenvatinib and sorafenib, and an immune checkpoint inhibitor (ICI), nivolumab, are used for anticancer therapies against advanced hepatocellular carcinoma (HCC). Combination treatments comprising angiogenesis inhibitors plus ICIs are promising options for improving clinical benefits in HCC patients, and clinical trials are ongoing. Here, we investigated the antitumor and immunomodulatory activities of lenvatinib (a multiple receptor tyrosine kinase inhibitor targeting vascular endothelial growth factor receptor 1-3, fibroblast growth factor receptor 1-4, platelet-derived growth factor receptor α, KIT and RET) and the combined antitumor activity of lenvatinib plus anti-programmed cell death 1 (PD-1) antibody in the Hepa1-6 mouse HCC syngeneic model. We found that the antitumor activities of lenvatinib and sorafenib were not different in immunodeficient mice, but lenvatinib showed more potent antitumor activity than sorafenib in immunocompetent mice. The antitumor activity of lenvatinib was greater in immunocompetent mice than in immunodeficient mice and was attenuated by CD8+ T cell depletion. Treatment with lenvatinib plus anti-PD-1 antibody resulted in more tumor regression and a higher response rate compared with either treatment alone in immunocompetent mice. Single-cell RNA sequencing analysis demonstrated that treatment with lenvatinib with or without anti-PD-1 antibody decreased the proportion of monocytes and macrophages population and increased that of CD8+ T cell populations. These data suggest that lenvatinib has immunomodulatory activity that contributes to the antitumor activity of lenvatinib and enhances the antitumor activity in combination treatment with anti-PD-1 antibody. Combination treatment of lenvatinib plus anti-PD-1 antibody therefore warrants further investigation against advanced HCC.","container-title":"Cancer Science","DOI":"10.1111/cas.13806","ISSN":"1349-7006","issue":"12","journalAbbreviation":"Cancer Sci","language":"eng","note":"PMID: 30447042\nPMCID: PMC6272102","page":"3993-4002","source":"PubMed","title":"Immunomodulatory activity of lenvatinib contributes to antitumor activity in the Hepa1-6 hepatocellular carcinoma model","volume":"109","author":[{"family":"Kimura","given":"Takayuki"},{"family":"Kato","given":"Yu"},{"family":"Ozawa","given":"Yoichi"},{"family":"Kodama","given":"Kotaro"},{"family":"Ito","given":"Junichi"},{"family":"Ichikawa","given":"Kenji"},{"family":"Yamada","given":"Kazuhiko"},{"family":"Hori","given":"Yusaku"},{"family":"Tabata","given":"Kimiyo"},{"family":"Takase","given":"Kazuma"},{"family":"Matsui","given":"Junji"},{"family":"Funahashi","given":"Yasuhiro"},{"family":"Nomoto","given":"Kenichi"}],"issued":{"date-parts":[["2018",12]]}}}],"schema":"https://github.com/citation-style-language/schema/raw/master/csl-citation.json"} </w:instrText>
      </w:r>
      <w:r>
        <w:fldChar w:fldCharType="separate"/>
      </w:r>
      <w:r w:rsidRPr="0001535E">
        <w:t>[11]</w:t>
      </w:r>
      <w:r>
        <w:fldChar w:fldCharType="end"/>
      </w:r>
      <w:r>
        <w:t>.</w:t>
      </w:r>
    </w:p>
    <w:p w14:paraId="4540C7E1" w14:textId="44518027" w:rsidR="00944B59" w:rsidRDefault="00944B59">
      <w:pPr>
        <w:rPr>
          <w:b/>
          <w:bCs/>
        </w:rPr>
      </w:pPr>
    </w:p>
    <w:p w14:paraId="5DAFA932" w14:textId="5A9505FE" w:rsidR="009173E2" w:rsidRDefault="009173E2" w:rsidP="00200EBA">
      <w:r w:rsidRPr="00C67D38">
        <w:rPr>
          <w:b/>
          <w:bCs/>
        </w:rPr>
        <w:t xml:space="preserve">Рисунок </w:t>
      </w:r>
      <w:r>
        <w:rPr>
          <w:b/>
          <w:bCs/>
        </w:rPr>
        <w:t>3-</w:t>
      </w:r>
      <w:r w:rsidRPr="00C67D38">
        <w:rPr>
          <w:b/>
          <w:bCs/>
        </w:rPr>
        <w:fldChar w:fldCharType="begin"/>
      </w:r>
      <w:r w:rsidRPr="00C67D38">
        <w:rPr>
          <w:b/>
          <w:bCs/>
        </w:rPr>
        <w:instrText xml:space="preserve"> SEQ Рисунок \* ARABIC </w:instrText>
      </w:r>
      <w:r w:rsidRPr="00C67D38">
        <w:rPr>
          <w:b/>
          <w:bCs/>
        </w:rPr>
        <w:fldChar w:fldCharType="separate"/>
      </w:r>
      <w:r w:rsidR="008958FD">
        <w:rPr>
          <w:b/>
          <w:bCs/>
          <w:noProof/>
        </w:rPr>
        <w:t>1</w:t>
      </w:r>
      <w:r w:rsidRPr="00C67D38">
        <w:rPr>
          <w:b/>
          <w:bCs/>
        </w:rPr>
        <w:fldChar w:fldCharType="end"/>
      </w:r>
      <w:r>
        <w:rPr>
          <w:b/>
          <w:bCs/>
        </w:rPr>
        <w:t>.</w:t>
      </w:r>
      <w:r w:rsidRPr="00C67D38">
        <w:rPr>
          <w:b/>
          <w:bCs/>
        </w:rPr>
        <w:t xml:space="preserve"> </w:t>
      </w:r>
      <w:r w:rsidRPr="00944B59">
        <w:rPr>
          <w:bCs/>
        </w:rPr>
        <w:t>Воздействие на сигнальные пути, лежащее в основе иммуномодулирующ</w:t>
      </w:r>
      <w:r w:rsidR="00AD51BA">
        <w:rPr>
          <w:bCs/>
        </w:rPr>
        <w:t xml:space="preserve">ей </w:t>
      </w:r>
      <w:r w:rsidRPr="00944B59">
        <w:rPr>
          <w:bCs/>
        </w:rPr>
        <w:t>активност</w:t>
      </w:r>
      <w:r w:rsidR="00AD51BA">
        <w:rPr>
          <w:bCs/>
        </w:rPr>
        <w:t>и</w:t>
      </w:r>
      <w:r w:rsidRPr="00944B59">
        <w:rPr>
          <w:bCs/>
        </w:rPr>
        <w:t xml:space="preserve"> ленватиниба </w:t>
      </w:r>
      <w:r w:rsidRPr="00944B59">
        <w:rPr>
          <w:bCs/>
        </w:rPr>
        <w:fldChar w:fldCharType="begin"/>
      </w:r>
      <w:r w:rsidRPr="00944B59">
        <w:rPr>
          <w:bCs/>
        </w:rPr>
        <w:instrText xml:space="preserve"> ADDIN ZOTERO_ITEM CSL_CITATION {"citationID":"dcPJNq1l","properties":{"formattedCitation":"[11]","plainCitation":"[11]","noteIndex":0},"citationItems":[{"id":2749,"uris":["http://zotero.org/users/5483459/items/MFXYR4ZH"],"itemData":{"id":2749,"type":"article-journal","abstract":"Angiogenesis inhibitors such as lenvatinib and sorafenib, and an immune checkpoint inhibitor (ICI), nivolumab, are used for anticancer therapies against advanced hepatocellular carcinoma (HCC). Combination treatments comprising angiogenesis inhibitors plus ICIs are promising options for improving clinical benefits in HCC patients, and clinical trials are ongoing. Here, we investigated the antitumor and immunomodulatory activities of lenvatinib (a multiple receptor tyrosine kinase inhibitor targeting vascular endothelial growth factor receptor 1-3, fibroblast growth factor receptor 1-4, platelet-derived growth factor receptor α, KIT and RET) and the combined antitumor activity of lenvatinib plus anti-programmed cell death 1 (PD-1) antibody in the Hepa1-6 mouse HCC syngeneic model. We found that the antitumor activities of lenvatinib and sorafenib were not different in immunodeficient mice, but lenvatinib showed more potent antitumor activity than sorafenib in immunocompetent mice. The antitumor activity of lenvatinib was greater in immunocompetent mice than in immunodeficient mice and was attenuated by CD8+ T cell depletion. Treatment with lenvatinib plus anti-PD-1 antibody resulted in more tumor regression and a higher response rate compared with either treatment alone in immunocompetent mice. Single-cell RNA sequencing analysis demonstrated that treatment with lenvatinib with or without anti-PD-1 antibody decreased the proportion of monocytes and macrophages population and increased that of CD8+ T cell populations. These data suggest that lenvatinib has immunomodulatory activity that contributes to the antitumor activity of lenvatinib and enhances the antitumor activity in combination treatment with anti-PD-1 antibody. Combination treatment of lenvatinib plus anti-PD-1 antibody therefore warrants further investigation against advanced HCC.","container-title":"Cancer Science","DOI":"10.1111/cas.13806","ISSN":"1349-7006","issue":"12","journalAbbreviation":"Cancer Sci","language":"eng","note":"PMID: 30447042\nPMCID: PMC6272102","page":"3993-4002","source":"PubMed","title":"Immunomodulatory activity of lenvatinib contributes to antitumor activity in the Hepa1-6 hepatocellular carcinoma model","volume":"109","author":[{"family":"Kimura","given":"Takayuki"},{"family":"Kato","given":"Yu"},{"family":"Ozawa","given":"Yoichi"},{"family":"Kodama","given":"Kotaro"},{"family":"Ito","given":"Junichi"},{"family":"Ichikawa","given":"Kenji"},{"family":"Yamada","given":"Kazuhiko"},{"family":"Hori","given":"Yusaku"},{"family":"Tabata","given":"Kimiyo"},{"family":"Takase","given":"Kazuma"},{"family":"Matsui","given":"Junji"},{"family":"Funahashi","given":"Yasuhiro"},{"family":"Nomoto","given":"Kenichi"}],"issued":{"date-parts":[["2018",12]]}}}],"schema":"https://github.com/citation-style-language/schema/raw/master/csl-citation.json"} </w:instrText>
      </w:r>
      <w:r w:rsidRPr="00944B59">
        <w:rPr>
          <w:bCs/>
        </w:rPr>
        <w:fldChar w:fldCharType="separate"/>
      </w:r>
      <w:r w:rsidRPr="00944B59">
        <w:t>[11]</w:t>
      </w:r>
      <w:r w:rsidRPr="00944B59">
        <w:rPr>
          <w:bCs/>
        </w:rPr>
        <w:fldChar w:fldCharType="end"/>
      </w:r>
      <w:r w:rsidRPr="00944B59">
        <w:rPr>
          <w:bCs/>
        </w:rPr>
        <w:t>.</w:t>
      </w:r>
    </w:p>
    <w:p w14:paraId="570A6680" w14:textId="77777777" w:rsidR="00200EBA" w:rsidRDefault="00200EBA" w:rsidP="00944B59">
      <w:pPr>
        <w:jc w:val="center"/>
      </w:pPr>
      <w:r>
        <w:rPr>
          <w:noProof/>
          <w:lang w:eastAsia="ru-RU"/>
        </w:rPr>
        <w:drawing>
          <wp:inline distT="0" distB="0" distL="0" distR="0" wp14:anchorId="1BE3BBF4" wp14:editId="0AAE536A">
            <wp:extent cx="4986000" cy="3600000"/>
            <wp:effectExtent l="0" t="0" r="571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6000" cy="3600000"/>
                    </a:xfrm>
                    <a:prstGeom prst="rect">
                      <a:avLst/>
                    </a:prstGeom>
                    <a:noFill/>
                    <a:ln>
                      <a:noFill/>
                    </a:ln>
                  </pic:spPr>
                </pic:pic>
              </a:graphicData>
            </a:graphic>
          </wp:inline>
        </w:drawing>
      </w:r>
    </w:p>
    <w:p w14:paraId="450B22ED" w14:textId="77777777" w:rsidR="00200EBA" w:rsidRDefault="00200EBA" w:rsidP="00200EBA"/>
    <w:p w14:paraId="5747C38D" w14:textId="27C2E57A" w:rsidR="00200EBA" w:rsidRPr="00944B59" w:rsidRDefault="00944B59" w:rsidP="00944B59">
      <w:pPr>
        <w:rPr>
          <w:b/>
          <w:bCs/>
          <w:sz w:val="20"/>
          <w:szCs w:val="20"/>
        </w:rPr>
      </w:pPr>
      <w:r w:rsidRPr="00944B59">
        <w:rPr>
          <w:b/>
          <w:bCs/>
          <w:sz w:val="20"/>
          <w:szCs w:val="20"/>
        </w:rPr>
        <w:t>Примечание:</w:t>
      </w:r>
    </w:p>
    <w:p w14:paraId="7725CFD0" w14:textId="77777777" w:rsidR="00200EBA" w:rsidRPr="002674C1" w:rsidRDefault="00200EBA" w:rsidP="00944B59">
      <w:pPr>
        <w:pStyle w:val="afff7"/>
        <w:spacing w:before="0"/>
        <w:jc w:val="both"/>
      </w:pPr>
      <w:r w:rsidRPr="00944B59">
        <w:rPr>
          <w:szCs w:val="20"/>
        </w:rPr>
        <w:t>(Слева) Антиангиогенная активность ленватиниба проявляется через его специфические мишени (VEGFR, FGFR, PDGFR, RET и KIT), что в конечном итоге приводит к ингибированию PLCγ, Ras-Raf-ERK и PI3K-AKT путей. Эти сигнальные пути регулируют множество клеточных процессов, включая пролиферацию, выживание и проницаемость клеток. (Справа) Ленватиниб обладает способностью регулировать иммунное микроокружение опухоли. Он может уменьшить долю негативно-регуляторных иммунных клеток, таких как MDSC, Treg и TAM, и увеличить процент активированных CD8+ T-клеток. Красные стрелки от Lenvatiniba (Ленватиниба) на рисунке</w:t>
      </w:r>
      <w:r w:rsidRPr="002674C1">
        <w:t xml:space="preserve"> обозначают ингибирующие пути, а зеленая стрелка указывает на активированные пути. VEGF-A: фактор роста эндотелия сосудов А; MDSC: миелоидные супрессорные клетки; Treg: регуляторные Т-клетки; TAM: опухоль-ассоциированный макрофаг; IL: интерлейкин; ICIs: Ингибиторы иммунных контрольных точек.</w:t>
      </w:r>
    </w:p>
    <w:p w14:paraId="00A2455E" w14:textId="77777777" w:rsidR="00200EBA" w:rsidRDefault="00200EBA" w:rsidP="00200EBA">
      <w:pPr>
        <w:pStyle w:val="4"/>
        <w:spacing w:after="240"/>
        <w:rPr>
          <w:rFonts w:ascii="Times New Roman" w:hAnsi="Times New Roman"/>
          <w:i/>
          <w:color w:val="000000" w:themeColor="text1"/>
          <w:sz w:val="24"/>
          <w:szCs w:val="24"/>
        </w:rPr>
      </w:pPr>
      <w:bookmarkStart w:id="87" w:name="_Toc126059713"/>
      <w:bookmarkEnd w:id="84"/>
      <w:r>
        <w:rPr>
          <w:rFonts w:ascii="Times New Roman" w:hAnsi="Times New Roman"/>
          <w:color w:val="000000" w:themeColor="text1"/>
          <w:sz w:val="24"/>
          <w:szCs w:val="24"/>
        </w:rPr>
        <w:lastRenderedPageBreak/>
        <w:t>3.1.2</w:t>
      </w:r>
      <w:r w:rsidRPr="00AD62F6">
        <w:rPr>
          <w:rFonts w:ascii="Times New Roman" w:hAnsi="Times New Roman"/>
          <w:color w:val="000000" w:themeColor="text1"/>
          <w:sz w:val="24"/>
          <w:szCs w:val="24"/>
        </w:rPr>
        <w:t>.</w:t>
      </w:r>
      <w:r>
        <w:rPr>
          <w:rFonts w:ascii="Times New Roman" w:hAnsi="Times New Roman"/>
          <w:color w:val="000000" w:themeColor="text1"/>
          <w:sz w:val="24"/>
          <w:szCs w:val="24"/>
        </w:rPr>
        <w:t xml:space="preserve">2. </w:t>
      </w:r>
      <w:r w:rsidRPr="00AD62F6">
        <w:rPr>
          <w:rFonts w:ascii="Times New Roman" w:hAnsi="Times New Roman"/>
          <w:color w:val="000000" w:themeColor="text1"/>
          <w:sz w:val="24"/>
          <w:szCs w:val="24"/>
        </w:rPr>
        <w:t>Первичная фармакодинамика</w:t>
      </w:r>
      <w:r>
        <w:rPr>
          <w:rFonts w:ascii="Times New Roman" w:hAnsi="Times New Roman"/>
          <w:color w:val="000000" w:themeColor="text1"/>
          <w:sz w:val="24"/>
          <w:szCs w:val="24"/>
        </w:rPr>
        <w:t xml:space="preserve"> </w:t>
      </w:r>
      <w:r w:rsidRPr="00AD62F6">
        <w:rPr>
          <w:rFonts w:ascii="Times New Roman" w:hAnsi="Times New Roman"/>
          <w:i/>
          <w:color w:val="000000" w:themeColor="text1"/>
          <w:sz w:val="24"/>
          <w:szCs w:val="24"/>
        </w:rPr>
        <w:t>in</w:t>
      </w:r>
      <w:r>
        <w:rPr>
          <w:rFonts w:ascii="Times New Roman" w:hAnsi="Times New Roman"/>
          <w:i/>
          <w:color w:val="000000" w:themeColor="text1"/>
          <w:sz w:val="24"/>
          <w:szCs w:val="24"/>
        </w:rPr>
        <w:t xml:space="preserve"> </w:t>
      </w:r>
      <w:r w:rsidRPr="00AD62F6">
        <w:rPr>
          <w:rFonts w:ascii="Times New Roman" w:hAnsi="Times New Roman"/>
          <w:i/>
          <w:color w:val="000000" w:themeColor="text1"/>
          <w:sz w:val="24"/>
          <w:szCs w:val="24"/>
        </w:rPr>
        <w:t>vivo</w:t>
      </w:r>
      <w:bookmarkEnd w:id="87"/>
    </w:p>
    <w:p w14:paraId="6C4BE2B7" w14:textId="0151AEEF" w:rsidR="00200EBA" w:rsidRDefault="00A45E53" w:rsidP="00A45E53">
      <w:pPr>
        <w:ind w:firstLine="709"/>
      </w:pPr>
      <w:bookmarkStart w:id="88" w:name="_Hlk118182447"/>
      <w:r>
        <w:t>О</w:t>
      </w:r>
      <w:r w:rsidR="00200EBA">
        <w:t xml:space="preserve">ценен противоопухолевый эффект </w:t>
      </w:r>
      <w:r w:rsidR="00200EBA" w:rsidRPr="003440DA">
        <w:t>ленватиниб</w:t>
      </w:r>
      <w:r w:rsidR="00200EBA">
        <w:t xml:space="preserve">а </w:t>
      </w:r>
      <w:r w:rsidR="00200EBA" w:rsidRPr="00AD62F6">
        <w:rPr>
          <w:i/>
          <w:color w:val="000000" w:themeColor="text1"/>
        </w:rPr>
        <w:t>in</w:t>
      </w:r>
      <w:r w:rsidR="00200EBA">
        <w:rPr>
          <w:i/>
          <w:color w:val="000000" w:themeColor="text1"/>
        </w:rPr>
        <w:t xml:space="preserve"> </w:t>
      </w:r>
      <w:r w:rsidR="00200EBA" w:rsidRPr="00AD62F6">
        <w:rPr>
          <w:i/>
          <w:color w:val="000000" w:themeColor="text1"/>
        </w:rPr>
        <w:t>vivo</w:t>
      </w:r>
      <w:r w:rsidR="00200EBA">
        <w:t xml:space="preserve"> на рост опухоли клеточной линии папиллярной карциномы щитовидной железы человека К1 на модели ксенотрансплантата мыши. Л</w:t>
      </w:r>
      <w:r w:rsidR="00200EBA" w:rsidRPr="003440DA">
        <w:t>енватиниб</w:t>
      </w:r>
      <w:r w:rsidR="00200EBA">
        <w:t xml:space="preserve"> ингибировал тирозинкиназную активность </w:t>
      </w:r>
      <w:bookmarkStart w:id="89" w:name="_Hlk119272399"/>
      <w:r w:rsidR="00200EBA">
        <w:t xml:space="preserve">рецептора домена вставки киназы (KDR), </w:t>
      </w:r>
      <w:bookmarkEnd w:id="89"/>
      <w:r w:rsidR="00200EBA">
        <w:t>рецептора фактора роста эндотелия сосудов (VEGF). Клеточная линия К1 была подкожно инокулирована самкам бестимусных мышей. Когда объем опухоли достигал 201 мм</w:t>
      </w:r>
      <w:r w:rsidR="00200EBA" w:rsidRPr="00F7499F">
        <w:rPr>
          <w:vertAlign w:val="superscript"/>
        </w:rPr>
        <w:t>3</w:t>
      </w:r>
      <w:r w:rsidR="00200EBA">
        <w:t>, мышам вводили л</w:t>
      </w:r>
      <w:r w:rsidR="00200EBA" w:rsidRPr="003440DA">
        <w:t>енватиниб</w:t>
      </w:r>
      <w:r w:rsidR="00200EBA">
        <w:t xml:space="preserve"> перорально один раз в день, через желудочный зонд, с 1 по 14 день (по 6 мышей в экспериментальной и контрольной группах); объем опухоли и массу тела измеряли на 1, 5, 8, 12 и 15 дни.</w:t>
      </w:r>
    </w:p>
    <w:p w14:paraId="36456FD5" w14:textId="1F4FC94C" w:rsidR="00200EBA" w:rsidRDefault="00A45E53" w:rsidP="00A45E53">
      <w:pPr>
        <w:ind w:firstLine="709"/>
      </w:pPr>
      <w:r>
        <w:t>Установлено</w:t>
      </w:r>
      <w:r w:rsidR="00200EBA">
        <w:t xml:space="preserve">, что ежедневное введение </w:t>
      </w:r>
      <w:r w:rsidR="00200EBA" w:rsidRPr="003440DA">
        <w:t>ленватиниб</w:t>
      </w:r>
      <w:r w:rsidR="00200EBA">
        <w:t xml:space="preserve">а в течение 14 дней мышам, которым </w:t>
      </w:r>
      <w:r w:rsidR="00A25898">
        <w:t xml:space="preserve">ранее </w:t>
      </w:r>
      <w:r w:rsidR="00200EBA">
        <w:t xml:space="preserve">имплантировали клеточную линию карциномы щитовидной железы человека К1, приводило к задержке роста опухоли дозозависимым образом без статистически значимого влияния на массу тела </w:t>
      </w:r>
      <w:r w:rsidR="00200EBA">
        <w:fldChar w:fldCharType="begin"/>
      </w:r>
      <w:r w:rsidR="00200EBA">
        <w:instrText xml:space="preserve"> ADDIN ZOTERO_ITEM CSL_CITATION {"citationID":"qkjwkF6C","properties":{"formattedCitation":"[8]","plainCitation":"[8]","noteIndex":0},"citationItems":[{"id":2746,"uris":["http://zotero.org/users/5483459/items/Z6Y8HY5F"],"itemData":{"id":2746,"type":"document","title":"U.S.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00200EBA">
        <w:fldChar w:fldCharType="separate"/>
      </w:r>
      <w:r w:rsidR="00200EBA" w:rsidRPr="00B21EDB">
        <w:t>[8]</w:t>
      </w:r>
      <w:r w:rsidR="00200EBA">
        <w:fldChar w:fldCharType="end"/>
      </w:r>
      <w:r w:rsidR="00200EBA">
        <w:t>.</w:t>
      </w:r>
    </w:p>
    <w:p w14:paraId="20E00C3B" w14:textId="0544784A" w:rsidR="00200EBA" w:rsidRDefault="00A45E53" w:rsidP="00A45E53">
      <w:pPr>
        <w:ind w:firstLine="709"/>
      </w:pPr>
      <w:bookmarkStart w:id="90" w:name="_Hlk118182562"/>
      <w:bookmarkEnd w:id="88"/>
      <w:r>
        <w:t>И</w:t>
      </w:r>
      <w:r w:rsidR="00200EBA">
        <w:t>зучено влияние ленватиниба как на рост опухоли, так и на ангиогенез опухоли в ксенотрансплантатах линии клеток анапластического рака человека 8305C у бестимусных мышей</w:t>
      </w:r>
      <w:bookmarkEnd w:id="90"/>
      <w:r w:rsidR="00200EBA">
        <w:t>. Линию клеток инокулировали в область правого бока самок бестимусных мышей. Когда средний объем опухоли достигал ~194 мм</w:t>
      </w:r>
      <w:r w:rsidR="00200EBA" w:rsidRPr="006A7AF2">
        <w:rPr>
          <w:vertAlign w:val="superscript"/>
        </w:rPr>
        <w:t>3</w:t>
      </w:r>
      <w:r w:rsidR="00200EBA">
        <w:t>, мышам вводили ленватиниб перорально один раз в день, через желудочный зонд, с 1 по 14 день (по 6 мышей в экспериментальной и контрольной группах). Объем опухоли и массу тела измеряли на 1, 4, 8, 11 и 15-й день. После измерения объема опухоли и массы тела на 15-й день фрагменты ткани из изолированных образцов опухоли использовали для иммуногистохимического окрашивания эндотелиального маркера CD31 для определения плотности микрососудов.</w:t>
      </w:r>
    </w:p>
    <w:p w14:paraId="4E4202B5" w14:textId="0DC30342" w:rsidR="00200EBA" w:rsidRDefault="00A45E53" w:rsidP="00A45E53">
      <w:pPr>
        <w:ind w:firstLine="709"/>
      </w:pPr>
      <w:bookmarkStart w:id="91" w:name="_Hlk118182582"/>
      <w:r>
        <w:t>Установлено</w:t>
      </w:r>
      <w:r w:rsidR="00200EBA">
        <w:t xml:space="preserve">, что ленватиниб </w:t>
      </w:r>
      <w:r>
        <w:t>приводил к</w:t>
      </w:r>
      <w:r w:rsidR="00200EBA">
        <w:t xml:space="preserve"> значительно</w:t>
      </w:r>
      <w:r>
        <w:t>му</w:t>
      </w:r>
      <w:r w:rsidR="00200EBA">
        <w:t xml:space="preserve"> дозозависимо</w:t>
      </w:r>
      <w:r>
        <w:t>му снижению</w:t>
      </w:r>
      <w:r w:rsidR="00200EBA">
        <w:t xml:space="preserve"> объема опухоли по сравнению с контро</w:t>
      </w:r>
      <w:r w:rsidR="00DB5C42">
        <w:t>лем</w:t>
      </w:r>
      <w:r w:rsidR="00200EBA">
        <w:t xml:space="preserve"> на 15-й день. Ленватиниб в диапазоне доз от 3 до 100 мг/кг значительно и дозозависимо снижал плотность микрососудов в опухолях 8305C на 15-й день. Существенного влияния на массу тела мышей не наблюдалось </w:t>
      </w:r>
      <w:bookmarkEnd w:id="91"/>
      <w:r w:rsidR="00200EBA">
        <w:fldChar w:fldCharType="begin"/>
      </w:r>
      <w:r w:rsidR="00200EBA">
        <w:instrText xml:space="preserve"> ADDIN ZOTERO_ITEM CSL_CITATION {"citationID":"nWusQogt","properties":{"formattedCitation":"[8]","plainCitation":"[8]","noteIndex":0},"citationItems":[{"id":2746,"uris":["http://zotero.org/users/5483459/items/Z6Y8HY5F"],"itemData":{"id":2746,"type":"document","title":"U.S.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00200EBA">
        <w:fldChar w:fldCharType="separate"/>
      </w:r>
      <w:r w:rsidR="00200EBA" w:rsidRPr="00B21EDB">
        <w:t>[8]</w:t>
      </w:r>
      <w:r w:rsidR="00200EBA">
        <w:fldChar w:fldCharType="end"/>
      </w:r>
      <w:r w:rsidR="00200EBA">
        <w:t>.</w:t>
      </w:r>
    </w:p>
    <w:p w14:paraId="556EBA56" w14:textId="7910A81E" w:rsidR="00200EBA" w:rsidRDefault="00200EBA" w:rsidP="00A45E53">
      <w:pPr>
        <w:ind w:firstLine="709"/>
      </w:pPr>
      <w:r>
        <w:t xml:space="preserve">Противоопухолевая активность ленватиниба была оценена на двух моделях ксенотрансплантата карциномы щитовидной железы </w:t>
      </w:r>
      <w:r w:rsidRPr="004B7732">
        <w:rPr>
          <w:i/>
          <w:iCs/>
        </w:rPr>
        <w:t>in vivo</w:t>
      </w:r>
      <w:r>
        <w:t>. ТТ представляет собой клеточную линию медуллярной карциномы щитовидной железы, а SW579 представляет собой плоскоклеточную карциному, происходящую из щитовидной железы. Когда объем опухоли достигал 131 мм</w:t>
      </w:r>
      <w:r w:rsidRPr="00D22921">
        <w:rPr>
          <w:vertAlign w:val="superscript"/>
        </w:rPr>
        <w:t>3</w:t>
      </w:r>
      <w:r>
        <w:t xml:space="preserve"> для ТТ и 154 мм</w:t>
      </w:r>
      <w:r w:rsidRPr="00D22921">
        <w:rPr>
          <w:vertAlign w:val="superscript"/>
        </w:rPr>
        <w:t>3</w:t>
      </w:r>
      <w:r>
        <w:t xml:space="preserve"> для SW579, мышам вводили л</w:t>
      </w:r>
      <w:r w:rsidRPr="003440DA">
        <w:t>енватиниб</w:t>
      </w:r>
      <w:r>
        <w:t xml:space="preserve"> перорально один раз в день, через желудочный зонд, в течение 28 или 14 дней</w:t>
      </w:r>
      <w:r w:rsidR="00A25898">
        <w:t>,</w:t>
      </w:r>
      <w:r>
        <w:t xml:space="preserve"> соответственно (по 6 мышей в экспериментальной и контрольной группах). Объем опухоли и массу тела измеряли девять раз (дни 1, 5, 8, 12, 15, 19, 22, 26 и 29) для мышей с ксенотрансплантатом ТТ и измеряли семь раз (дни 1, 3, 5, 8, 10, 12 и 15) для мышей с ксенотрансплантатом SW570.</w:t>
      </w:r>
    </w:p>
    <w:p w14:paraId="13EF5441" w14:textId="67AB6FF6" w:rsidR="00200EBA" w:rsidRDefault="00200EBA" w:rsidP="00A45E53">
      <w:pPr>
        <w:ind w:firstLine="709"/>
      </w:pPr>
      <w:r>
        <w:t xml:space="preserve">Ленватиниб продемонстрировал значительный противоопухолевый эффект в отношении подкожных ксенотрансплантатов ТТ в дозах от 10 до 100 мг/кг </w:t>
      </w:r>
      <w:r w:rsidR="007E57C6">
        <w:t xml:space="preserve">и </w:t>
      </w:r>
      <w:r>
        <w:t xml:space="preserve">значительный противоопухолевый эффект в отношении подкожных ксенотрансплантатов SW579 в дозах в диапазоне от 3 до 100 мг/кг </w:t>
      </w:r>
      <w:r>
        <w:fldChar w:fldCharType="begin"/>
      </w:r>
      <w:r>
        <w:instrText xml:space="preserve"> ADDIN ZOTERO_ITEM CSL_CITATION {"citationID":"HmVInstw","properties":{"formattedCitation":"[8]","plainCitation":"[8]","noteIndex":0},"citationItems":[{"id":2746,"uris":["http://zotero.org/users/5483459/items/Z6Y8HY5F"],"itemData":{"id":2746,"type":"document","title":"U.S.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5F800160" w14:textId="4E621F74" w:rsidR="00200EBA" w:rsidRDefault="00A45E53" w:rsidP="00A45E53">
      <w:pPr>
        <w:ind w:firstLine="709"/>
      </w:pPr>
      <w:r>
        <w:t>И</w:t>
      </w:r>
      <w:r w:rsidR="00200EBA">
        <w:t xml:space="preserve">зучено влияние ленватиниба на фактор роста фибробластов плазмы у 23 мышей (исследование W-20140842). Эффекты однократно введенного через желудочный зонд ленватиниба мезилата в дозах 3 и 10 мг/кг и однократно введенного через желудочный зонд сорафениба тозилата в дозах 9 и 30 мг/кг были исследованы для оценки влияния на уровень фактора роста фибробластов 23 (FGF23) плазмы через 24 часа после введения мышам. Мезилат ленватиниба значительно повышал уровень FGF23 в плазме в дозе 10 мг/кг у мышей. В дозе 3 мг/кг, значительного повышения по сравнению с контролем не </w:t>
      </w:r>
      <w:r w:rsidR="00200EBA">
        <w:lastRenderedPageBreak/>
        <w:t xml:space="preserve">наблюдалось. Тозилат сорафениба в дозах 9 и 30 мг/кг не вызывал значительного повышения уровня FGF23 в плазме </w:t>
      </w:r>
      <w:r w:rsidR="00200EBA">
        <w:fldChar w:fldCharType="begin"/>
      </w:r>
      <w:r w:rsidR="00200EBA">
        <w:instrText xml:space="preserve"> ADDIN ZOTERO_ITEM CSL_CITATION {"citationID":"cofHuSn6","properties":{"formattedCitation":"[7]","plainCitation":"[7]","noteIndex":0},"citationItems":[{"id":2659,"uris":["http://zotero.org/users/5483459/items/JD8GLMBS"],"itemData":{"id":2659,"type":"document","title":"Product Monograph LENVIMA® Lenvatinib capsules 4 mg and 10 mg Lenvatinib (as lenvatinib mesylate). Eisai Limited.Date of Initial Authorization: DEC 22, 2015 Date of Revision:MAY 31, 2022"}}],"schema":"https://github.com/citation-style-language/schema/raw/master/csl-citation.json"} </w:instrText>
      </w:r>
      <w:r w:rsidR="00200EBA">
        <w:fldChar w:fldCharType="separate"/>
      </w:r>
      <w:r w:rsidR="00200EBA" w:rsidRPr="002674C1">
        <w:t>[7]</w:t>
      </w:r>
      <w:r w:rsidR="00200EBA">
        <w:fldChar w:fldCharType="end"/>
      </w:r>
      <w:r w:rsidR="00200EBA">
        <w:t>.</w:t>
      </w:r>
    </w:p>
    <w:p w14:paraId="4CC1AFD1" w14:textId="77777777" w:rsidR="00200EBA" w:rsidRDefault="00200EBA" w:rsidP="00200EBA">
      <w:pPr>
        <w:spacing w:before="240" w:after="240"/>
        <w:outlineLvl w:val="2"/>
        <w:rPr>
          <w:b/>
          <w:color w:val="000000" w:themeColor="text1"/>
        </w:rPr>
      </w:pPr>
      <w:bookmarkStart w:id="92" w:name="_Toc126059714"/>
      <w:r w:rsidRPr="005E6358">
        <w:rPr>
          <w:b/>
          <w:color w:val="000000" w:themeColor="text1"/>
        </w:rPr>
        <w:t>3.1.</w:t>
      </w:r>
      <w:r>
        <w:rPr>
          <w:b/>
          <w:color w:val="000000" w:themeColor="text1"/>
        </w:rPr>
        <w:t>3</w:t>
      </w:r>
      <w:r w:rsidRPr="005E6358">
        <w:rPr>
          <w:b/>
          <w:color w:val="000000" w:themeColor="text1"/>
        </w:rPr>
        <w:t>.</w:t>
      </w:r>
      <w:bookmarkStart w:id="93" w:name="_Hlk521883759"/>
      <w:r>
        <w:rPr>
          <w:b/>
          <w:color w:val="000000" w:themeColor="text1"/>
        </w:rPr>
        <w:t xml:space="preserve"> </w:t>
      </w:r>
      <w:r w:rsidRPr="005E6358">
        <w:rPr>
          <w:b/>
          <w:color w:val="000000" w:themeColor="text1"/>
        </w:rPr>
        <w:t>Вторичная фармакодинамика</w:t>
      </w:r>
      <w:bookmarkStart w:id="94" w:name="_Toc320631473"/>
      <w:bookmarkStart w:id="95" w:name="_Toc323751703"/>
      <w:bookmarkEnd w:id="92"/>
    </w:p>
    <w:p w14:paraId="628819FF" w14:textId="2B2F40C7" w:rsidR="00983446" w:rsidRDefault="00200EBA" w:rsidP="00944B59">
      <w:pPr>
        <w:ind w:firstLine="709"/>
      </w:pPr>
      <w:bookmarkStart w:id="96" w:name="_Hlk118182756"/>
      <w:r>
        <w:t>Для оценки потенциальных вторичных фармакодинамических эффектов ленватиниба было проведено исследование по изучению связывани</w:t>
      </w:r>
      <w:r w:rsidR="00DB5B9A">
        <w:t>я</w:t>
      </w:r>
      <w:r>
        <w:t xml:space="preserve"> с панелью из 50 некиназных рецепторов (ExpressSProfile) при концентрациях ленватиниба от 1 и 10 мкмоль/л. Не отмечалось значительного связывания (&gt;50% ингибирование) ленватиниба </w:t>
      </w:r>
      <w:r w:rsidR="00DB5B9A">
        <w:t>с</w:t>
      </w:r>
      <w:r>
        <w:t xml:space="preserve"> рецепторам</w:t>
      </w:r>
      <w:r w:rsidR="00DB5B9A">
        <w:t>и</w:t>
      </w:r>
      <w:r>
        <w:t xml:space="preserve"> ExpresSProfile при оцениваемых концентрациях, за исключением рецептора 5-гидрокситриптамина 1В (58%) и человеческого переносчик</w:t>
      </w:r>
      <w:r w:rsidR="00A25898">
        <w:t>а</w:t>
      </w:r>
      <w:r>
        <w:t xml:space="preserve"> норадреналина (50%) при 10 мкмоль/л </w:t>
      </w:r>
      <w:r>
        <w:fldChar w:fldCharType="begin"/>
      </w:r>
      <w:r>
        <w:instrText xml:space="preserve"> ADDIN ZOTERO_ITEM CSL_CITATION {"citationID":"rpBZ29xR","properties":{"formattedCitation":"[7,8]","plainCitation":"[7,8]","noteIndex":0},"citationItems":[{"id":2659,"uris":["http://zotero.org/users/5483459/items/JD8GLMBS"],"itemData":{"id":2659,"type":"document","title":"Product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[7,8]</w:t>
      </w:r>
      <w:r>
        <w:fldChar w:fldCharType="end"/>
      </w:r>
      <w:r>
        <w:t>.</w:t>
      </w:r>
    </w:p>
    <w:p w14:paraId="5DFF5E4D" w14:textId="77777777" w:rsidR="00200EBA" w:rsidRDefault="00200EBA" w:rsidP="00200EBA">
      <w:pPr>
        <w:spacing w:before="240" w:after="240"/>
        <w:outlineLvl w:val="2"/>
        <w:rPr>
          <w:b/>
          <w:color w:val="000000" w:themeColor="text1"/>
        </w:rPr>
      </w:pPr>
      <w:bookmarkStart w:id="97" w:name="_Toc499821139"/>
      <w:bookmarkStart w:id="98" w:name="_Toc126059715"/>
      <w:bookmarkEnd w:id="93"/>
      <w:bookmarkEnd w:id="96"/>
      <w:r w:rsidRPr="005E6358">
        <w:rPr>
          <w:b/>
          <w:color w:val="000000" w:themeColor="text1"/>
        </w:rPr>
        <w:t>3.1.</w:t>
      </w:r>
      <w:r>
        <w:rPr>
          <w:b/>
          <w:color w:val="000000" w:themeColor="text1"/>
        </w:rPr>
        <w:t>4</w:t>
      </w:r>
      <w:r w:rsidRPr="005E6358">
        <w:rPr>
          <w:b/>
          <w:color w:val="000000" w:themeColor="text1"/>
        </w:rPr>
        <w:t>. Фармакологическая безопасност</w:t>
      </w:r>
      <w:bookmarkEnd w:id="97"/>
      <w:r w:rsidRPr="005E6358">
        <w:rPr>
          <w:b/>
          <w:color w:val="000000" w:themeColor="text1"/>
        </w:rPr>
        <w:t>ь</w:t>
      </w:r>
      <w:bookmarkEnd w:id="98"/>
    </w:p>
    <w:p w14:paraId="28D19FFE" w14:textId="77777777" w:rsidR="00200EBA" w:rsidRPr="00944B59" w:rsidRDefault="00200EBA" w:rsidP="00944B59">
      <w:pPr>
        <w:rPr>
          <w:b/>
        </w:rPr>
      </w:pPr>
      <w:r w:rsidRPr="00944B59">
        <w:rPr>
          <w:b/>
        </w:rPr>
        <w:t>Влияние на сердечно сосудистую систему</w:t>
      </w:r>
    </w:p>
    <w:p w14:paraId="0334A6CA" w14:textId="77777777" w:rsidR="00944B59" w:rsidRDefault="00944B59" w:rsidP="00200EBA">
      <w:pPr>
        <w:ind w:firstLine="851"/>
      </w:pPr>
      <w:bookmarkStart w:id="99" w:name="_Hlk117672404"/>
    </w:p>
    <w:p w14:paraId="0CF39BF5" w14:textId="12B49935" w:rsidR="00200EBA" w:rsidRPr="00944B59" w:rsidRDefault="00200EBA" w:rsidP="009C6F45">
      <w:pPr>
        <w:ind w:firstLine="709"/>
      </w:pPr>
      <w:r w:rsidRPr="00944B59">
        <w:t xml:space="preserve">Влияние на сердечно-сосудистую систему изучалось при введении </w:t>
      </w:r>
      <w:bookmarkStart w:id="100" w:name="_Hlk117633116"/>
      <w:r w:rsidRPr="00944B59">
        <w:t>ленватиниба в дозах 6 и 30 мг/кг однократно через желудочный зонд собакам (3 самки, 3 самца).</w:t>
      </w:r>
      <w:bookmarkEnd w:id="100"/>
      <w:r w:rsidRPr="00944B59">
        <w:t xml:space="preserve"> Оценивалось влияние введения ленватиниба </w:t>
      </w:r>
      <w:r w:rsidR="009C6F45">
        <w:t xml:space="preserve">на </w:t>
      </w:r>
      <w:r w:rsidRPr="00944B59">
        <w:t>ЧСС, АД, показатели электрокардиограммы (интервал PR, продолжительность QRS и интервал QT). Параметры измеряли до введения препарата, через 1, 2, 4 и 8 часов после введения.</w:t>
      </w:r>
    </w:p>
    <w:p w14:paraId="78B2C0D2" w14:textId="23A7C15B" w:rsidR="00200EBA" w:rsidRPr="00944B59" w:rsidRDefault="009C6F45" w:rsidP="009C6F45">
      <w:pPr>
        <w:ind w:firstLine="709"/>
      </w:pPr>
      <w:r>
        <w:t>Установлено</w:t>
      </w:r>
      <w:r w:rsidR="00200EBA" w:rsidRPr="00944B59">
        <w:t>, что у самцов собак ЧСС сни</w:t>
      </w:r>
      <w:r>
        <w:t>жалась</w:t>
      </w:r>
      <w:r w:rsidR="00200EBA" w:rsidRPr="00944B59">
        <w:t xml:space="preserve"> на 23% через 4 часа после введения дозы 6 мг/кг по сравнению с контролем. АД у самцов </w:t>
      </w:r>
      <w:r w:rsidR="00DB5C42" w:rsidRPr="00944B59">
        <w:t>у</w:t>
      </w:r>
      <w:r w:rsidR="00200EBA" w:rsidRPr="00944B59">
        <w:t>величи</w:t>
      </w:r>
      <w:r>
        <w:t>ва</w:t>
      </w:r>
      <w:r w:rsidR="00200EBA" w:rsidRPr="00944B59">
        <w:t>лось на 29% и 23% через 2 часа после введения 6 и 30 мг/кг</w:t>
      </w:r>
      <w:r>
        <w:t>,</w:t>
      </w:r>
      <w:r w:rsidR="00200EBA" w:rsidRPr="00944B59">
        <w:t xml:space="preserve"> соответственно</w:t>
      </w:r>
      <w:r>
        <w:t>,</w:t>
      </w:r>
      <w:r w:rsidR="00200EBA" w:rsidRPr="00944B59">
        <w:t xml:space="preserve"> по сравнению с контролем. Продолжительность QRS у самцов собак уменьшилась на 13% и 11% через 1 и 4 часа после введения дозы 30 мг/кг по сравнению с контролем </w:t>
      </w:r>
      <w:r w:rsidR="00A25898" w:rsidRPr="000971D1">
        <w:t>[</w:t>
      </w:r>
      <w:r w:rsidR="00200EBA" w:rsidRPr="00944B59">
        <w:t>3</w:t>
      </w:r>
      <w:r w:rsidR="00A25898" w:rsidRPr="00762053">
        <w:t>]</w:t>
      </w:r>
      <w:r w:rsidR="00A25898" w:rsidRPr="00944B59">
        <w:t>.</w:t>
      </w:r>
    </w:p>
    <w:bookmarkEnd w:id="99"/>
    <w:p w14:paraId="7C9C28AE" w14:textId="77777777" w:rsidR="00200EBA" w:rsidRPr="00944B59" w:rsidRDefault="00200EBA" w:rsidP="009C6F45">
      <w:pPr>
        <w:ind w:firstLine="709"/>
      </w:pPr>
      <w:r w:rsidRPr="00944B59">
        <w:t xml:space="preserve">В 26-недельном исследовании у крыс </w:t>
      </w:r>
      <w:r w:rsidRPr="00944B59">
        <w:rPr>
          <w:iCs/>
          <w:lang w:val="en-US"/>
        </w:rPr>
        <w:t>Sprague</w:t>
      </w:r>
      <w:r w:rsidRPr="00944B59">
        <w:rPr>
          <w:iCs/>
        </w:rPr>
        <w:t xml:space="preserve"> </w:t>
      </w:r>
      <w:r w:rsidRPr="00944B59">
        <w:rPr>
          <w:iCs/>
          <w:lang w:val="en-US"/>
        </w:rPr>
        <w:t>Dawley</w:t>
      </w:r>
      <w:r w:rsidRPr="00944B59">
        <w:t xml:space="preserve"> (по 15 самцов и самок в экспериментальных группах и контроле), ленватиниб вводили перорально один раз в день через желудочный зонд в дозах 0,4, 2 или 10 мг/кг (2,4, 12 или 60 мг/м</w:t>
      </w:r>
      <w:r w:rsidRPr="00944B59">
        <w:rPr>
          <w:vertAlign w:val="superscript"/>
        </w:rPr>
        <w:t>2</w:t>
      </w:r>
      <w:r w:rsidRPr="00944B59">
        <w:t xml:space="preserve">). В исследовании летальность отмечалась у 11 экспериментальных животных при дозе 10 мг/кг на 12 неделе лечения. При некропсии погибших животных сосудистые поражения, связанные с ингибированием VEGF наблюдались во многих органах, в том числе утолщение адвентициальных артериол в сердце </w:t>
      </w:r>
      <w:r w:rsidRPr="00944B59">
        <w:fldChar w:fldCharType="begin"/>
      </w:r>
      <w:r w:rsidRPr="00944B59">
        <w:instrText xml:space="preserve"> ADDIN ZOTERO_ITEM CSL_CITATION {"citationID":"pRQXFo8o","properties":{"formattedCitation":"[8]","plainCitation":"[8]","noteIndex":0},"citationItems":[{"id":2746,"uris":["http://zotero.org/users/5483459/items/Z6Y8HY5F"],"itemData":{"id":2746,"type":"document","title":"U.S.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3F14C6BE" w14:textId="77777777" w:rsidR="00944B59" w:rsidRPr="00944B59" w:rsidRDefault="00944B59" w:rsidP="00944B59">
      <w:pPr>
        <w:rPr>
          <w:b/>
        </w:rPr>
      </w:pPr>
    </w:p>
    <w:p w14:paraId="0DD186BD" w14:textId="7FC18B95" w:rsidR="00200EBA" w:rsidRPr="00944B59" w:rsidRDefault="00200EBA" w:rsidP="00944B59">
      <w:pPr>
        <w:rPr>
          <w:b/>
        </w:rPr>
      </w:pPr>
      <w:r w:rsidRPr="00944B59">
        <w:rPr>
          <w:b/>
        </w:rPr>
        <w:t>Влияние на центральную нервную систему (ЦНС)</w:t>
      </w:r>
    </w:p>
    <w:p w14:paraId="6CE3E90D" w14:textId="77777777" w:rsidR="00944B59" w:rsidRPr="00944B59" w:rsidRDefault="00944B59" w:rsidP="00944B59">
      <w:pPr>
        <w:pStyle w:val="OT"/>
        <w:spacing w:after="0"/>
        <w:ind w:firstLine="851"/>
        <w:rPr>
          <w:sz w:val="24"/>
          <w:szCs w:val="24"/>
        </w:rPr>
      </w:pPr>
      <w:bookmarkStart w:id="101" w:name="_Hlk117672429"/>
    </w:p>
    <w:p w14:paraId="3A2AA6F3" w14:textId="472A09EB" w:rsidR="00200EBA" w:rsidRPr="00944B59" w:rsidRDefault="00200EBA" w:rsidP="009C6F45">
      <w:pPr>
        <w:pStyle w:val="OT"/>
        <w:spacing w:after="0"/>
        <w:ind w:firstLine="709"/>
        <w:rPr>
          <w:sz w:val="24"/>
          <w:szCs w:val="24"/>
        </w:rPr>
      </w:pPr>
      <w:r w:rsidRPr="00944B59">
        <w:rPr>
          <w:sz w:val="24"/>
          <w:szCs w:val="24"/>
        </w:rPr>
        <w:t xml:space="preserve">Ленватиниб в дозах 10, 30, 100 мг/кг однократно через желудочный зонд вводили самцам крыс </w:t>
      </w:r>
      <w:r w:rsidRPr="00944B59">
        <w:rPr>
          <w:iCs/>
          <w:sz w:val="24"/>
          <w:szCs w:val="24"/>
        </w:rPr>
        <w:t>Sprague-Dawley</w:t>
      </w:r>
      <w:r w:rsidRPr="00944B59">
        <w:rPr>
          <w:sz w:val="24"/>
          <w:szCs w:val="24"/>
        </w:rPr>
        <w:t xml:space="preserve"> для оценки поведения животных (6 самцов в экспериментальной группе, 6 в контроле). Серия множественных наблюдений Ирвина проводилась до введения ленватиниба и через 1, 2, 4 и 8 часов после введения. Было выяснено, что все дозы до 100 мг/кг не оказывали влияния на общее физическое состояние и поведение крыс (3).</w:t>
      </w:r>
    </w:p>
    <w:p w14:paraId="0ABB9BB0" w14:textId="77777777" w:rsidR="00944B59" w:rsidRPr="00944B59" w:rsidRDefault="00944B59" w:rsidP="00944B59">
      <w:pPr>
        <w:pStyle w:val="OT"/>
        <w:spacing w:after="0"/>
        <w:ind w:firstLine="851"/>
        <w:rPr>
          <w:sz w:val="24"/>
          <w:szCs w:val="24"/>
        </w:rPr>
      </w:pPr>
    </w:p>
    <w:bookmarkEnd w:id="101"/>
    <w:p w14:paraId="7B3E73DF" w14:textId="77777777" w:rsidR="00E36A78" w:rsidRDefault="00E36A78" w:rsidP="00944B59">
      <w:pPr>
        <w:rPr>
          <w:b/>
        </w:rPr>
        <w:sectPr w:rsidR="00E36A78" w:rsidSect="00AB01E2">
          <w:pgSz w:w="11906" w:h="16838"/>
          <w:pgMar w:top="1134" w:right="849" w:bottom="1134" w:left="1701" w:header="708" w:footer="709" w:gutter="0"/>
          <w:cols w:space="708"/>
          <w:docGrid w:linePitch="360"/>
        </w:sectPr>
      </w:pPr>
    </w:p>
    <w:p w14:paraId="11538B27" w14:textId="7BBC20AC" w:rsidR="00200EBA" w:rsidRPr="00944B59" w:rsidRDefault="00200EBA" w:rsidP="00944B59">
      <w:pPr>
        <w:rPr>
          <w:b/>
        </w:rPr>
      </w:pPr>
      <w:r w:rsidRPr="00944B59">
        <w:rPr>
          <w:b/>
        </w:rPr>
        <w:lastRenderedPageBreak/>
        <w:t>Влияние на дыхательную систему</w:t>
      </w:r>
    </w:p>
    <w:p w14:paraId="2C111CB8" w14:textId="77777777" w:rsidR="00944B59" w:rsidRPr="00944B59" w:rsidRDefault="00944B59" w:rsidP="00944B59">
      <w:pPr>
        <w:ind w:firstLine="709"/>
      </w:pPr>
      <w:bookmarkStart w:id="102" w:name="_Hlk117672461"/>
    </w:p>
    <w:p w14:paraId="4D0E0699" w14:textId="7233109C" w:rsidR="00200EBA" w:rsidRPr="00944B59" w:rsidRDefault="00200EBA" w:rsidP="00944B59">
      <w:pPr>
        <w:ind w:firstLine="709"/>
      </w:pPr>
      <w:r w:rsidRPr="00944B59">
        <w:t xml:space="preserve">Для оценки влияния на дыхательную систему ленватиниб в дозах 10, 30, 100 мг/кг однократно через желудочный зонд вводили самцам крыс </w:t>
      </w:r>
      <w:r w:rsidRPr="00944B59">
        <w:rPr>
          <w:iCs/>
        </w:rPr>
        <w:t>Sprague-Dawley</w:t>
      </w:r>
      <w:r w:rsidRPr="00944B59">
        <w:t xml:space="preserve"> (6 самцов в экспериментальной группе, 6 в контроле). </w:t>
      </w:r>
    </w:p>
    <w:p w14:paraId="2E1FF499" w14:textId="3E6EDC92" w:rsidR="00200EBA" w:rsidRPr="00944B59" w:rsidRDefault="00200EBA" w:rsidP="00944B59">
      <w:pPr>
        <w:ind w:firstLine="709"/>
      </w:pPr>
      <w:r w:rsidRPr="00944B59">
        <w:t>Для оценк</w:t>
      </w:r>
      <w:r w:rsidR="00DB5C42" w:rsidRPr="00944B59">
        <w:t>и</w:t>
      </w:r>
      <w:r w:rsidRPr="00944B59">
        <w:t xml:space="preserve"> функции дыхания была проведена регистрация параметров внешнего дыхания у свободно подвижных животных методом плетизмографии (BioSystem XA, Buxco Electronics, Inc., Коннектикут, США). Частоту дыхания (вдохов/мин) и дыхательный объем (мл/вдох) измеряли до введения ленватиниб в дозах 10, 30, 100 мг/к и через 1, 2, 4 и 8 часов после введения дозы, а минутный объем (мл/мин) рассчитывали путем умножения дыхательного объема на частоту дыхания.</w:t>
      </w:r>
    </w:p>
    <w:p w14:paraId="1AF76355" w14:textId="1FC87D98" w:rsidR="00200EBA" w:rsidRPr="00944B59" w:rsidRDefault="00200EBA" w:rsidP="00944B59">
      <w:pPr>
        <w:ind w:firstLine="709"/>
      </w:pPr>
      <w:r w:rsidRPr="00944B59">
        <w:t xml:space="preserve"> </w:t>
      </w:r>
      <w:r w:rsidR="0016034F">
        <w:t>В</w:t>
      </w:r>
      <w:r w:rsidRPr="00944B59">
        <w:t xml:space="preserve">ыяснено, что </w:t>
      </w:r>
      <w:r w:rsidR="0016034F">
        <w:t xml:space="preserve">однократное </w:t>
      </w:r>
      <w:r w:rsidRPr="00944B59">
        <w:t>пероральное введение ленватиниб в дозах 10, 30, 100 мг/кг не оказ</w:t>
      </w:r>
      <w:r w:rsidR="0016034F">
        <w:t>ыв</w:t>
      </w:r>
      <w:r w:rsidRPr="00944B59">
        <w:t xml:space="preserve">ало статистически значимого влияния на измеренные параметры дыхательной функции у самцов крыс </w:t>
      </w:r>
      <w:r w:rsidRPr="00944B59">
        <w:rPr>
          <w:iCs/>
        </w:rPr>
        <w:t>Sprague-Dawley</w:t>
      </w:r>
      <w:r w:rsidRPr="00944B59">
        <w:t xml:space="preserve"> (3).</w:t>
      </w:r>
    </w:p>
    <w:p w14:paraId="16DFAC94" w14:textId="77777777" w:rsidR="00944B59" w:rsidRPr="00944B59" w:rsidRDefault="00944B59" w:rsidP="00944B59">
      <w:pPr>
        <w:ind w:firstLine="709"/>
      </w:pPr>
    </w:p>
    <w:bookmarkEnd w:id="102"/>
    <w:p w14:paraId="1FAA6DE0" w14:textId="77777777" w:rsidR="00200EBA" w:rsidRPr="00944B59" w:rsidRDefault="00200EBA" w:rsidP="00944B59">
      <w:pPr>
        <w:rPr>
          <w:b/>
        </w:rPr>
      </w:pPr>
      <w:r w:rsidRPr="00944B59">
        <w:rPr>
          <w:b/>
        </w:rPr>
        <w:t>Влияние на печень</w:t>
      </w:r>
    </w:p>
    <w:p w14:paraId="231ECC58" w14:textId="77777777" w:rsidR="00944B59" w:rsidRPr="00944B59" w:rsidRDefault="00944B59" w:rsidP="00944B59">
      <w:pPr>
        <w:ind w:firstLine="709"/>
      </w:pPr>
    </w:p>
    <w:p w14:paraId="6845F47A" w14:textId="212853AD" w:rsidR="00200EBA" w:rsidRPr="00944B59" w:rsidRDefault="00200EBA" w:rsidP="00944B59">
      <w:pPr>
        <w:ind w:firstLine="709"/>
      </w:pPr>
      <w:r w:rsidRPr="00944B59">
        <w:t xml:space="preserve">При проведении 7-дневного исследования по выбору дозы для токсикологических исследований, ленватиниб в дозах 100, 300 и 1000 мг/кг вводили один раз в день через желудочный зонд самцам крыс </w:t>
      </w:r>
      <w:r w:rsidRPr="00944B59">
        <w:rPr>
          <w:iCs/>
        </w:rPr>
        <w:t>Sprague-Dawley</w:t>
      </w:r>
      <w:r w:rsidRPr="00944B59">
        <w:t xml:space="preserve"> (6 самцов в экспериментальной группе, 6 в контроле). При дозе 100 мг/кг наблюдалось повышение АЛТ и АСТ и патологические изменения в печени. </w:t>
      </w:r>
    </w:p>
    <w:p w14:paraId="5EC0DECF" w14:textId="0BA069CF" w:rsidR="00200EBA" w:rsidRPr="00944B59" w:rsidRDefault="00200EBA" w:rsidP="00944B59">
      <w:pPr>
        <w:ind w:firstLine="709"/>
      </w:pPr>
      <w:r w:rsidRPr="00944B59">
        <w:t xml:space="preserve">В 4-недельном исследовании у крыс </w:t>
      </w:r>
      <w:r w:rsidRPr="00944B59">
        <w:rPr>
          <w:iCs/>
        </w:rPr>
        <w:t>Sprague Dawley</w:t>
      </w:r>
      <w:r w:rsidRPr="00944B59">
        <w:t xml:space="preserve"> (по 16 самцов и самок в экспериментальных группах и контроле) при дозе ≥30 мг/кг (180 мг/м</w:t>
      </w:r>
      <w:r w:rsidRPr="00944B59">
        <w:rPr>
          <w:vertAlign w:val="superscript"/>
        </w:rPr>
        <w:t>2</w:t>
      </w:r>
      <w:r w:rsidRPr="00944B59">
        <w:t>) отмечались явления гепатотоксичности – гепатоцеллюлярный некроз при некропсии, повышение активности АЛТ и АСТ в плазме крови (3).</w:t>
      </w:r>
    </w:p>
    <w:p w14:paraId="28309A05" w14:textId="5CCFAE37" w:rsidR="00200EBA" w:rsidRPr="00944B59" w:rsidRDefault="00200EBA" w:rsidP="00944B59">
      <w:pPr>
        <w:ind w:firstLine="709"/>
      </w:pPr>
      <w:r w:rsidRPr="00944B59">
        <w:t>В 4-недельном исследовании у обезьян (по 2 самца и самки в экспериментальных группах и контроле) ленватиниб вводили перорально один раз в день через желудочный зонд в дозах 0,3, 3 или 30 мг/кг (3,6, 36 или 360 мг/м</w:t>
      </w:r>
      <w:r w:rsidRPr="00944B59">
        <w:rPr>
          <w:vertAlign w:val="superscript"/>
        </w:rPr>
        <w:t>2</w:t>
      </w:r>
      <w:r w:rsidRPr="00944B59">
        <w:t>)</w:t>
      </w:r>
      <w:r w:rsidRPr="00944B59">
        <w:rPr>
          <w:vertAlign w:val="superscript"/>
        </w:rPr>
        <w:t xml:space="preserve">. </w:t>
      </w:r>
      <w:r w:rsidRPr="00944B59">
        <w:t>У экспериментальных животных</w:t>
      </w:r>
      <w:r w:rsidRPr="00944B59">
        <w:rPr>
          <w:vertAlign w:val="superscript"/>
        </w:rPr>
        <w:t xml:space="preserve"> </w:t>
      </w:r>
      <w:r w:rsidRPr="00944B59">
        <w:t>отмечались явления гепатотоксичности (повышение АЛТ и АСТ), при некропсии отмечался артериальный фиброзный некроз в желчном пузыре (3).</w:t>
      </w:r>
    </w:p>
    <w:p w14:paraId="265B6AE5" w14:textId="77777777" w:rsidR="00944B59" w:rsidRPr="00944B59" w:rsidRDefault="00944B59" w:rsidP="00944B59">
      <w:pPr>
        <w:ind w:firstLine="709"/>
      </w:pPr>
    </w:p>
    <w:p w14:paraId="6B917E17" w14:textId="77777777" w:rsidR="00200EBA" w:rsidRPr="00944B59" w:rsidRDefault="00200EBA" w:rsidP="00944B59">
      <w:pPr>
        <w:rPr>
          <w:b/>
        </w:rPr>
      </w:pPr>
      <w:r w:rsidRPr="00944B59">
        <w:rPr>
          <w:b/>
        </w:rPr>
        <w:t>Влияние на желудочно-кишечный тракт</w:t>
      </w:r>
    </w:p>
    <w:p w14:paraId="071B0423" w14:textId="77777777" w:rsidR="00944B59" w:rsidRPr="00944B59" w:rsidRDefault="00944B59" w:rsidP="00944B59">
      <w:pPr>
        <w:ind w:firstLine="851"/>
      </w:pPr>
    </w:p>
    <w:p w14:paraId="479F351C" w14:textId="7266B716" w:rsidR="00200EBA" w:rsidRPr="00944B59" w:rsidRDefault="00200EBA" w:rsidP="00197CAF">
      <w:pPr>
        <w:ind w:firstLine="709"/>
      </w:pPr>
      <w:r w:rsidRPr="00944B59">
        <w:t xml:space="preserve">В 26-недельном исследовании у крыс </w:t>
      </w:r>
      <w:r w:rsidRPr="00944B59">
        <w:rPr>
          <w:iCs/>
          <w:lang w:val="en-US"/>
        </w:rPr>
        <w:t>Sprague</w:t>
      </w:r>
      <w:r w:rsidRPr="00944B59">
        <w:rPr>
          <w:iCs/>
        </w:rPr>
        <w:t xml:space="preserve"> </w:t>
      </w:r>
      <w:r w:rsidRPr="00944B59">
        <w:rPr>
          <w:iCs/>
          <w:lang w:val="en-US"/>
        </w:rPr>
        <w:t>Dawley</w:t>
      </w:r>
      <w:r w:rsidRPr="00944B59">
        <w:t xml:space="preserve"> (по 15 самцов и самок в экспериментальных группах и контроле) ленватиниб вводили перорально один раз в день через желудочный зонд в дозах 0,4, 2 или 10 мг/кг (2,4, 12 или 60 мг/м</w:t>
      </w:r>
      <w:r w:rsidRPr="00944B59">
        <w:rPr>
          <w:vertAlign w:val="superscript"/>
        </w:rPr>
        <w:t>2</w:t>
      </w:r>
      <w:r w:rsidRPr="00944B59">
        <w:t xml:space="preserve">). </w:t>
      </w:r>
      <w:r w:rsidR="00451447">
        <w:t>Л</w:t>
      </w:r>
      <w:r w:rsidRPr="00944B59">
        <w:t>етальн</w:t>
      </w:r>
      <w:r w:rsidR="00451447">
        <w:t>ый исход</w:t>
      </w:r>
      <w:r w:rsidRPr="00944B59">
        <w:t xml:space="preserve"> </w:t>
      </w:r>
      <w:r w:rsidR="00451447" w:rsidRPr="00944B59">
        <w:t>отмечал</w:t>
      </w:r>
      <w:r w:rsidR="00451447">
        <w:t>ся</w:t>
      </w:r>
      <w:r w:rsidR="00451447" w:rsidRPr="00944B59">
        <w:t xml:space="preserve"> </w:t>
      </w:r>
      <w:r w:rsidRPr="00944B59">
        <w:t xml:space="preserve">у 11 экспериментальных животных при дозе 10 мг/кг на 12 неделе лечения. Смерть животных наступала вследствие поражения двенадцатиперстной кишки (воспаление/кистозная дилатация, сопровождаемая </w:t>
      </w:r>
      <w:r w:rsidR="00451447" w:rsidRPr="00944B59">
        <w:t>гиперплази</w:t>
      </w:r>
      <w:r w:rsidR="00451447">
        <w:t>ей</w:t>
      </w:r>
      <w:r w:rsidR="00451447" w:rsidRPr="00944B59">
        <w:t xml:space="preserve"> </w:t>
      </w:r>
      <w:r w:rsidRPr="00944B59">
        <w:t xml:space="preserve">слизистой оболочки и некрозом медиальных артериол) </w:t>
      </w:r>
      <w:r w:rsidRPr="00944B59">
        <w:fldChar w:fldCharType="begin"/>
      </w:r>
      <w:r w:rsidRPr="00944B59">
        <w:instrText xml:space="preserve"> ADDIN ZOTERO_ITEM CSL_CITATION {"citationID":"PeVlpKhO","properties":{"formattedCitation":"[8]","plainCitation":"[8]","noteIndex":0},"citationItems":[{"id":2746,"uris":["http://zotero.org/users/5483459/items/Z6Y8HY5F"],"itemData":{"id":2746,"type":"document","title":"U.S.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41C55DA5" w14:textId="17B592DF" w:rsidR="00200EBA" w:rsidRPr="00944B59" w:rsidRDefault="00200EBA" w:rsidP="00197CAF">
      <w:pPr>
        <w:ind w:firstLine="709"/>
      </w:pPr>
      <w:r w:rsidRPr="00944B59">
        <w:t xml:space="preserve">В 4-недельном исследовании у собак </w:t>
      </w:r>
      <w:r w:rsidRPr="00944B59">
        <w:rPr>
          <w:iCs/>
        </w:rPr>
        <w:t>(</w:t>
      </w:r>
      <w:r w:rsidRPr="00944B59">
        <w:t>по 3 самца и самки в экспериментальных группах и контроле</w:t>
      </w:r>
      <w:r w:rsidRPr="00944B59">
        <w:rPr>
          <w:iCs/>
        </w:rPr>
        <w:t xml:space="preserve">) </w:t>
      </w:r>
      <w:r w:rsidRPr="00944B59">
        <w:t>ленватиниб вводили перорально один раз в день через желудочный зонд в дозах 0,01 и 0,5 мг/кг один раз в день в течение 28 дней. Летальных исходов не было. Клинические признаки желудочно-кишечной токсичности включали водянистый стул у собак, получавши</w:t>
      </w:r>
      <w:r w:rsidR="00197CAF">
        <w:t>х</w:t>
      </w:r>
      <w:r w:rsidRPr="00944B59">
        <w:t xml:space="preserve"> ленватиниб в дозе 0,5 мг/кг (10 мг/м</w:t>
      </w:r>
      <w:r w:rsidRPr="00944B59">
        <w:rPr>
          <w:vertAlign w:val="superscript"/>
        </w:rPr>
        <w:t>2</w:t>
      </w:r>
      <w:r w:rsidRPr="00944B59">
        <w:t xml:space="preserve">). Гистологические данные при дозе 0,5 мг/кг включали фиброзный некроз желчного пузыря, гломерулопатию и лимфоидное истощение/некроз в тощей и подвздошной кишках </w:t>
      </w:r>
      <w:r w:rsidRPr="00944B59">
        <w:fldChar w:fldCharType="begin"/>
      </w:r>
      <w:r w:rsidRPr="00944B59">
        <w:instrText xml:space="preserve"> ADDIN ZOTERO_ITEM CSL_CITATION {"citationID":"hJselshn","properties":{"formattedCitation":"[8]","plainCitation":"[8]","noteIndex":0},"citationItems":[{"id":2746,"uris":["http://zotero.org/users/5483459/items/Z6Y8HY5F"],"itemData":{"id":2746,"type":"document","title":"U.S.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 xml:space="preserve">. </w:t>
      </w:r>
    </w:p>
    <w:p w14:paraId="4BA6610D" w14:textId="46F6E61E" w:rsidR="00200EBA" w:rsidRPr="00944B59" w:rsidRDefault="00200EBA" w:rsidP="00197CAF">
      <w:pPr>
        <w:ind w:firstLine="709"/>
      </w:pPr>
      <w:r w:rsidRPr="00944B59">
        <w:lastRenderedPageBreak/>
        <w:t>В 4-недельном исследовании у обезьян (по 2 самца и самки в экспериментальных группах и контроле) ленватиниб вводили перорально один раз в день через желудочный зонд в дозах 0,3, 3 или 30 мг/кг (3,6, 36 или 360 мг/м</w:t>
      </w:r>
      <w:r w:rsidRPr="00944B59">
        <w:rPr>
          <w:vertAlign w:val="superscript"/>
        </w:rPr>
        <w:t>2</w:t>
      </w:r>
      <w:r w:rsidRPr="00944B59">
        <w:t>).</w:t>
      </w:r>
      <w:r w:rsidR="00197CAF">
        <w:rPr>
          <w:vertAlign w:val="superscript"/>
        </w:rPr>
        <w:t xml:space="preserve"> </w:t>
      </w:r>
      <w:r w:rsidRPr="00944B59">
        <w:t xml:space="preserve">Одна самка, получавшая ленватиниб в дозе 30 мг/кг, умерла на 21-й день из-за потери массы тела, связанной с анорексией. Основными органами токсичности ленватиниба были органы </w:t>
      </w:r>
      <w:r w:rsidR="002659C2" w:rsidRPr="00944B59">
        <w:t>ЖКТ</w:t>
      </w:r>
      <w:r w:rsidRPr="00944B59">
        <w:t xml:space="preserve"> (водянистый стул, снижение массы тела и потребления пищи, дегенерация медиальных артерий в желудке и слепой кишке) </w:t>
      </w:r>
      <w:r w:rsidRPr="00944B59">
        <w:fldChar w:fldCharType="begin"/>
      </w:r>
      <w:r w:rsidRPr="00944B59">
        <w:instrText xml:space="preserve"> ADDIN ZOTERO_ITEM CSL_CITATION {"citationID":"DexAxeFu","properties":{"formattedCitation":"[8]","plainCitation":"[8]","noteIndex":0},"citationItems":[{"id":2746,"uris":["http://zotero.org/users/5483459/items/Z6Y8HY5F"],"itemData":{"id":2746,"type":"document","title":"U.S.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48E60EF5" w14:textId="6295835B" w:rsidR="00200EBA" w:rsidRPr="00944B59" w:rsidRDefault="00200EBA" w:rsidP="00197CAF">
      <w:pPr>
        <w:ind w:firstLine="709"/>
      </w:pPr>
      <w:r w:rsidRPr="00944B59">
        <w:t>В 39-недельном исследовании у обезьян (по 2 самца и самки в экспериментальных группах и контроле, яванские макаки) ленватиниб вводили перорально один раз в день через желудочный зонд в дозах 0,1, 0,5 или 3 мг/кг (1,2, 6 или 36 мг/м</w:t>
      </w:r>
      <w:r w:rsidRPr="00944B59">
        <w:rPr>
          <w:vertAlign w:val="superscript"/>
        </w:rPr>
        <w:t>2</w:t>
      </w:r>
      <w:r w:rsidRPr="00944B59">
        <w:t>). Один самец яванской макаки, получивший ленватиниб в дозе 3 мг/кг, был усыплен в состоянии</w:t>
      </w:r>
      <w:r w:rsidR="00451447">
        <w:t xml:space="preserve"> агонии</w:t>
      </w:r>
      <w:r w:rsidRPr="00944B59">
        <w:t xml:space="preserve"> на 51-й день. У него отмечались воспалительные изменения в нижних отделах толстой кишки в сочетании с тяжелыми изменениями в двенадцатиперстной кишке. Основными органами-мишенями </w:t>
      </w:r>
      <w:r w:rsidR="00451447" w:rsidRPr="00944B59">
        <w:t>токсич</w:t>
      </w:r>
      <w:r w:rsidR="00451447">
        <w:t>еского воздействия</w:t>
      </w:r>
      <w:r w:rsidR="00451447" w:rsidRPr="00944B59">
        <w:t xml:space="preserve"> </w:t>
      </w:r>
      <w:r w:rsidRPr="00944B59">
        <w:t xml:space="preserve">являлись органы </w:t>
      </w:r>
      <w:r w:rsidR="002659C2" w:rsidRPr="00944B59">
        <w:t>ЖКТ</w:t>
      </w:r>
      <w:r w:rsidRPr="00944B59">
        <w:t xml:space="preserve"> (двенадцатиперстная кишка, желчный пузырь, поджелудочная железа) </w:t>
      </w:r>
      <w:r w:rsidRPr="00944B59">
        <w:fldChar w:fldCharType="begin"/>
      </w:r>
      <w:r w:rsidRPr="00944B59">
        <w:instrText xml:space="preserve"> ADDIN ZOTERO_ITEM CSL_CITATION {"citationID":"iF1YqjtM","properties":{"formattedCitation":"[8]","plainCitation":"[8]","noteIndex":0},"citationItems":[{"id":2746,"uris":["http://zotero.org/users/5483459/items/Z6Y8HY5F"],"itemData":{"id":2746,"type":"document","title":"U.S.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22CB8793" w14:textId="77777777" w:rsidR="00944B59" w:rsidRPr="00944B59" w:rsidRDefault="00944B59" w:rsidP="00944B59">
      <w:pPr>
        <w:ind w:firstLine="851"/>
      </w:pPr>
    </w:p>
    <w:p w14:paraId="3CD8A1AC" w14:textId="5E74F52D" w:rsidR="00200EBA" w:rsidRPr="00944B59" w:rsidRDefault="00200EBA" w:rsidP="00944B59">
      <w:pPr>
        <w:rPr>
          <w:b/>
        </w:rPr>
      </w:pPr>
      <w:r w:rsidRPr="00944B59">
        <w:rPr>
          <w:b/>
        </w:rPr>
        <w:t>Влияние на мочевыделительную систему</w:t>
      </w:r>
    </w:p>
    <w:p w14:paraId="57A7F0A6" w14:textId="77777777" w:rsidR="00944B59" w:rsidRPr="00944B59" w:rsidRDefault="00944B59" w:rsidP="00944B59">
      <w:pPr>
        <w:ind w:firstLine="851"/>
      </w:pPr>
    </w:p>
    <w:p w14:paraId="5DBF2710" w14:textId="5CC5565F" w:rsidR="00200EBA" w:rsidRPr="00944B59" w:rsidRDefault="00200EBA" w:rsidP="00451447">
      <w:pPr>
        <w:ind w:firstLine="709"/>
      </w:pPr>
      <w:r w:rsidRPr="00944B59">
        <w:t xml:space="preserve">В 26-недельном исследовании у крыс </w:t>
      </w:r>
      <w:r w:rsidRPr="00944B59">
        <w:rPr>
          <w:iCs/>
          <w:lang w:val="en-US"/>
        </w:rPr>
        <w:t>Sprague</w:t>
      </w:r>
      <w:r w:rsidRPr="00944B59">
        <w:rPr>
          <w:iCs/>
        </w:rPr>
        <w:t xml:space="preserve"> </w:t>
      </w:r>
      <w:r w:rsidRPr="00944B59">
        <w:rPr>
          <w:iCs/>
          <w:lang w:val="en-US"/>
        </w:rPr>
        <w:t>Dawley</w:t>
      </w:r>
      <w:r w:rsidRPr="00944B59">
        <w:t xml:space="preserve"> (по 15 самцов и самок в экспериментальных группах и контроле) ленватиниб вводили перорально один раз в день через желудочный зонд в дозах 0,4, 2 или 10 мг/кг (2,4, 12 или 60 мг/м</w:t>
      </w:r>
      <w:r w:rsidRPr="00944B59">
        <w:rPr>
          <w:vertAlign w:val="superscript"/>
        </w:rPr>
        <w:t>2</w:t>
      </w:r>
      <w:r w:rsidRPr="00944B59">
        <w:t xml:space="preserve">). </w:t>
      </w:r>
      <w:r w:rsidR="00451447">
        <w:t>Смертельный исход</w:t>
      </w:r>
      <w:r w:rsidR="00451447" w:rsidRPr="00944B59">
        <w:t xml:space="preserve"> отмечал</w:t>
      </w:r>
      <w:r w:rsidR="00451447">
        <w:t>ся</w:t>
      </w:r>
      <w:r w:rsidR="00451447" w:rsidRPr="00944B59">
        <w:t xml:space="preserve"> </w:t>
      </w:r>
      <w:r w:rsidRPr="00944B59">
        <w:t>у 11 экспериментальных животных при дозе</w:t>
      </w:r>
      <w:r w:rsidR="00197CAF">
        <w:t xml:space="preserve"> 10 мг/кг на 12 неделе лечения. </w:t>
      </w:r>
      <w:r w:rsidRPr="00944B59">
        <w:t xml:space="preserve">У погибших животных отмечалось поражение почек (гломерулопатия и гломерулонефропатия) </w:t>
      </w:r>
      <w:r w:rsidRPr="00944B59">
        <w:fldChar w:fldCharType="begin"/>
      </w:r>
      <w:r w:rsidRPr="00944B59">
        <w:instrText xml:space="preserve"> ADDIN ZOTERO_ITEM CSL_CITATION {"citationID":"BPqRnSm2","properties":{"formattedCitation":"[8]","plainCitation":"[8]","noteIndex":0},"citationItems":[{"id":2746,"uris":["http://zotero.org/users/5483459/items/Z6Y8HY5F"],"itemData":{"id":2746,"type":"document","title":"U.S.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094A7A04" w14:textId="0D52218E" w:rsidR="00200EBA" w:rsidRPr="00944B59" w:rsidRDefault="00200EBA" w:rsidP="00451447">
      <w:pPr>
        <w:ind w:firstLine="709"/>
      </w:pPr>
      <w:r w:rsidRPr="00944B59">
        <w:t>В исследовании у обезьян (яванские макаки) ленватиниб вводили перорально один раз в день через желудочный зонд в дозах 0,3, 3 или 30 мг/кг (3,6, 36 или 360 мг/м</w:t>
      </w:r>
      <w:r w:rsidRPr="00944B59">
        <w:rPr>
          <w:vertAlign w:val="superscript"/>
        </w:rPr>
        <w:t>2</w:t>
      </w:r>
      <w:r w:rsidRPr="00944B59">
        <w:t>) в течение 4 недель и 0,1, 0,5 или 3 мг/кг (1,2, 6 или 36 мг/м</w:t>
      </w:r>
      <w:r w:rsidRPr="00944B59">
        <w:rPr>
          <w:vertAlign w:val="superscript"/>
        </w:rPr>
        <w:t>2</w:t>
      </w:r>
      <w:r w:rsidRPr="00944B59">
        <w:t>) в течение 39 недель. Основными органами-мишенями токсичности являлись почки. Протеинурия отмечалась при дозе 3 мг/кг (36 мг/м</w:t>
      </w:r>
      <w:r w:rsidRPr="00944B59">
        <w:rPr>
          <w:vertAlign w:val="superscript"/>
        </w:rPr>
        <w:t>2</w:t>
      </w:r>
      <w:r w:rsidRPr="00944B59">
        <w:t xml:space="preserve">) </w:t>
      </w:r>
      <w:r w:rsidRPr="00944B59">
        <w:fldChar w:fldCharType="begin"/>
      </w:r>
      <w:r w:rsidRPr="00944B59">
        <w:instrText xml:space="preserve"> ADDIN ZOTERO_ITEM CSL_CITATION {"citationID":"Zrqy6oFo","properties":{"formattedCitation":"[8]","plainCitation":"[8]","noteIndex":0},"citationItems":[{"id":2746,"uris":["http://zotero.org/users/5483459/items/Z6Y8HY5F"],"itemData":{"id":2746,"type":"document","title":"U.S.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22DE0A92" w14:textId="77777777" w:rsidR="00944B59" w:rsidRPr="00944B59" w:rsidRDefault="00944B59" w:rsidP="00944B59">
      <w:pPr>
        <w:ind w:firstLine="851"/>
      </w:pPr>
    </w:p>
    <w:p w14:paraId="09379FD5" w14:textId="77777777" w:rsidR="00200EBA" w:rsidRPr="00944B59" w:rsidRDefault="00200EBA" w:rsidP="00944B59">
      <w:pPr>
        <w:rPr>
          <w:b/>
        </w:rPr>
      </w:pPr>
      <w:r w:rsidRPr="00944B59">
        <w:rPr>
          <w:b/>
        </w:rPr>
        <w:t>Влияние на кроветворную систему</w:t>
      </w:r>
    </w:p>
    <w:p w14:paraId="05F2B50D" w14:textId="77777777" w:rsidR="00944B59" w:rsidRPr="00944B59" w:rsidRDefault="00944B59" w:rsidP="00944B59">
      <w:pPr>
        <w:ind w:firstLine="851"/>
      </w:pPr>
    </w:p>
    <w:p w14:paraId="35FB6095" w14:textId="380DD6B5" w:rsidR="00200EBA" w:rsidRPr="00944B59" w:rsidRDefault="00200EBA" w:rsidP="00197CAF">
      <w:pPr>
        <w:ind w:firstLine="709"/>
      </w:pPr>
      <w:r w:rsidRPr="00944B59">
        <w:t xml:space="preserve">При проведении 7-дневного исследования по выбору дозы для токсикологических исследований, ленватиниб в дозах 100, 300 и 1000 мг/кг вводили один раз в день через желудочный зонд самцам крыс </w:t>
      </w:r>
      <w:r w:rsidRPr="00944B59">
        <w:rPr>
          <w:iCs/>
        </w:rPr>
        <w:t>Sprague-Dawley</w:t>
      </w:r>
      <w:r w:rsidRPr="00944B59">
        <w:t xml:space="preserve"> (6 самцов в экспериментальной группе, 6 в контроле). При дозе 100 мг/кг наблюдалось снижение количества тромбоцитов.</w:t>
      </w:r>
    </w:p>
    <w:p w14:paraId="07B5026F" w14:textId="7708EB84" w:rsidR="00200EBA" w:rsidRPr="00944B59" w:rsidRDefault="00200EBA" w:rsidP="00197CAF">
      <w:pPr>
        <w:ind w:firstLine="709"/>
      </w:pPr>
      <w:r w:rsidRPr="00944B59">
        <w:t xml:space="preserve">В 4-недельном исследовании у крыс </w:t>
      </w:r>
      <w:r w:rsidRPr="00944B59">
        <w:rPr>
          <w:iCs/>
        </w:rPr>
        <w:t>Sprague Dawley</w:t>
      </w:r>
      <w:r w:rsidRPr="00944B59">
        <w:t xml:space="preserve"> (по 16 самцов и самок в экспериментальных группах и контроле) при дозе ≥30 мг/кг (180 мг/м</w:t>
      </w:r>
      <w:r w:rsidRPr="00944B59">
        <w:rPr>
          <w:vertAlign w:val="superscript"/>
        </w:rPr>
        <w:t>2</w:t>
      </w:r>
      <w:r w:rsidRPr="00944B59">
        <w:t xml:space="preserve">) отмечались явления гематотоксичности, проявлявшиеся в поражении </w:t>
      </w:r>
      <w:r w:rsidR="00451447">
        <w:t>стволовых клеток крови</w:t>
      </w:r>
      <w:r w:rsidRPr="00944B59">
        <w:t>, снижении уровня гемоглобина и количества эритроцитов (3).</w:t>
      </w:r>
    </w:p>
    <w:p w14:paraId="462B08AF" w14:textId="5FC472F6" w:rsidR="00200EBA" w:rsidRPr="00944B59" w:rsidRDefault="00200EBA" w:rsidP="00197CAF">
      <w:pPr>
        <w:ind w:firstLine="709"/>
      </w:pPr>
      <w:r w:rsidRPr="00944B59">
        <w:t>В 39-недельном исследовании у обезьян (по 2 самца и самки в экспериментальных группах и контроле, яванские макаки) ленватиниб вводили перорально один раз в день через желудочный зонд в дозах 0,1, 0,5 или 3 мг/кг (1,2, 6 или 36 мг/м</w:t>
      </w:r>
      <w:r w:rsidRPr="00944B59">
        <w:rPr>
          <w:vertAlign w:val="superscript"/>
        </w:rPr>
        <w:t>2</w:t>
      </w:r>
      <w:r w:rsidRPr="00944B59">
        <w:t>). Основными орган</w:t>
      </w:r>
      <w:r w:rsidR="00175E9A" w:rsidRPr="00944B59">
        <w:t>ами</w:t>
      </w:r>
      <w:r w:rsidRPr="00944B59">
        <w:t>-</w:t>
      </w:r>
      <w:r w:rsidR="00175E9A" w:rsidRPr="00944B59">
        <w:t xml:space="preserve">мишенями </w:t>
      </w:r>
      <w:r w:rsidRPr="00944B59">
        <w:t xml:space="preserve">токсичности являлись тимус и селезенка </w:t>
      </w:r>
      <w:r w:rsidRPr="00944B59">
        <w:fldChar w:fldCharType="begin"/>
      </w:r>
      <w:r w:rsidRPr="00944B59">
        <w:instrText xml:space="preserve"> ADDIN ZOTERO_ITEM CSL_CITATION {"citationID":"eAfy8Cib","properties":{"formattedCitation":"[8]","plainCitation":"[8]","noteIndex":0},"citationItems":[{"id":2746,"uris":["http://zotero.org/users/5483459/items/Z6Y8HY5F"],"itemData":{"id":2746,"type":"document","title":"U.S.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0E7B41CE" w14:textId="77777777" w:rsidR="00944B59" w:rsidRPr="00944B59" w:rsidRDefault="00944B59" w:rsidP="00944B59">
      <w:pPr>
        <w:ind w:firstLine="851"/>
      </w:pPr>
    </w:p>
    <w:p w14:paraId="2556C7A8" w14:textId="77777777" w:rsidR="00E36A78" w:rsidRDefault="00E36A78" w:rsidP="00944B59">
      <w:pPr>
        <w:rPr>
          <w:b/>
        </w:rPr>
        <w:sectPr w:rsidR="00E36A78" w:rsidSect="00AB01E2">
          <w:pgSz w:w="11906" w:h="16838"/>
          <w:pgMar w:top="1134" w:right="849" w:bottom="1134" w:left="1701" w:header="708" w:footer="709" w:gutter="0"/>
          <w:cols w:space="708"/>
          <w:docGrid w:linePitch="360"/>
        </w:sectPr>
      </w:pPr>
    </w:p>
    <w:p w14:paraId="7BF8E96D" w14:textId="4B841642" w:rsidR="00200EBA" w:rsidRPr="00944B59" w:rsidRDefault="00200EBA" w:rsidP="00944B59">
      <w:pPr>
        <w:rPr>
          <w:b/>
        </w:rPr>
      </w:pPr>
      <w:r w:rsidRPr="00944B59">
        <w:rPr>
          <w:b/>
        </w:rPr>
        <w:lastRenderedPageBreak/>
        <w:t xml:space="preserve">Сосудистые поражения </w:t>
      </w:r>
    </w:p>
    <w:p w14:paraId="5F050BB3" w14:textId="77777777" w:rsidR="00944B59" w:rsidRPr="00944B59" w:rsidRDefault="00944B59" w:rsidP="00944B59">
      <w:pPr>
        <w:ind w:firstLine="851"/>
      </w:pPr>
    </w:p>
    <w:p w14:paraId="17200238" w14:textId="3B1D34CC" w:rsidR="00200EBA" w:rsidRPr="00944B59" w:rsidRDefault="00200EBA" w:rsidP="00197CAF">
      <w:pPr>
        <w:ind w:firstLine="709"/>
      </w:pPr>
      <w:r w:rsidRPr="00944B59">
        <w:t xml:space="preserve">В 26-недельном исследовании у крыс </w:t>
      </w:r>
      <w:r w:rsidRPr="00944B59">
        <w:rPr>
          <w:iCs/>
          <w:lang w:val="en-US"/>
        </w:rPr>
        <w:t>Sprague</w:t>
      </w:r>
      <w:r w:rsidRPr="00944B59">
        <w:rPr>
          <w:iCs/>
        </w:rPr>
        <w:t xml:space="preserve"> </w:t>
      </w:r>
      <w:r w:rsidRPr="00944B59">
        <w:rPr>
          <w:iCs/>
          <w:lang w:val="en-US"/>
        </w:rPr>
        <w:t>Dawley</w:t>
      </w:r>
      <w:r w:rsidRPr="00944B59">
        <w:t xml:space="preserve"> (по 15 самцов и самок в экспериментальных группах и контроле) ленватиниб вводили перорально один раз в день через желудочный зонд в дозах 0,4, 2 или 10 мг/кг (2,4, 12 или 60 мг/м</w:t>
      </w:r>
      <w:r w:rsidRPr="00944B59">
        <w:rPr>
          <w:vertAlign w:val="superscript"/>
        </w:rPr>
        <w:t>2</w:t>
      </w:r>
      <w:r w:rsidRPr="00944B59">
        <w:t xml:space="preserve">). Сосудистые изменения в 26-недельном исследовании на крысах были связаны с кровоизлиянием в надпочечники и двенадцатиперстную кишку </w:t>
      </w:r>
      <w:r w:rsidR="00175E9A" w:rsidRPr="00944B59">
        <w:t>при дозе</w:t>
      </w:r>
      <w:r w:rsidRPr="00944B59">
        <w:t xml:space="preserve"> 10 мг/кг (60 мг/м</w:t>
      </w:r>
      <w:r w:rsidRPr="00944B59">
        <w:rPr>
          <w:vertAlign w:val="superscript"/>
        </w:rPr>
        <w:t>2</w:t>
      </w:r>
      <w:r w:rsidRPr="00944B59">
        <w:t xml:space="preserve">). Также кровоизлияние наблюдалось в задних конечностях у одной крысы, которой </w:t>
      </w:r>
      <w:r w:rsidR="00451447">
        <w:t xml:space="preserve">ленватиниб </w:t>
      </w:r>
      <w:r w:rsidRPr="00944B59">
        <w:t xml:space="preserve">вводили </w:t>
      </w:r>
      <w:r w:rsidR="00451447">
        <w:t xml:space="preserve">в дозе </w:t>
      </w:r>
      <w:r w:rsidRPr="00944B59">
        <w:t xml:space="preserve">10 мг/кг. Сосудистые поражения, связанные с фармакологией ленватиниба, наблюдались во многих тканях крыс после 26 недель лечения ленватинибом, включая артериит в общем желчном протоке и поджелудочной железе и некроз медиальных артериол в почках, желудке, двенадцатиперстной кишке, жировой ткани, яичках и селезенке </w:t>
      </w:r>
      <w:r w:rsidRPr="00944B59">
        <w:fldChar w:fldCharType="begin"/>
      </w:r>
      <w:r w:rsidRPr="00944B59">
        <w:instrText xml:space="preserve"> ADDIN ZOTERO_ITEM CSL_CITATION {"citationID":"zKxoNJr4","properties":{"formattedCitation":"[8]","plainCitation":"[8]","noteIndex":0},"citationItems":[{"id":2746,"uris":["http://zotero.org/users/5483459/items/Z6Y8HY5F"],"itemData":{"id":2746,"type":"document","title":"U.S.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 xml:space="preserve">. </w:t>
      </w:r>
    </w:p>
    <w:p w14:paraId="4201EF7E" w14:textId="06CAB0BF" w:rsidR="00200EBA" w:rsidRPr="00944B59" w:rsidRDefault="00200EBA" w:rsidP="00197CAF">
      <w:pPr>
        <w:ind w:firstLine="709"/>
      </w:pPr>
      <w:r w:rsidRPr="00944B59">
        <w:t>В исследовании у обезьян (яванские макаки) ленватиниб вводили перорально один раз в день через желудочный зонд в дозах 0,3, 3 или 30 мг/кг (3,6, 36 или 360 мг/м</w:t>
      </w:r>
      <w:r w:rsidRPr="00944B59">
        <w:rPr>
          <w:vertAlign w:val="superscript"/>
        </w:rPr>
        <w:t>2</w:t>
      </w:r>
      <w:r w:rsidRPr="00944B59">
        <w:t>) в течение 4 недель. Наблюдаемые сосудистые изменения у обезьян были связаны с очаговым кровотечением в кишечнике и желчном пузыре при уровне дозы 30 мг/кг (360 мг/м</w:t>
      </w:r>
      <w:r w:rsidRPr="00944B59">
        <w:rPr>
          <w:vertAlign w:val="superscript"/>
        </w:rPr>
        <w:t>2</w:t>
      </w:r>
      <w:r w:rsidRPr="00944B59">
        <w:t>) и в сосудистом сплетении при уровне дозы ≥3 мг/кг (36</w:t>
      </w:r>
      <w:r w:rsidR="009D35C0" w:rsidRPr="00944B59">
        <w:t xml:space="preserve"> </w:t>
      </w:r>
      <w:r w:rsidRPr="00944B59">
        <w:t>мг/м</w:t>
      </w:r>
      <w:r w:rsidRPr="00944B59">
        <w:rPr>
          <w:vertAlign w:val="superscript"/>
        </w:rPr>
        <w:t>2</w:t>
      </w:r>
      <w:r w:rsidRPr="00944B59">
        <w:t xml:space="preserve">) </w:t>
      </w:r>
      <w:r w:rsidRPr="00944B59">
        <w:fldChar w:fldCharType="begin"/>
      </w:r>
      <w:r w:rsidRPr="00944B59">
        <w:instrText xml:space="preserve"> ADDIN ZOTERO_ITEM CSL_CITATION {"citationID":"33jcCNsb","properties":{"formattedCitation":"[8]","plainCitation":"[8]","noteIndex":0},"citationItems":[{"id":2746,"uris":["http://zotero.org/users/5483459/items/Z6Y8HY5F"],"itemData":{"id":2746,"type":"document","title":"U.S.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5F4D83BF" w14:textId="28EB3334" w:rsidR="00200EBA" w:rsidRPr="00944B59" w:rsidRDefault="00200EBA" w:rsidP="00197CAF">
      <w:pPr>
        <w:ind w:firstLine="709"/>
      </w:pPr>
      <w:r w:rsidRPr="00944B59">
        <w:t>В 39-недельном исследовании у обезьян (по 2 самца и самки в экспериментальных группах и контроле, яванские макаки) ленватиниб вводили перорально один раз в день через желудочный зонд в дозах 0,1, 0,5 или 3 мг/кг (1,2, 6 или 36 мг/м</w:t>
      </w:r>
      <w:r w:rsidRPr="00944B59">
        <w:rPr>
          <w:vertAlign w:val="superscript"/>
        </w:rPr>
        <w:t>2</w:t>
      </w:r>
      <w:r w:rsidRPr="00944B59">
        <w:t xml:space="preserve">). Связанные с ленватинибом сосудистые поражения, наблюдаемые у обезьян после 39 недель, включали фиброзный некроз артериол в двенадцатиперстной кишке, желчном пузыре и сосудистом сплетении </w:t>
      </w:r>
      <w:r w:rsidRPr="00944B59">
        <w:fldChar w:fldCharType="begin"/>
      </w:r>
      <w:r w:rsidRPr="00944B59">
        <w:instrText xml:space="preserve"> ADDIN ZOTERO_ITEM CSL_CITATION {"citationID":"DIFLRhSM","properties":{"formattedCitation":"[8]","plainCitation":"[8]","noteIndex":0},"citationItems":[{"id":2746,"uris":["http://zotero.org/users/5483459/items/Z6Y8HY5F"],"itemData":{"id":2746,"type":"document","title":"U.S.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 xml:space="preserve">. </w:t>
      </w:r>
    </w:p>
    <w:p w14:paraId="3BC42176" w14:textId="35829015" w:rsidR="00200EBA" w:rsidRPr="00944B59" w:rsidRDefault="00200EBA" w:rsidP="00197CAF">
      <w:pPr>
        <w:ind w:firstLine="709"/>
      </w:pPr>
      <w:r w:rsidRPr="00944B59">
        <w:t>Эозинофильный экссудат в сосудистом сплетении наблюдался через 26 и 39 недель после введения ленватиниба крысам и обезьянам в дозах 60 мг/м</w:t>
      </w:r>
      <w:r w:rsidRPr="00944B59">
        <w:rPr>
          <w:vertAlign w:val="superscript"/>
        </w:rPr>
        <w:t>2</w:t>
      </w:r>
      <w:r w:rsidRPr="00944B59">
        <w:t xml:space="preserve"> и 36 мг/м</w:t>
      </w:r>
      <w:r w:rsidRPr="00944B59">
        <w:rPr>
          <w:vertAlign w:val="superscript"/>
        </w:rPr>
        <w:t>2</w:t>
      </w:r>
      <w:r w:rsidRPr="00944B59">
        <w:t xml:space="preserve"> соответственно. У одной крысы наблюдалось очаговое ишемическое размягчение коры головного мозга при воздействии ленватиниба</w:t>
      </w:r>
      <w:r w:rsidR="00451447">
        <w:t>,</w:t>
      </w:r>
      <w:r w:rsidRPr="00944B59">
        <w:t xml:space="preserve"> примерно в 9–39 раз превышающем клиническое воздействие по AUC в рекомендуемой дозе для человека </w:t>
      </w:r>
      <w:r w:rsidRPr="00944B59">
        <w:fldChar w:fldCharType="begin"/>
      </w:r>
      <w:r w:rsidRPr="00944B59">
        <w:instrText xml:space="preserve"> ADDIN ZOTERO_ITEM CSL_CITATION {"citationID":"sHjsZhVt","properties":{"formattedCitation":"[8]","plainCitation":"[8]","noteIndex":0},"citationItems":[{"id":2746,"uris":["http://zotero.org/users/5483459/items/Z6Y8HY5F"],"itemData":{"id":2746,"type":"document","title":"U.S.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6E4474FF" w14:textId="77777777" w:rsidR="00200EBA" w:rsidRDefault="00200EBA" w:rsidP="00200EBA">
      <w:pPr>
        <w:spacing w:before="240" w:after="240"/>
        <w:outlineLvl w:val="2"/>
        <w:rPr>
          <w:b/>
          <w:color w:val="000000" w:themeColor="text1"/>
        </w:rPr>
      </w:pPr>
      <w:bookmarkStart w:id="103" w:name="_Toc126059716"/>
      <w:r w:rsidRPr="005E6358">
        <w:rPr>
          <w:b/>
          <w:color w:val="000000" w:themeColor="text1"/>
        </w:rPr>
        <w:t>3.1.</w:t>
      </w:r>
      <w:r>
        <w:rPr>
          <w:b/>
          <w:color w:val="000000" w:themeColor="text1"/>
        </w:rPr>
        <w:t>5</w:t>
      </w:r>
      <w:r w:rsidRPr="005E6358">
        <w:rPr>
          <w:b/>
          <w:color w:val="000000" w:themeColor="text1"/>
        </w:rPr>
        <w:t>. Фармакодинамические лекарственные взаимодействия</w:t>
      </w:r>
      <w:bookmarkEnd w:id="103"/>
    </w:p>
    <w:p w14:paraId="53493F44" w14:textId="37354024" w:rsidR="00200EBA" w:rsidRDefault="00200EBA" w:rsidP="00197CAF">
      <w:pPr>
        <w:ind w:firstLine="709"/>
      </w:pPr>
      <w:r w:rsidRPr="00DE3273">
        <w:t xml:space="preserve">Ингибиторы ангиогенеза, такие как ленватиниб и сорафениб, и ингибитор иммунных контрольных точек ниволумаб </w:t>
      </w:r>
      <w:r>
        <w:t xml:space="preserve">применяются </w:t>
      </w:r>
      <w:r w:rsidRPr="00DE3273">
        <w:t xml:space="preserve">для противоопухолевой терапии прогрессирующей </w:t>
      </w:r>
      <w:r w:rsidR="00543694">
        <w:t>ГЦК</w:t>
      </w:r>
      <w:r>
        <w:t>.</w:t>
      </w:r>
      <w:r w:rsidRPr="00DE3273">
        <w:t xml:space="preserve"> Комбинированное лечение, включающее ингибиторы ангиогенеза плюс ингибитор иммунных контрольных точек, является многообещающим вариантом для улучшения клинического эффекта у пациентов с </w:t>
      </w:r>
      <w:r w:rsidR="006C7E4D">
        <w:t>ГЦК</w:t>
      </w:r>
      <w:r>
        <w:t xml:space="preserve">. </w:t>
      </w:r>
      <w:r w:rsidR="00451447">
        <w:t>Ис</w:t>
      </w:r>
      <w:r w:rsidRPr="00DE3273">
        <w:t>следова</w:t>
      </w:r>
      <w:r>
        <w:t>на</w:t>
      </w:r>
      <w:r w:rsidRPr="00DE3273">
        <w:t xml:space="preserve"> противоопухолев</w:t>
      </w:r>
      <w:r>
        <w:t>ая</w:t>
      </w:r>
      <w:r w:rsidRPr="00DE3273">
        <w:t xml:space="preserve"> и иммуномодулирующ</w:t>
      </w:r>
      <w:r>
        <w:t>ая</w:t>
      </w:r>
      <w:r w:rsidRPr="00DE3273">
        <w:t xml:space="preserve"> активность ленватиниба и комбинированная противоопухолевая активность ленватиниба и антител против запрограммированной гибели клеток 1 (PD-1) в сингенной модели </w:t>
      </w:r>
      <w:r w:rsidRPr="00EA515E">
        <w:rPr>
          <w:i/>
          <w:iCs/>
        </w:rPr>
        <w:t>HCC Hepa1-6</w:t>
      </w:r>
      <w:r w:rsidRPr="00DE3273">
        <w:t xml:space="preserve"> у мышей. </w:t>
      </w:r>
      <w:r w:rsidR="00451447">
        <w:t>Установлено</w:t>
      </w:r>
      <w:r w:rsidRPr="00DE3273">
        <w:t xml:space="preserve">, что противоопухолевая активность ленватиниба и сорафениба не отличалась у мышей с иммунодефицитом, но ленватиниб проявлял более сильную противоопухолевую активность, чем сорафениб у иммунокомпетентных мышей. Противоопухолевая активность ленватиниба была выше у иммунокомпетентных мышей, чем у мышей с иммунодефицитом и ослаблялась при истощении CD8+ Т-клеток. Лечение ленватинибом в сочетании с антителом к PD-1 приводило к более выраженной регрессии опухоли и более высокой частоте ответа по сравнению с любым лечением по отдельности у иммунокомпетентных мышей. Анализ секвенирования РНК одиночных клеток показал, что лечение </w:t>
      </w:r>
      <w:r w:rsidR="00451447">
        <w:t xml:space="preserve">комбинацией </w:t>
      </w:r>
      <w:r w:rsidR="00451447" w:rsidRPr="00DE3273">
        <w:lastRenderedPageBreak/>
        <w:t>ленватиниб</w:t>
      </w:r>
      <w:r w:rsidR="00451447">
        <w:t>+</w:t>
      </w:r>
      <w:r w:rsidRPr="00DE3273">
        <w:t xml:space="preserve">антитело против PD-1 или </w:t>
      </w:r>
      <w:r w:rsidR="00451447">
        <w:t>ленватинибом в виде монотерапии</w:t>
      </w:r>
      <w:r w:rsidR="00451447" w:rsidRPr="00DE3273">
        <w:t xml:space="preserve"> </w:t>
      </w:r>
      <w:r w:rsidRPr="00DE3273">
        <w:t xml:space="preserve">снижало долю популяции моноцитов и макрофагов и увеличивало долю популяции CD8+ Т-клеток. Эти данные свидетельствуют о том, что ленватиниб обладает иммуномодулирующей активностью, которая </w:t>
      </w:r>
      <w:r>
        <w:t>усиливает</w:t>
      </w:r>
      <w:r w:rsidRPr="00DE3273">
        <w:t xml:space="preserve"> противоопухолев</w:t>
      </w:r>
      <w:r>
        <w:t>ую</w:t>
      </w:r>
      <w:r w:rsidRPr="00DE3273">
        <w:t xml:space="preserve"> активност</w:t>
      </w:r>
      <w:r>
        <w:t>ь</w:t>
      </w:r>
      <w:r w:rsidRPr="00DE3273">
        <w:t xml:space="preserve"> ленватиниба и усиливает противоопухолевую активность при комбинированном лечении с антителом против PD-1 </w:t>
      </w:r>
      <w:r>
        <w:fldChar w:fldCharType="begin"/>
      </w:r>
      <w:r>
        <w:instrText xml:space="preserve"> ADDIN ZOTERO_ITEM CSL_CITATION {"citationID":"NopM8r6d","properties":{"formattedCitation":"[11]","plainCitation":"[11]","noteIndex":0},"citationItems":[{"id":2749,"uris":["http://zotero.org/users/5483459/items/MFXYR4ZH"],"itemData":{"id":2749,"type":"article-journal","abstract":"Angiogenesis inhibitors such as lenvatinib and sorafenib, and an immune checkpoint inhibitor (ICI), nivolumab, are used for anticancer therapies against advanced hepatocellular carcinoma (HCC). Combination treatments comprising angiogenesis inhibitors plus ICIs are promising options for improving clinical benefits in HCC patients, and clinical trials are ongoing. Here, we investigated the antitumor and immunomodulatory activities of lenvatinib (a multiple receptor tyrosine kinase inhibitor targeting vascular endothelial growth factor receptor 1-3, fibroblast growth factor receptor 1-4, platelet-derived growth factor receptor α, KIT and RET) and the combined antitumor activity of lenvatinib plus anti-programmed cell death 1 (PD-1) antibody in the Hepa1-6 mouse HCC syngeneic model. We found that the antitumor activities of lenvatinib and sorafenib were not different in immunodeficient mice, but lenvatinib showed more potent antitumor activity than sorafenib in immunocompetent mice. The antitumor activity of lenvatinib was greater in immunocompetent mice than in immunodeficient mice and was attenuated by CD8+ T cell depletion. Treatment with lenvatinib plus anti-PD-1 antibody resulted in more tumor regression and a higher response rate compared with either treatment alone in immunocompetent mice. Single-cell RNA sequencing analysis demonstrated that treatment with lenvatinib with or without anti-PD-1 antibody decreased the proportion of monocytes and macrophages population and increased that of CD8+ T cell populations. These data suggest that lenvatinib has immunomodulatory activity that contributes to the antitumor activity of lenvatinib and enhances the antitumor activity in combination treatment with anti-PD-1 antibody. Combination treatment of lenvatinib plus anti-PD-1 antibody therefore warrants further investigation against advanced HCC.","container-title":"Cancer Science","DOI":"10.1111/cas.13806","ISSN":"1349-7006","issue":"12","journalAbbreviation":"Cancer Sci","language":"eng","note":"PMID: 30447042\nPMCID: PMC6272102","page":"3993-4002","source":"PubMed","title":"Immunomodulatory activity of lenvatinib contributes to antitumor activity in the Hepa1-6 hepatocellular carcinoma model","volume":"109","author":[{"family":"Kimura","given":"Takayuki"},{"family":"Kato","given":"Yu"},{"family":"Ozawa","given":"Yoichi"},{"family":"Kodama","given":"Kotaro"},{"family":"Ito","given":"Junichi"},{"family":"Ichikawa","given":"Kenji"},{"family":"Yamada","given":"Kazuhiko"},{"family":"Hori","given":"Yusaku"},{"family":"Tabata","given":"Kimiyo"},{"family":"Takase","given":"Kazuma"},{"family":"Matsui","given":"Junji"},{"family":"Funahashi","given":"Yasuhiro"},{"family":"Nomoto","given":"Kenichi"}],"issued":{"date-parts":[["2018",12]]}}}],"schema":"https://github.com/citation-style-language/schema/raw/master/csl-citation.json"} </w:instrText>
      </w:r>
      <w:r>
        <w:fldChar w:fldCharType="separate"/>
      </w:r>
      <w:r w:rsidRPr="0001535E">
        <w:t>[11]</w:t>
      </w:r>
      <w:r>
        <w:fldChar w:fldCharType="end"/>
      </w:r>
      <w:r>
        <w:t>.</w:t>
      </w:r>
    </w:p>
    <w:p w14:paraId="3C0CEB72" w14:textId="77777777" w:rsidR="00200EBA" w:rsidRDefault="00200EBA" w:rsidP="00200EBA">
      <w:pPr>
        <w:pStyle w:val="2"/>
        <w:tabs>
          <w:tab w:val="left" w:pos="284"/>
          <w:tab w:val="left" w:pos="567"/>
        </w:tabs>
        <w:spacing w:line="240" w:lineRule="auto"/>
        <w:rPr>
          <w:color w:val="000000" w:themeColor="text1"/>
        </w:rPr>
      </w:pPr>
      <w:bookmarkStart w:id="104" w:name="_Toc126059717"/>
      <w:bookmarkEnd w:id="94"/>
      <w:bookmarkEnd w:id="95"/>
      <w:r w:rsidRPr="005E6358">
        <w:rPr>
          <w:color w:val="000000" w:themeColor="text1"/>
        </w:rPr>
        <w:t>3.2. Доклиническая фармакокинетика</w:t>
      </w:r>
      <w:bookmarkEnd w:id="104"/>
    </w:p>
    <w:p w14:paraId="56B142CA" w14:textId="2C8F0B7F" w:rsidR="00200EBA" w:rsidRDefault="00200EBA" w:rsidP="00200EBA">
      <w:pPr>
        <w:ind w:firstLine="709"/>
      </w:pPr>
      <w:bookmarkStart w:id="105" w:name="_Hlk118183696"/>
      <w:r>
        <w:t xml:space="preserve">Фармакокинетика ленватиниба оценивалась </w:t>
      </w:r>
      <w:r w:rsidRPr="008E0699">
        <w:rPr>
          <w:i/>
          <w:iCs/>
        </w:rPr>
        <w:t>in vivo</w:t>
      </w:r>
      <w:r>
        <w:t xml:space="preserve"> после перорального </w:t>
      </w:r>
      <w:r w:rsidRPr="007453EB">
        <w:t>введения мыш</w:t>
      </w:r>
      <w:r w:rsidR="00451447">
        <w:t>ам</w:t>
      </w:r>
      <w:r w:rsidRPr="007453EB">
        <w:t>, крыс</w:t>
      </w:r>
      <w:r w:rsidR="00451447">
        <w:t>ам</w:t>
      </w:r>
      <w:r w:rsidRPr="007453EB">
        <w:t>, собак</w:t>
      </w:r>
      <w:r w:rsidR="00451447">
        <w:t>ам</w:t>
      </w:r>
      <w:r w:rsidRPr="007453EB">
        <w:t xml:space="preserve"> и обезьян</w:t>
      </w:r>
      <w:r w:rsidR="00451447">
        <w:t>ам</w:t>
      </w:r>
      <w:r w:rsidRPr="007453EB">
        <w:t xml:space="preserve">. Образцы плазмы, собранные у мышей, крыс, собак и обезьян в ходе токсикокинетических исследований, анализировали с помощью ВЭЖХ с определением радиоактивности и ЖХ/МС. После введения радиоактивного </w:t>
      </w:r>
      <w:r w:rsidRPr="00C22830">
        <w:rPr>
          <w:vertAlign w:val="superscript"/>
        </w:rPr>
        <w:t>14</w:t>
      </w:r>
      <w:r w:rsidRPr="007453EB">
        <w:t xml:space="preserve">C-ленватиниба радиоактивность измеряли </w:t>
      </w:r>
      <w:bookmarkStart w:id="106" w:name="_Hlk118313509"/>
      <w:r w:rsidR="00451447">
        <w:t xml:space="preserve">с помощью </w:t>
      </w:r>
      <w:r w:rsidRPr="007453EB">
        <w:t>ЖСС</w:t>
      </w:r>
      <w:bookmarkEnd w:id="106"/>
      <w:r w:rsidRPr="007453EB">
        <w:t xml:space="preserve">. Билиарная экскреция исследовалась у крыс с канюлированными желчными протоками в течение 48 часов после введения </w:t>
      </w:r>
      <w:r w:rsidRPr="00EA515E">
        <w:rPr>
          <w:vertAlign w:val="superscript"/>
        </w:rPr>
        <w:t>14</w:t>
      </w:r>
      <w:r w:rsidRPr="007453EB">
        <w:t>C-ленватиниба</w:t>
      </w:r>
      <w:r>
        <w:t xml:space="preserve"> </w:t>
      </w:r>
      <w:r>
        <w:fldChar w:fldCharType="begin"/>
      </w:r>
      <w:r>
        <w:instrText xml:space="preserve"> ADDIN ZOTERO_ITEM CSL_CITATION {"citationID":"mFkIhyYS","properties":{"formattedCitation":"[6\\uc0\\u8211{}8]","plainCitation":"[6–8]","noteIndex":0},"citationItems":[{"id":2745,"uris":["http://zotero.org/users/5483459/items/95XEZDWJ"],"itemData":{"id":2745,"type":"document","title":"European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rsidRPr="007453EB">
        <w:t>.</w:t>
      </w:r>
    </w:p>
    <w:p w14:paraId="695C1912" w14:textId="77777777" w:rsidR="00200EBA" w:rsidRDefault="00200EBA" w:rsidP="00200EBA">
      <w:pPr>
        <w:spacing w:before="240" w:after="240"/>
        <w:outlineLvl w:val="2"/>
        <w:rPr>
          <w:b/>
          <w:bCs/>
          <w:iCs/>
          <w:color w:val="000000" w:themeColor="text1"/>
          <w:szCs w:val="28"/>
        </w:rPr>
      </w:pPr>
      <w:bookmarkStart w:id="107" w:name="_Toc484199228"/>
      <w:bookmarkStart w:id="108" w:name="_Toc10578060"/>
      <w:bookmarkStart w:id="109" w:name="_Hlk521883862"/>
      <w:bookmarkStart w:id="110" w:name="_Toc483835323"/>
      <w:bookmarkStart w:id="111" w:name="_Toc484591394"/>
      <w:bookmarkStart w:id="112" w:name="_Toc415001099"/>
      <w:bookmarkStart w:id="113" w:name="_Toc298775544"/>
      <w:bookmarkStart w:id="114" w:name="_Toc126059718"/>
      <w:bookmarkEnd w:id="105"/>
      <w:r w:rsidRPr="001B1959">
        <w:rPr>
          <w:b/>
          <w:color w:val="000000" w:themeColor="text1"/>
        </w:rPr>
        <w:t>3</w:t>
      </w:r>
      <w:r>
        <w:rPr>
          <w:b/>
          <w:color w:val="000000" w:themeColor="text1"/>
        </w:rPr>
        <w:t xml:space="preserve">.2.1. </w:t>
      </w:r>
      <w:bookmarkEnd w:id="107"/>
      <w:bookmarkEnd w:id="108"/>
      <w:r>
        <w:rPr>
          <w:b/>
          <w:bCs/>
          <w:iCs/>
          <w:color w:val="000000" w:themeColor="text1"/>
          <w:szCs w:val="28"/>
        </w:rPr>
        <w:t>Всасывание</w:t>
      </w:r>
      <w:bookmarkEnd w:id="114"/>
    </w:p>
    <w:p w14:paraId="0D3AB1A4" w14:textId="16861FD3" w:rsidR="00200EBA" w:rsidRPr="004B6859" w:rsidRDefault="00200EBA" w:rsidP="00197CAF">
      <w:pPr>
        <w:ind w:firstLine="709"/>
      </w:pPr>
      <w:bookmarkStart w:id="115" w:name="_Hlk118183769"/>
      <w:r w:rsidRPr="004B6859">
        <w:t>Пероральная биодоступность</w:t>
      </w:r>
      <w:r>
        <w:t xml:space="preserve"> </w:t>
      </w:r>
      <w:r w:rsidRPr="004B6859">
        <w:t>ленватиниб</w:t>
      </w:r>
      <w:r>
        <w:t>а</w:t>
      </w:r>
      <w:r w:rsidRPr="004B6859">
        <w:t xml:space="preserve"> составлял</w:t>
      </w:r>
      <w:r>
        <w:t>а</w:t>
      </w:r>
      <w:r w:rsidRPr="004B6859">
        <w:t xml:space="preserve"> 64,4%, 68,7%, 70,4% и 78,4% у мышей, крыс, собак и обезьян</w:t>
      </w:r>
      <w:r w:rsidR="00451447">
        <w:t>,</w:t>
      </w:r>
      <w:r>
        <w:t xml:space="preserve"> </w:t>
      </w:r>
      <w:r w:rsidRPr="004B6859">
        <w:t>соответственно. T</w:t>
      </w:r>
      <w:r w:rsidRPr="00447E48">
        <w:rPr>
          <w:vertAlign w:val="subscript"/>
        </w:rPr>
        <w:t>max</w:t>
      </w:r>
      <w:r w:rsidRPr="004B6859">
        <w:t xml:space="preserve"> варьировала</w:t>
      </w:r>
      <w:r>
        <w:t xml:space="preserve"> </w:t>
      </w:r>
      <w:r w:rsidRPr="004B6859">
        <w:t>от 0,5 до 2 часов у животных после перорального введения ленватиниба, что незначительно</w:t>
      </w:r>
      <w:r>
        <w:t xml:space="preserve"> </w:t>
      </w:r>
      <w:r w:rsidRPr="004B6859">
        <w:t xml:space="preserve">короче, чем диапазон от 1 до 4 часов, наблюдаемый у людей. </w:t>
      </w:r>
    </w:p>
    <w:p w14:paraId="1FBD9BD9" w14:textId="1B861863" w:rsidR="00200EBA" w:rsidRPr="001B1959" w:rsidRDefault="00200EBA" w:rsidP="00200EBA">
      <w:pPr>
        <w:ind w:firstLine="567"/>
      </w:pPr>
      <w:r>
        <w:t>П</w:t>
      </w:r>
      <w:r w:rsidRPr="004B6859">
        <w:t>ериод полувыведения у всех видов животных после однократного перорального приема ленватиниба</w:t>
      </w:r>
      <w:r>
        <w:t xml:space="preserve"> </w:t>
      </w:r>
      <w:r w:rsidRPr="004B6859">
        <w:t>колеб</w:t>
      </w:r>
      <w:r>
        <w:t>лется</w:t>
      </w:r>
      <w:r w:rsidRPr="004B6859">
        <w:t xml:space="preserve"> от 1,74 до 5,27 часов, что намного короче, чем у людей</w:t>
      </w:r>
      <w:r>
        <w:t xml:space="preserve"> </w:t>
      </w:r>
      <w:r w:rsidRPr="004B6859">
        <w:t>(~28 часов после однократного и многократного приема ленватиниба</w:t>
      </w:r>
      <w:r>
        <w:t xml:space="preserve"> </w:t>
      </w:r>
      <w:r>
        <w:fldChar w:fldCharType="begin"/>
      </w:r>
      <w:r>
        <w:instrText xml:space="preserve"> ADDIN ZOTERO_ITEM CSL_CITATION {"citationID":"uLYRmrUD","properties":{"formattedCitation":"[6\\uc0\\u8211{}8]","plainCitation":"[6–8]","noteIndex":0},"citationItems":[{"id":2745,"uris":["http://zotero.org/users/5483459/items/95XEZDWJ"],"itemData":{"id":2745,"type":"document","title":"European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rsidRPr="004B6859">
        <w:t>.</w:t>
      </w:r>
      <w:r>
        <w:t xml:space="preserve"> </w:t>
      </w:r>
    </w:p>
    <w:p w14:paraId="4810A14F" w14:textId="77777777" w:rsidR="00200EBA" w:rsidRDefault="00200EBA" w:rsidP="00200EBA">
      <w:pPr>
        <w:spacing w:before="240" w:after="240"/>
        <w:outlineLvl w:val="2"/>
        <w:rPr>
          <w:b/>
          <w:bCs/>
          <w:color w:val="000000" w:themeColor="text1"/>
        </w:rPr>
      </w:pPr>
      <w:bookmarkStart w:id="116" w:name="_Toc484199229"/>
      <w:bookmarkStart w:id="117" w:name="_Toc10578061"/>
      <w:bookmarkStart w:id="118" w:name="_Toc126059719"/>
      <w:bookmarkEnd w:id="115"/>
      <w:r>
        <w:rPr>
          <w:b/>
          <w:color w:val="000000" w:themeColor="text1"/>
        </w:rPr>
        <w:t xml:space="preserve">3.2.2. </w:t>
      </w:r>
      <w:bookmarkEnd w:id="116"/>
      <w:bookmarkEnd w:id="117"/>
      <w:r>
        <w:rPr>
          <w:b/>
          <w:bCs/>
          <w:color w:val="000000" w:themeColor="text1"/>
        </w:rPr>
        <w:t>Распределение</w:t>
      </w:r>
      <w:bookmarkEnd w:id="118"/>
    </w:p>
    <w:p w14:paraId="4109267F" w14:textId="29483170" w:rsidR="00200EBA" w:rsidRDefault="00200EBA" w:rsidP="00197CAF">
      <w:pPr>
        <w:ind w:firstLine="709"/>
      </w:pPr>
      <w:bookmarkStart w:id="119" w:name="_Hlk118183875"/>
      <w:r>
        <w:t>Р</w:t>
      </w:r>
      <w:r w:rsidRPr="00784ECE">
        <w:t>адиоактивность</w:t>
      </w:r>
      <w:r>
        <w:t xml:space="preserve"> после перорального приема радиоактивного </w:t>
      </w:r>
      <w:r w:rsidRPr="00FA6FD7">
        <w:rPr>
          <w:vertAlign w:val="superscript"/>
        </w:rPr>
        <w:t>14</w:t>
      </w:r>
      <w:r w:rsidRPr="00784ECE">
        <w:t>C-ленватиниб</w:t>
      </w:r>
      <w:r>
        <w:t>а</w:t>
      </w:r>
      <w:r w:rsidRPr="00784ECE">
        <w:t xml:space="preserve"> </w:t>
      </w:r>
      <w:r>
        <w:t xml:space="preserve">крысам (перорально через желудочный зонд в дозе 3 мг/кг) </w:t>
      </w:r>
      <w:r w:rsidRPr="00784ECE">
        <w:t>достигла максимальн</w:t>
      </w:r>
      <w:r>
        <w:t>ого</w:t>
      </w:r>
      <w:r w:rsidRPr="00784ECE">
        <w:t xml:space="preserve"> уровн</w:t>
      </w:r>
      <w:r>
        <w:t>я</w:t>
      </w:r>
      <w:r w:rsidRPr="00784ECE">
        <w:t xml:space="preserve"> в большинстве тканей через 30 мин после введения </w:t>
      </w:r>
      <w:r w:rsidRPr="00FA6FD7">
        <w:rPr>
          <w:vertAlign w:val="superscript"/>
        </w:rPr>
        <w:t>14</w:t>
      </w:r>
      <w:r w:rsidRPr="00784ECE">
        <w:t>C-ленватиниб</w:t>
      </w:r>
      <w:r>
        <w:t>а</w:t>
      </w:r>
      <w:r w:rsidRPr="00784ECE">
        <w:t>, за исключением слепой кишки,</w:t>
      </w:r>
      <w:r>
        <w:t xml:space="preserve"> </w:t>
      </w:r>
      <w:r w:rsidRPr="00784ECE">
        <w:t>толст</w:t>
      </w:r>
      <w:r>
        <w:t>ой</w:t>
      </w:r>
      <w:r w:rsidRPr="00784ECE">
        <w:t xml:space="preserve"> </w:t>
      </w:r>
      <w:r w:rsidR="00A50E43" w:rsidRPr="00784ECE">
        <w:t>кишк</w:t>
      </w:r>
      <w:r w:rsidR="00A50E43">
        <w:t>и</w:t>
      </w:r>
      <w:r w:rsidR="00A50E43" w:rsidRPr="00784ECE">
        <w:t xml:space="preserve"> </w:t>
      </w:r>
      <w:r w:rsidRPr="00784ECE">
        <w:t>и кож</w:t>
      </w:r>
      <w:r>
        <w:t>и</w:t>
      </w:r>
      <w:r w:rsidRPr="00784ECE">
        <w:t>, где он</w:t>
      </w:r>
      <w:r w:rsidR="00A50E43">
        <w:t>а</w:t>
      </w:r>
      <w:r w:rsidRPr="00784ECE">
        <w:t xml:space="preserve"> достиг</w:t>
      </w:r>
      <w:r w:rsidR="00A50E43">
        <w:t>ала</w:t>
      </w:r>
      <w:r w:rsidRPr="00784ECE">
        <w:t xml:space="preserve"> максимальн</w:t>
      </w:r>
      <w:r>
        <w:t>ого</w:t>
      </w:r>
      <w:r w:rsidRPr="00784ECE">
        <w:t xml:space="preserve"> уровн</w:t>
      </w:r>
      <w:r>
        <w:t>я</w:t>
      </w:r>
      <w:r w:rsidRPr="00784ECE">
        <w:t xml:space="preserve"> через 6 часов после введения. </w:t>
      </w:r>
      <w:r>
        <w:t>Р</w:t>
      </w:r>
      <w:r w:rsidRPr="00784ECE">
        <w:t xml:space="preserve">аспределение </w:t>
      </w:r>
      <w:bookmarkStart w:id="120" w:name="_Hlk117697599"/>
      <w:r w:rsidRPr="00157A2F">
        <w:rPr>
          <w:vertAlign w:val="superscript"/>
        </w:rPr>
        <w:t>14</w:t>
      </w:r>
      <w:r w:rsidRPr="00784ECE">
        <w:t xml:space="preserve">C-ленватиниба </w:t>
      </w:r>
      <w:bookmarkEnd w:id="120"/>
      <w:r w:rsidRPr="00784ECE">
        <w:t>было самым высоким в</w:t>
      </w:r>
      <w:r>
        <w:t xml:space="preserve"> </w:t>
      </w:r>
      <w:r w:rsidRPr="00784ECE">
        <w:t>печен</w:t>
      </w:r>
      <w:r>
        <w:t>и</w:t>
      </w:r>
      <w:r w:rsidRPr="00784ECE">
        <w:t xml:space="preserve"> крыс, надпочечник</w:t>
      </w:r>
      <w:r>
        <w:t>ах</w:t>
      </w:r>
      <w:r w:rsidRPr="00784ECE">
        <w:t>, желуд</w:t>
      </w:r>
      <w:r>
        <w:t>ке</w:t>
      </w:r>
      <w:r w:rsidRPr="00784ECE">
        <w:t xml:space="preserve"> и тонк</w:t>
      </w:r>
      <w:r>
        <w:t>ом</w:t>
      </w:r>
      <w:r w:rsidRPr="00784ECE">
        <w:t xml:space="preserve"> кишечник</w:t>
      </w:r>
      <w:r>
        <w:t>е</w:t>
      </w:r>
      <w:r w:rsidRPr="00784ECE">
        <w:t xml:space="preserve"> (</w:t>
      </w:r>
      <w:r>
        <w:t>в</w:t>
      </w:r>
      <w:r w:rsidRPr="00784ECE">
        <w:t xml:space="preserve"> 1</w:t>
      </w:r>
      <w:r>
        <w:t>-</w:t>
      </w:r>
      <w:r w:rsidRPr="00784ECE">
        <w:t>3 раз</w:t>
      </w:r>
      <w:r>
        <w:t>а</w:t>
      </w:r>
      <w:r w:rsidRPr="00784ECE">
        <w:t xml:space="preserve"> выше, чем в</w:t>
      </w:r>
      <w:r>
        <w:t xml:space="preserve"> </w:t>
      </w:r>
      <w:r w:rsidRPr="00784ECE">
        <w:t>плазм</w:t>
      </w:r>
      <w:r>
        <w:t>е</w:t>
      </w:r>
      <w:r w:rsidRPr="00784ECE">
        <w:t>)</w:t>
      </w:r>
      <w:r>
        <w:t>.</w:t>
      </w:r>
      <w:r w:rsidRPr="00784ECE">
        <w:t xml:space="preserve"> </w:t>
      </w:r>
      <w:r>
        <w:t>Ч</w:t>
      </w:r>
      <w:r w:rsidRPr="00784ECE">
        <w:t xml:space="preserve">ерез 30 минут после введения </w:t>
      </w:r>
      <w:r>
        <w:t xml:space="preserve">радиоактивного </w:t>
      </w:r>
      <w:r w:rsidRPr="00FA6FD7">
        <w:rPr>
          <w:vertAlign w:val="superscript"/>
        </w:rPr>
        <w:t>14</w:t>
      </w:r>
      <w:r w:rsidRPr="00784ECE">
        <w:t>C-ленватиниб</w:t>
      </w:r>
      <w:r>
        <w:t>а, радиоактивность</w:t>
      </w:r>
      <w:r w:rsidRPr="00784ECE">
        <w:t xml:space="preserve"> </w:t>
      </w:r>
      <w:r w:rsidR="00A50E43" w:rsidRPr="00784ECE">
        <w:t xml:space="preserve">в слепой кишке и толстой кишке </w:t>
      </w:r>
      <w:r w:rsidR="00A50E43">
        <w:t xml:space="preserve">была </w:t>
      </w:r>
      <w:r w:rsidRPr="00784ECE">
        <w:t>примерно в 12 раз выше, чем</w:t>
      </w:r>
      <w:r>
        <w:t xml:space="preserve"> </w:t>
      </w:r>
      <w:r w:rsidRPr="00784ECE">
        <w:t xml:space="preserve">в плазме через 6 часов после введения. Распределение </w:t>
      </w:r>
      <w:r w:rsidRPr="00CE0C84">
        <w:rPr>
          <w:vertAlign w:val="superscript"/>
        </w:rPr>
        <w:t>14</w:t>
      </w:r>
      <w:r w:rsidRPr="00784ECE">
        <w:t>C-ленватиниба в головном мозге крыс,</w:t>
      </w:r>
      <w:r>
        <w:t xml:space="preserve"> </w:t>
      </w:r>
      <w:r w:rsidRPr="00784ECE">
        <w:t>мозжечк</w:t>
      </w:r>
      <w:r>
        <w:t>е</w:t>
      </w:r>
      <w:r w:rsidRPr="00784ECE">
        <w:t>, продолговато</w:t>
      </w:r>
      <w:r>
        <w:t>м</w:t>
      </w:r>
      <w:r w:rsidRPr="00784ECE">
        <w:t xml:space="preserve"> мозг</w:t>
      </w:r>
      <w:r>
        <w:t>е</w:t>
      </w:r>
      <w:r w:rsidRPr="00784ECE">
        <w:t xml:space="preserve"> и спинно</w:t>
      </w:r>
      <w:r>
        <w:t>м</w:t>
      </w:r>
      <w:r w:rsidRPr="00784ECE">
        <w:t xml:space="preserve"> мозг</w:t>
      </w:r>
      <w:r>
        <w:t>е</w:t>
      </w:r>
      <w:r w:rsidRPr="00784ECE">
        <w:t xml:space="preserve"> составлял</w:t>
      </w:r>
      <w:r>
        <w:t>о</w:t>
      </w:r>
      <w:r w:rsidRPr="00784ECE">
        <w:t xml:space="preserve"> ≤2% </w:t>
      </w:r>
      <w:r w:rsidRPr="0056524B">
        <w:rPr>
          <w:vertAlign w:val="superscript"/>
        </w:rPr>
        <w:t>14</w:t>
      </w:r>
      <w:r w:rsidRPr="00784ECE">
        <w:t>C-ленватиниба в</w:t>
      </w:r>
      <w:r>
        <w:t xml:space="preserve"> </w:t>
      </w:r>
      <w:r w:rsidRPr="00784ECE">
        <w:t>плазме, а распределение радиоактивности в головной мозг составило ≤0,02% от общей дозы</w:t>
      </w:r>
      <w:r>
        <w:t xml:space="preserve"> </w:t>
      </w:r>
      <w:r w:rsidRPr="00784ECE">
        <w:t>радиоактивност</w:t>
      </w:r>
      <w:r>
        <w:t xml:space="preserve">и </w:t>
      </w:r>
      <w:r>
        <w:fldChar w:fldCharType="begin"/>
      </w:r>
      <w:r>
        <w:instrText xml:space="preserve"> ADDIN ZOTERO_ITEM CSL_CITATION {"citationID":"AKoNDiC1","properties":{"formattedCitation":"[6\\uc0\\u8211{}8]","plainCitation":"[6–8]","noteIndex":0},"citationItems":[{"id":2745,"uris":["http://zotero.org/users/5483459/items/95XEZDWJ"],"itemData":{"id":2745,"type":"document","title":"European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rsidRPr="004B6859">
        <w:t>.</w:t>
      </w:r>
      <w:r w:rsidRPr="00784ECE">
        <w:t xml:space="preserve"> </w:t>
      </w:r>
    </w:p>
    <w:p w14:paraId="1716A4F7" w14:textId="37D02817" w:rsidR="00200EBA" w:rsidRDefault="00200EBA" w:rsidP="00197CAF">
      <w:pPr>
        <w:ind w:firstLine="709"/>
      </w:pPr>
      <w:r>
        <w:t xml:space="preserve">После однократного перорального введения </w:t>
      </w:r>
      <w:r w:rsidRPr="001702E8">
        <w:rPr>
          <w:vertAlign w:val="superscript"/>
        </w:rPr>
        <w:t>14</w:t>
      </w:r>
      <w:r>
        <w:t>C-ленватиниба обезьянам (перорально через желудочный зонд в дозе 3 мг/кг) радиоактивность достигал</w:t>
      </w:r>
      <w:r w:rsidR="00A50E43">
        <w:t>а</w:t>
      </w:r>
      <w:r>
        <w:t xml:space="preserve"> своего максимального уровня в большинстве тканей через 4 часа после введения, за исключением роговицы, радужки, сосудистой оболочки, хрусталика, склер и толстой кишки, где </w:t>
      </w:r>
      <w:r w:rsidRPr="00784ECE">
        <w:t>максимальн</w:t>
      </w:r>
      <w:r>
        <w:t>ый</w:t>
      </w:r>
      <w:r w:rsidRPr="00784ECE">
        <w:t xml:space="preserve"> уров</w:t>
      </w:r>
      <w:r>
        <w:t xml:space="preserve">ень достигался через 24 часа </w:t>
      </w:r>
      <w:r>
        <w:fldChar w:fldCharType="begin"/>
      </w:r>
      <w:r>
        <w:instrText xml:space="preserve"> ADDIN ZOTERO_ITEM CSL_CITATION {"citationID":"wwpqPoxb","properties":{"formattedCitation":"[6\\uc0\\u8211{}8]","plainCitation":"[6–8]","noteIndex":0},"citationItems":[{"id":2745,"uris":["http://zotero.org/users/5483459/items/95XEZDWJ"],"itemData":{"id":2745,"type":"document","title":"European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rsidRPr="004B6859">
        <w:t>.</w:t>
      </w:r>
      <w:r>
        <w:t xml:space="preserve"> </w:t>
      </w:r>
    </w:p>
    <w:p w14:paraId="5ADB12CB" w14:textId="77777777" w:rsidR="00E36A78" w:rsidRDefault="00E36A78" w:rsidP="00200EBA">
      <w:pPr>
        <w:spacing w:before="240" w:after="240"/>
        <w:outlineLvl w:val="2"/>
        <w:rPr>
          <w:b/>
          <w:color w:val="000000" w:themeColor="text1"/>
        </w:rPr>
        <w:sectPr w:rsidR="00E36A78" w:rsidSect="00AB01E2">
          <w:pgSz w:w="11906" w:h="16838"/>
          <w:pgMar w:top="1134" w:right="849" w:bottom="1134" w:left="1701" w:header="708" w:footer="709" w:gutter="0"/>
          <w:cols w:space="708"/>
          <w:docGrid w:linePitch="360"/>
        </w:sectPr>
      </w:pPr>
      <w:bookmarkStart w:id="121" w:name="_Toc99740801"/>
      <w:bookmarkEnd w:id="119"/>
    </w:p>
    <w:p w14:paraId="5AC34E80" w14:textId="660B4ECE" w:rsidR="00200EBA" w:rsidRPr="001B1959" w:rsidRDefault="00200EBA" w:rsidP="00200EBA">
      <w:pPr>
        <w:spacing w:before="240" w:after="240"/>
        <w:outlineLvl w:val="2"/>
        <w:rPr>
          <w:b/>
          <w:color w:val="000000" w:themeColor="text1"/>
        </w:rPr>
      </w:pPr>
      <w:bookmarkStart w:id="122" w:name="_Toc126059720"/>
      <w:r>
        <w:rPr>
          <w:b/>
          <w:color w:val="000000" w:themeColor="text1"/>
        </w:rPr>
        <w:lastRenderedPageBreak/>
        <w:t xml:space="preserve">3.2.3. </w:t>
      </w:r>
      <w:r>
        <w:rPr>
          <w:b/>
          <w:bCs/>
          <w:color w:val="000000" w:themeColor="text1"/>
        </w:rPr>
        <w:t>Связывание с белками плазмы</w:t>
      </w:r>
      <w:bookmarkEnd w:id="121"/>
      <w:bookmarkEnd w:id="122"/>
    </w:p>
    <w:p w14:paraId="11A77C3D" w14:textId="3D896ED3" w:rsidR="00200EBA" w:rsidRDefault="00200EBA" w:rsidP="00197CAF">
      <w:pPr>
        <w:ind w:firstLine="709"/>
      </w:pPr>
      <w:bookmarkStart w:id="123" w:name="_Hlk118183963"/>
      <w:r w:rsidRPr="003F1A1A">
        <w:rPr>
          <w:i/>
          <w:iCs/>
        </w:rPr>
        <w:t>In vitro</w:t>
      </w:r>
      <w:r w:rsidRPr="0050405E">
        <w:t xml:space="preserve"> ленватиниб в значительной степени связывался с белками плазмы</w:t>
      </w:r>
      <w:r>
        <w:t xml:space="preserve"> как у животных </w:t>
      </w:r>
      <w:r w:rsidRPr="006C6DAE">
        <w:t>(~90-98%),</w:t>
      </w:r>
      <w:r>
        <w:t xml:space="preserve"> так и у человека</w:t>
      </w:r>
      <w:r w:rsidRPr="0050405E">
        <w:t xml:space="preserve"> (98–99%), </w:t>
      </w:r>
      <w:bookmarkStart w:id="124" w:name="_Hlk117977386"/>
      <w:r w:rsidRPr="0050405E">
        <w:t>преимущественно с альбумином и в меньшей степени с α1-кислым гликопротеином и γ-глобулином</w:t>
      </w:r>
      <w:r w:rsidRPr="003F1A1A">
        <w:t xml:space="preserve"> </w:t>
      </w:r>
      <w:bookmarkEnd w:id="124"/>
      <w:r>
        <w:fldChar w:fldCharType="begin"/>
      </w:r>
      <w:r>
        <w:instrText xml:space="preserve"> ADDIN ZOTERO_ITEM CSL_CITATION {"citationID":"OGVBYLjC","properties":{"formattedCitation":"[12]","plainCitation":"[12]","noteIndex":0},"citationItems":[{"id":2753,"uris":["http://zotero.org/users/5483459/items/BM7VSZ5K"],"itemData":{"id":2753,"type":"article-journal","abstract":"Analyses of compounds in clinical development have shown that ligand efficient-molecules with privileged physical properties and low dose are less likely to fail in the various stages of clinical testing, have fewer postapproval withdrawals, and are less likely to receive black box safety warnings. However, detailed side-by-side examination of molecular interactions and properties within single drug classes are lacking. As a class, VEGF receptor tyrosine kinase inhibitors (VEGFR TKIs) have changed the landscape of how cancer is treated, particularly in clear cell renal cell carcinoma, which is molecularly linked to the VEGF signaling axis. Despite the clear role of the molecular target, member molecules of this validated drug class exhibit distinct clinical efficacy and safety profiles in comparable renal cell carcinoma clinical studies. The first head-to-head randomized phase III comparative study between active VEGFR TKIs has confirmed significant differences in clinical performance [Rini BI, et al. (2011) Lancet 378:193–1939]. To elucidate how fundamental drug potency–efficiency is achieved and impacts differentiation within the VEGFR TKI class, we determined potencies, time dependence, selectivities, and X-ray structures of the drug–kinase complexes using a VEGFR2 TK construct inclusive of the important juxtamembrane domain. Collectively, the studies elucidate unique drug–kinase interactions that are dependent on distinct juxtamembrane domain conformations, resulting in significant potency and ligand efficiency differences. The identified structural trends are consistent with in vitro measurements, which translate well to clinical performance, underscoring a principle that may be broadly applicable to prospective drug design for optimal in vivo performance.","container-title":"Proceedings of the National Academy of Sciences of the United States of America","DOI":"10.1073/pnas.1207759109","ISSN":"0027-8424","issue":"45","journalAbbreviation":"Proc Natl Acad Sci U S A","note":"PMID: 22988103\nPMCID: PMC3494931","page":"18281-18289","source":"PubMed Central","title":"Molecular conformations, interactions, and properties associated with drug efficiency and clinical performance among VEGFR TK inhibitors","volume":"109","author":[{"family":"McTigue","given":"Michele"},{"family":"Murray","given":"Brion William"},{"family":"Chen","given":"Jeffrey H."},{"family":"Deng","given":"Ya-Li"},{"family":"Solowiej","given":"James"},{"family":"Kania","given":"Robert S."}],"issued":{"date-parts":[["2012",11,6]]}}}],"schema":"https://github.com/citation-style-language/schema/raw/master/csl-citation.json"} </w:instrText>
      </w:r>
      <w:r>
        <w:fldChar w:fldCharType="separate"/>
      </w:r>
      <w:r w:rsidRPr="0001535E">
        <w:t>[12]</w:t>
      </w:r>
      <w:r>
        <w:fldChar w:fldCharType="end"/>
      </w:r>
      <w:r>
        <w:t xml:space="preserve">. </w:t>
      </w:r>
    </w:p>
    <w:bookmarkEnd w:id="123"/>
    <w:p w14:paraId="23167DE0" w14:textId="0E92B299" w:rsidR="00B7750F" w:rsidRDefault="00200EBA" w:rsidP="00197CAF">
      <w:pPr>
        <w:ind w:firstLine="709"/>
      </w:pPr>
      <w:r>
        <w:t xml:space="preserve">Связывание ленватиниба мезилата с белками плазмы (от 0,3 до 30 мкг/мл) у бестимусных мышей, </w:t>
      </w:r>
      <w:r w:rsidRPr="00197CAF">
        <w:t xml:space="preserve">крыс </w:t>
      </w:r>
      <w:r w:rsidRPr="00197CAF">
        <w:rPr>
          <w:iCs/>
        </w:rPr>
        <w:t>Sprague Dawley</w:t>
      </w:r>
      <w:r w:rsidRPr="00197CAF">
        <w:t>, собак,</w:t>
      </w:r>
      <w:r>
        <w:t xml:space="preserve"> яванских макак и людей определяли с помощью равновесного диализа </w:t>
      </w:r>
      <w:r w:rsidRPr="0061437B">
        <w:rPr>
          <w:i/>
          <w:iCs/>
        </w:rPr>
        <w:t>in vitro</w:t>
      </w:r>
      <w:r>
        <w:t xml:space="preserve">. Среди протестированных видов ленватиниб проявлял самое высокое связывание с белками плазмы у человека, независимо от концентрации (от 97,87% до 98,62%), затем у крыс (от 97,70% до 98,20%), бестимусных мышей (от 96,28% до 96,92%), обезьян (от 95,90% до 96,17%) и собак (от 89,71% до 91,75%) </w:t>
      </w:r>
      <w:r>
        <w:fldChar w:fldCharType="begin"/>
      </w:r>
      <w:r>
        <w:instrText xml:space="preserve"> ADDIN ZOTERO_ITEM CSL_CITATION {"citationID":"sCJJDtLp","properties":{"formattedCitation":"[6,13]","plainCitation":"[6,13]","noteIndex":0},"citationItems":[{"id":2745,"uris":["http://zotero.org/users/5483459/items/95XEZDWJ"],"itemData":{"id":2745,"type":"document","title":"European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2015."},"label":"page"}],"schema":"https://github.com/citation-style-language/schema/raw/master/csl-citation.json"} </w:instrText>
      </w:r>
      <w:r>
        <w:fldChar w:fldCharType="separate"/>
      </w:r>
      <w:r w:rsidRPr="0001535E">
        <w:t>[6,13]</w:t>
      </w:r>
      <w:r>
        <w:fldChar w:fldCharType="end"/>
      </w:r>
      <w:r w:rsidR="00944B59">
        <w:t>.</w:t>
      </w:r>
    </w:p>
    <w:p w14:paraId="388BE48F" w14:textId="77777777" w:rsidR="00200EBA" w:rsidRDefault="00200EBA" w:rsidP="00200EBA">
      <w:pPr>
        <w:spacing w:before="240" w:after="240"/>
        <w:outlineLvl w:val="2"/>
        <w:rPr>
          <w:b/>
          <w:bCs/>
          <w:color w:val="000000" w:themeColor="text1"/>
        </w:rPr>
      </w:pPr>
      <w:bookmarkStart w:id="125" w:name="_Toc126059721"/>
      <w:r>
        <w:rPr>
          <w:b/>
          <w:color w:val="000000" w:themeColor="text1"/>
        </w:rPr>
        <w:t xml:space="preserve">3.2.4. </w:t>
      </w:r>
      <w:r>
        <w:rPr>
          <w:b/>
          <w:bCs/>
          <w:color w:val="000000" w:themeColor="text1"/>
        </w:rPr>
        <w:t>Метаболизм</w:t>
      </w:r>
      <w:bookmarkEnd w:id="125"/>
    </w:p>
    <w:p w14:paraId="69CC0C33" w14:textId="61B87340" w:rsidR="00200EBA" w:rsidRDefault="00200EBA" w:rsidP="00200EBA">
      <w:pPr>
        <w:ind w:firstLine="709"/>
      </w:pPr>
      <w:bookmarkStart w:id="126" w:name="_Hlk118183988"/>
      <w:r>
        <w:t>Был оценен</w:t>
      </w:r>
      <w:r w:rsidRPr="008374E0">
        <w:t xml:space="preserve"> метаболизм ленватиниба </w:t>
      </w:r>
      <w:r w:rsidRPr="00D670A4">
        <w:rPr>
          <w:i/>
          <w:iCs/>
        </w:rPr>
        <w:t>in vitro</w:t>
      </w:r>
      <w:r w:rsidRPr="008374E0">
        <w:t xml:space="preserve"> с использованием микросом печени </w:t>
      </w:r>
      <w:r w:rsidR="00A50E43" w:rsidRPr="008374E0">
        <w:t>мыш</w:t>
      </w:r>
      <w:r w:rsidR="00A50E43">
        <w:t>ей</w:t>
      </w:r>
      <w:r w:rsidRPr="008374E0">
        <w:t>, крыс, собак, обезьян и человека</w:t>
      </w:r>
      <w:r>
        <w:t xml:space="preserve">, </w:t>
      </w:r>
      <w:r w:rsidRPr="008374E0">
        <w:t xml:space="preserve">реакционные смеси анализировали с помощью ЖХ/МС. В микросомах печени </w:t>
      </w:r>
      <w:r w:rsidR="00A50E43">
        <w:t xml:space="preserve">животных </w:t>
      </w:r>
      <w:r w:rsidRPr="008374E0">
        <w:t>было идентифицировано восемь метаболито</w:t>
      </w:r>
      <w:r>
        <w:t xml:space="preserve">в. </w:t>
      </w:r>
      <w:r w:rsidRPr="00622932">
        <w:t>В микросомах печени человека обнаружено шесть метаболитов: М1, М2, М3, М4, М5 и М8. M8 также был обнаружен в микросомах печени обезьян, а остальные 5 метаболитов были обнаружены в микросомах всех исследованных видов. М2, деметилированная форма ленватиниба, был основным метаболитом, идентифицированным в микросомах печени человека</w:t>
      </w:r>
      <w:r>
        <w:t xml:space="preserve"> </w:t>
      </w:r>
      <w:r>
        <w:fldChar w:fldCharType="begin"/>
      </w:r>
      <w:r>
        <w:instrText xml:space="preserve"> ADDIN ZOTERO_ITEM CSL_CITATION {"citationID":"ZndDPZdl","properties":{"formattedCitation":"[8]","plainCitation":"[8]","noteIndex":0},"citationItems":[{"id":2746,"uris":["http://zotero.org/users/5483459/items/Z6Y8HY5F"],"itemData":{"id":2746,"type":"document","title":"U.S.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bookmarkEnd w:id="126"/>
    <w:p w14:paraId="53FD00F4" w14:textId="6D4E8847" w:rsidR="00200EBA" w:rsidRDefault="00200EBA" w:rsidP="00200EBA">
      <w:pPr>
        <w:ind w:firstLine="709"/>
      </w:pPr>
      <w:r w:rsidRPr="00F7155F">
        <w:t xml:space="preserve">Для оценки метаболизма ленватиниба </w:t>
      </w:r>
      <w:r w:rsidRPr="00F7155F">
        <w:rPr>
          <w:i/>
          <w:iCs/>
        </w:rPr>
        <w:t>in vivo</w:t>
      </w:r>
      <w:r w:rsidRPr="00F7155F">
        <w:t xml:space="preserve"> </w:t>
      </w:r>
      <w:r>
        <w:t xml:space="preserve">были оценены </w:t>
      </w:r>
      <w:r w:rsidRPr="00F7155F">
        <w:t>метаболит</w:t>
      </w:r>
      <w:r>
        <w:t xml:space="preserve">ы </w:t>
      </w:r>
      <w:r w:rsidRPr="00F7155F">
        <w:t xml:space="preserve">в плазме, печени, почках, моче, фекалиях и желчи после однократного перорального введения </w:t>
      </w:r>
      <w:r w:rsidRPr="00BE0396">
        <w:rPr>
          <w:vertAlign w:val="superscript"/>
        </w:rPr>
        <w:t>14</w:t>
      </w:r>
      <w:r>
        <w:t xml:space="preserve">C-ленватиниба </w:t>
      </w:r>
      <w:r w:rsidRPr="00F7155F">
        <w:t>крысам и обезьянам</w:t>
      </w:r>
      <w:r w:rsidR="000608D8">
        <w:t>.</w:t>
      </w:r>
      <w:r>
        <w:t xml:space="preserve"> М</w:t>
      </w:r>
      <w:r w:rsidRPr="00F7155F">
        <w:t xml:space="preserve">етаболиты анализировали с помощью </w:t>
      </w:r>
      <w:bookmarkStart w:id="127" w:name="_Hlk119276909"/>
      <w:r w:rsidRPr="00F7155F">
        <w:t>ВЭЖХ</w:t>
      </w:r>
      <w:bookmarkEnd w:id="127"/>
      <w:r w:rsidRPr="00F7155F">
        <w:t xml:space="preserve"> с определением радиоактивности и ЖХ/МС. Был идентифицирован сорок один метаболит. Одним из основных путей метаболизма ленватиниба была конъюгация с глутатионом с отщеплением О-арильной группы с образованием </w:t>
      </w:r>
      <w:r>
        <w:rPr>
          <w:lang w:val="en-US"/>
        </w:rPr>
        <w:t>M</w:t>
      </w:r>
      <w:r w:rsidRPr="00F7155F">
        <w:t>14, что приводило к последующим биотрансформациям. Через четыре часа после однократного перорального введения</w:t>
      </w:r>
      <w:r w:rsidR="00137A8E">
        <w:t xml:space="preserve"> </w:t>
      </w:r>
      <w:r w:rsidRPr="00BE0396">
        <w:rPr>
          <w:vertAlign w:val="superscript"/>
        </w:rPr>
        <w:t>14</w:t>
      </w:r>
      <w:r>
        <w:t>C-ленватиниба</w:t>
      </w:r>
      <w:r w:rsidRPr="00F7155F">
        <w:t xml:space="preserve"> основным компонентом плазмы, печени и почек крыс и обезьян был неизмененный ленватиниб. Ленватиниб лишь незначительно обнаруживался в моче крыс и обезьян, но был основным компонентом фекалий и желчи крыс. </w:t>
      </w:r>
      <w:r>
        <w:t>На</w:t>
      </w:r>
      <w:r w:rsidRPr="00F7155F">
        <w:t xml:space="preserve"> долю метаболита М2 приходилось ~2,5% воздействия ленватиниба. М2 (m37) также был обнаружен в фекалиях и желчи крыс и обезьян</w:t>
      </w:r>
      <w:r>
        <w:t xml:space="preserve"> </w:t>
      </w:r>
      <w:r>
        <w:fldChar w:fldCharType="begin"/>
      </w:r>
      <w:r>
        <w:instrText xml:space="preserve"> ADDIN ZOTERO_ITEM CSL_CITATION {"citationID":"xchLB9Va","properties":{"formattedCitation":"[8]","plainCitation":"[8]","noteIndex":0},"citationItems":[{"id":2746,"uris":["http://zotero.org/users/5483459/items/Z6Y8HY5F"],"itemData":{"id":2746,"type":"document","title":"U.S.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2C1A7738" w14:textId="4248CAFE" w:rsidR="00200EBA" w:rsidRDefault="00E506A9" w:rsidP="00200EBA">
      <w:pPr>
        <w:ind w:firstLine="709"/>
      </w:pPr>
      <w:r>
        <w:t>И</w:t>
      </w:r>
      <w:r w:rsidR="00200EBA">
        <w:t xml:space="preserve">зучены </w:t>
      </w:r>
      <w:r w:rsidR="00200EBA" w:rsidRPr="00216D31">
        <w:t xml:space="preserve">метаболиты ленватиниба, образующиеся во время инкубации ленватиниба </w:t>
      </w:r>
      <w:r w:rsidR="00200EBA" w:rsidRPr="00216D31">
        <w:rPr>
          <w:i/>
          <w:iCs/>
        </w:rPr>
        <w:t>in vitro</w:t>
      </w:r>
      <w:r w:rsidR="00200EBA" w:rsidRPr="00216D31">
        <w:t xml:space="preserve"> с микросомами печени человека или рекомбинантными цитохромами Р450 (CYP</w:t>
      </w:r>
      <w:r w:rsidR="00200EBA">
        <w:t xml:space="preserve">) методом </w:t>
      </w:r>
      <w:r w:rsidR="00223438" w:rsidRPr="00223438">
        <w:t>ВЭЖХ</w:t>
      </w:r>
      <w:r w:rsidR="00223438" w:rsidRPr="00C22830">
        <w:t xml:space="preserve"> </w:t>
      </w:r>
      <w:r w:rsidR="00223438">
        <w:t xml:space="preserve">и МС. </w:t>
      </w:r>
      <w:r w:rsidR="00200EBA" w:rsidRPr="00216D31">
        <w:t>Роль CYP в окислении ленватиниба первоначально исследовали в микросомах печени с использованием специфических ингибиторов CYP. Каталитическая активность CYP в каждом микросомальном образце коррелировала с количеством метаболитов ленватиниба, образованны</w:t>
      </w:r>
      <w:r w:rsidR="00200EBA">
        <w:t>ми</w:t>
      </w:r>
      <w:r w:rsidR="00200EBA" w:rsidRPr="00216D31">
        <w:t xml:space="preserve"> этими образцами. Кроме того, в метаболических исследованиях использовали рекомбинантные CYP человека. </w:t>
      </w:r>
      <w:r w:rsidR="00A50E43">
        <w:t>Установлено</w:t>
      </w:r>
      <w:r w:rsidR="00200EBA">
        <w:t>, что</w:t>
      </w:r>
      <w:r w:rsidR="00200EBA" w:rsidRPr="00216D31">
        <w:t xml:space="preserve"> ленватиниб метаболизируется до O-десметилленватиниба, N-десциклопропилленватиниба и N-оксида ленватиниба. В присутствии цитохрома b5 рекомбинантный CYP3A4 был наиболее эффективным для образования этих метаболитов. Кроме того, CYP1A1 вносит значительный вклад в метаболизм ленватиниба. Он даже более эффективно формировал О-десметилленватиниб, чем CYP3A4, в отсутствие цитохрома b5</w:t>
      </w:r>
      <w:r w:rsidR="00200EBA">
        <w:t xml:space="preserve"> </w:t>
      </w:r>
      <w:r w:rsidR="00200EBA">
        <w:fldChar w:fldCharType="begin"/>
      </w:r>
      <w:r w:rsidR="00200EBA">
        <w:instrText xml:space="preserve"> ADDIN ZOTERO_ITEM CSL_CITATION {"citationID":"JJyboNzb","properties":{"formattedCitation":"[14]","plainCitation":"[14]","noteIndex":0},"citationItems":[{"id":2778,"uris":["http://zotero.org/users/5483459/items/ZI9H4CQE"],"itemData":{"id":2778,"type":"article-journal","abstract":"Lenvatinib, a small molecule tyrosine kinase inhibitor (TKI), exhibits good inhibitory effect in several types of carcinomas. Specifically, it is the most effective TKI used for treatment of thyroid cancer. To extend pharmacokinetics data on this anticancer agent, we aimed to identify the metabolites of lenvatinib formed during in vitro incubation of lenvatinib with human hepatic microsomes or recombinant cytochromes P450 (CYPs) by using high performance liquid chromatography and mass spectrometry. The role of CYPs in the oxidation of lenvatinib was initially investigated in hepatic microsomes using specific CYP inhibitors. CYP-catalytic activities in each microsomal sample were correlated with the amounts of lenvatinib metabolites formed by these samples. Further, human recombinant CYPs were employed in the metabolic studies. Based on our data, lenvatinib is metabolized to O-desmethyl lenvatinib, N-descyclopropyl lenvatinib and lenvatinib N-oxide. In the presence of cytochrome b5, recombinant CYP3A4 was the most efficient to form these metabolites. In addition, CYP1A1 significantly contributes to the lenvatinib metabolism. It was even more efficient in forming of O-desmethyl lenvatinib than CYP3A4 in the absence of cytochrome b5. The present study indicates that further research focused on drug-drug interactions, in particular on CYP3A4 and CYP1A1 modulators, is needed. This will pave new avenues towards TKIs-mediated personalized therapy.","container-title":"Biomedicine &amp; Pharmacotherapy = Biomedecine &amp; Pharmacotherapie","DOI":"10.1016/j.biopha.2021.112391","ISSN":"1950-6007","journalAbbreviation":"Biomed Pharmacother","language":"eng","note":"PMID: 34847475","page":"112391","source":"PubMed","title":"The impact of individual human cytochrome P450 enzymes on oxidative metabolism of anticancer drug lenvatinib","volume":"145","author":[{"family":"Vavrová","given":"Katarína"},{"family":"Indra","given":"Radek"},{"family":"Pompach","given":"Petr"},{"family":"Heger","given":"Zbyněk"},{"family":"Hodek","given":"Petr"}],"issued":{"date-parts":[["2022",1]]}}}],"schema":"https://github.com/citation-style-language/schema/raw/master/csl-citation.json"} </w:instrText>
      </w:r>
      <w:r w:rsidR="00200EBA">
        <w:fldChar w:fldCharType="separate"/>
      </w:r>
      <w:r w:rsidR="00200EBA" w:rsidRPr="0001535E">
        <w:t>[14]</w:t>
      </w:r>
      <w:r w:rsidR="00200EBA">
        <w:fldChar w:fldCharType="end"/>
      </w:r>
      <w:r w:rsidR="00200EBA">
        <w:t>.</w:t>
      </w:r>
    </w:p>
    <w:p w14:paraId="0E5C6C60" w14:textId="77777777" w:rsidR="00200EBA" w:rsidRDefault="00200EBA" w:rsidP="00200EBA">
      <w:pPr>
        <w:spacing w:before="240" w:after="240"/>
        <w:outlineLvl w:val="2"/>
        <w:rPr>
          <w:b/>
          <w:bCs/>
          <w:color w:val="000000" w:themeColor="text1"/>
        </w:rPr>
      </w:pPr>
      <w:bookmarkStart w:id="128" w:name="_Toc126059722"/>
      <w:r>
        <w:rPr>
          <w:b/>
          <w:color w:val="000000" w:themeColor="text1"/>
        </w:rPr>
        <w:lastRenderedPageBreak/>
        <w:t xml:space="preserve">3.2.5. </w:t>
      </w:r>
      <w:r>
        <w:rPr>
          <w:b/>
          <w:bCs/>
          <w:color w:val="000000" w:themeColor="text1"/>
        </w:rPr>
        <w:t>Выведение</w:t>
      </w:r>
      <w:bookmarkEnd w:id="128"/>
    </w:p>
    <w:p w14:paraId="0AB647DD" w14:textId="1F5F0A9D" w:rsidR="00200EBA" w:rsidRDefault="00200EBA" w:rsidP="00200EBA">
      <w:pPr>
        <w:ind w:firstLine="709"/>
      </w:pPr>
      <w:bookmarkStart w:id="129" w:name="_Hlk118184114"/>
      <w:r w:rsidRPr="002344DE">
        <w:t xml:space="preserve">После однократного перорального введения </w:t>
      </w:r>
      <w:r w:rsidRPr="002344DE">
        <w:rPr>
          <w:vertAlign w:val="superscript"/>
        </w:rPr>
        <w:t>14</w:t>
      </w:r>
      <w:r w:rsidRPr="002344DE">
        <w:t>C-ленватиниба крысам</w:t>
      </w:r>
      <w:r>
        <w:t xml:space="preserve"> (перорально через желудочный зонд в дозе 3 мг/кг), </w:t>
      </w:r>
      <w:r w:rsidRPr="002344DE">
        <w:t xml:space="preserve">экскреция </w:t>
      </w:r>
      <w:r w:rsidRPr="002344DE">
        <w:rPr>
          <w:vertAlign w:val="superscript"/>
        </w:rPr>
        <w:t>14</w:t>
      </w:r>
      <w:r w:rsidRPr="002344DE">
        <w:t>C-ленватиниба с калом составила 87,2%</w:t>
      </w:r>
      <w:r>
        <w:t xml:space="preserve">, с </w:t>
      </w:r>
      <w:r w:rsidRPr="002344DE">
        <w:t>мочой 12,2%</w:t>
      </w:r>
      <w:r>
        <w:t>.</w:t>
      </w:r>
      <w:r w:rsidRPr="002344DE">
        <w:t xml:space="preserve"> Через сорок восемь часов после введения однократной пероральной дозы </w:t>
      </w:r>
      <w:r w:rsidRPr="002344DE">
        <w:rPr>
          <w:vertAlign w:val="superscript"/>
        </w:rPr>
        <w:t>14</w:t>
      </w:r>
      <w:r w:rsidRPr="002344DE">
        <w:t>C-ленватиниба крысам с канюлированными желчными протоками экскреция с желчью, мочой и калом составила 41,6%, 18,1% и 27,2% дозы</w:t>
      </w:r>
      <w:r w:rsidR="006600E9">
        <w:t>,</w:t>
      </w:r>
      <w:r w:rsidRPr="002344DE">
        <w:t xml:space="preserve"> соответственно. Эти данные свидетельствуют о том, что преобладающим путем выведения ленватиниба у крыс является фекальный путь с желчью, и по меньшей мере 65% введенной дозы всасывается.</w:t>
      </w:r>
    </w:p>
    <w:p w14:paraId="37C8B062" w14:textId="2CC04E0C" w:rsidR="00166A45" w:rsidRDefault="00200EBA" w:rsidP="00944B59">
      <w:pPr>
        <w:ind w:firstLine="709"/>
      </w:pPr>
      <w:r w:rsidRPr="001F341F">
        <w:t xml:space="preserve">После однократного перорального введения </w:t>
      </w:r>
      <w:r w:rsidRPr="002344DE">
        <w:rPr>
          <w:vertAlign w:val="superscript"/>
        </w:rPr>
        <w:t>14</w:t>
      </w:r>
      <w:r w:rsidRPr="002344DE">
        <w:t xml:space="preserve">C-ленватиниба </w:t>
      </w:r>
      <w:r w:rsidRPr="001F341F">
        <w:t xml:space="preserve">обезьянам </w:t>
      </w:r>
      <w:r>
        <w:t xml:space="preserve">(перорально через желудочный зонд в дозе 3 мг/кг) </w:t>
      </w:r>
      <w:r w:rsidRPr="001F341F">
        <w:t xml:space="preserve">экскреция </w:t>
      </w:r>
      <w:r w:rsidRPr="002344DE">
        <w:rPr>
          <w:vertAlign w:val="superscript"/>
        </w:rPr>
        <w:t>14</w:t>
      </w:r>
      <w:r w:rsidRPr="002344DE">
        <w:t>C-ленватиниба</w:t>
      </w:r>
      <w:r w:rsidRPr="001F341F">
        <w:t xml:space="preserve"> с калом составила 72,8%</w:t>
      </w:r>
      <w:r>
        <w:t>, с</w:t>
      </w:r>
      <w:r w:rsidRPr="001F341F">
        <w:t xml:space="preserve"> мочой 17,2%</w:t>
      </w:r>
      <w:r>
        <w:t xml:space="preserve"> </w:t>
      </w:r>
      <w:r>
        <w:fldChar w:fldCharType="begin"/>
      </w:r>
      <w:r>
        <w:instrText xml:space="preserve"> ADDIN ZOTERO_ITEM CSL_CITATION {"citationID":"4qUYsPOU","properties":{"formattedCitation":"[8]","plainCitation":"[8]","noteIndex":0},"citationItems":[{"id":2746,"uris":["http://zotero.org/users/5483459/items/Z6Y8HY5F"],"itemData":{"id":2746,"type":"document","title":"U.S.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rsidR="00944B59">
        <w:t>.</w:t>
      </w:r>
    </w:p>
    <w:p w14:paraId="3E6BBED8" w14:textId="77777777" w:rsidR="00200EBA" w:rsidRDefault="00200EBA" w:rsidP="00200EBA">
      <w:pPr>
        <w:spacing w:before="240" w:after="240"/>
        <w:outlineLvl w:val="2"/>
        <w:rPr>
          <w:b/>
          <w:bCs/>
          <w:color w:val="000000" w:themeColor="text1"/>
        </w:rPr>
      </w:pPr>
      <w:bookmarkStart w:id="130" w:name="_Toc126059723"/>
      <w:bookmarkEnd w:id="129"/>
      <w:r>
        <w:rPr>
          <w:b/>
          <w:color w:val="000000" w:themeColor="text1"/>
        </w:rPr>
        <w:t xml:space="preserve">3.2.6. </w:t>
      </w:r>
      <w:r>
        <w:rPr>
          <w:b/>
          <w:bCs/>
          <w:color w:val="000000" w:themeColor="text1"/>
        </w:rPr>
        <w:t>Фармакокинетические лекарственные взаимодействия</w:t>
      </w:r>
      <w:bookmarkEnd w:id="130"/>
    </w:p>
    <w:p w14:paraId="46854AF8" w14:textId="367A66EB" w:rsidR="00200EBA" w:rsidRDefault="00200EBA" w:rsidP="006600E9">
      <w:pPr>
        <w:ind w:firstLine="709"/>
      </w:pPr>
      <w:r>
        <w:t xml:space="preserve"> Фармакокинетическое лекарственное взаимодействие ленватиниба, т</w:t>
      </w:r>
      <w:r w:rsidRPr="006F35E6">
        <w:t>елмисартан</w:t>
      </w:r>
      <w:r>
        <w:t xml:space="preserve">а и </w:t>
      </w:r>
      <w:r w:rsidRPr="00852FA7">
        <w:t>сорафениба</w:t>
      </w:r>
      <w:r>
        <w:t xml:space="preserve"> изучалось у самцов крыс </w:t>
      </w:r>
      <w:r w:rsidRPr="006600E9">
        <w:rPr>
          <w:iCs/>
        </w:rPr>
        <w:t>Sprague Dawley</w:t>
      </w:r>
      <w:r w:rsidRPr="00BA2C98">
        <w:t xml:space="preserve"> </w:t>
      </w:r>
      <w:r>
        <w:t xml:space="preserve">при помощи </w:t>
      </w:r>
      <w:r w:rsidRPr="00852FA7">
        <w:t>метод</w:t>
      </w:r>
      <w:r>
        <w:t>а</w:t>
      </w:r>
      <w:r w:rsidRPr="00852FA7">
        <w:t xml:space="preserve"> сверхэффективной жидкостной хроматографии и тандемной масс-спектрометрии для одновременного определения </w:t>
      </w:r>
      <w:r>
        <w:t>изучаемых препаратов.</w:t>
      </w:r>
      <w:r w:rsidRPr="00852FA7">
        <w:t xml:space="preserve"> Животные были случайным образом разделены на пять групп</w:t>
      </w:r>
      <w:r>
        <w:t>, по 6 в каждой группе</w:t>
      </w:r>
      <w:r w:rsidRPr="00852FA7">
        <w:t xml:space="preserve">. Группам </w:t>
      </w:r>
      <w:r>
        <w:t>1,</w:t>
      </w:r>
      <w:r w:rsidR="00D61435">
        <w:t xml:space="preserve"> </w:t>
      </w:r>
      <w:r>
        <w:t>2, 3</w:t>
      </w:r>
      <w:r w:rsidRPr="00852FA7">
        <w:t xml:space="preserve"> вводили через </w:t>
      </w:r>
      <w:r>
        <w:t xml:space="preserve">желудочный </w:t>
      </w:r>
      <w:r w:rsidRPr="00852FA7">
        <w:t>зонд сорафениб</w:t>
      </w:r>
      <w:r>
        <w:t xml:space="preserve"> 100 мг/кг</w:t>
      </w:r>
      <w:r w:rsidRPr="00852FA7">
        <w:t>, ленватиниб</w:t>
      </w:r>
      <w:r>
        <w:t xml:space="preserve"> 10 мг/кг</w:t>
      </w:r>
      <w:r w:rsidRPr="00852FA7">
        <w:t xml:space="preserve"> и канаглифлозин</w:t>
      </w:r>
      <w:r>
        <w:t xml:space="preserve"> 10 мг/кг</w:t>
      </w:r>
      <w:r w:rsidR="00A50E43">
        <w:t>,</w:t>
      </w:r>
      <w:r w:rsidRPr="00852FA7">
        <w:t xml:space="preserve"> соответственно. </w:t>
      </w:r>
      <w:r w:rsidR="006600E9">
        <w:t xml:space="preserve">Группе </w:t>
      </w:r>
      <w:r>
        <w:t xml:space="preserve">4 </w:t>
      </w:r>
      <w:r w:rsidRPr="00852FA7">
        <w:t>групп</w:t>
      </w:r>
      <w:r>
        <w:t>е</w:t>
      </w:r>
      <w:r w:rsidRPr="00852FA7">
        <w:t xml:space="preserve"> вводили через </w:t>
      </w:r>
      <w:r>
        <w:t xml:space="preserve">желудочный </w:t>
      </w:r>
      <w:r w:rsidRPr="00852FA7">
        <w:t>зонд сорафениб</w:t>
      </w:r>
      <w:r>
        <w:t xml:space="preserve"> 100 мг/кг</w:t>
      </w:r>
      <w:r w:rsidRPr="00852FA7">
        <w:t xml:space="preserve"> и канаглифлозин</w:t>
      </w:r>
      <w:r>
        <w:t xml:space="preserve"> 10 мг/кг</w:t>
      </w:r>
      <w:r w:rsidRPr="00852FA7">
        <w:t xml:space="preserve">; </w:t>
      </w:r>
      <w:r>
        <w:t>группе</w:t>
      </w:r>
      <w:r w:rsidRPr="00852FA7">
        <w:t xml:space="preserve"> </w:t>
      </w:r>
      <w:r>
        <w:t>5</w:t>
      </w:r>
      <w:r w:rsidRPr="00852FA7">
        <w:t xml:space="preserve"> вводили через </w:t>
      </w:r>
      <w:r>
        <w:t xml:space="preserve">желудочный </w:t>
      </w:r>
      <w:r w:rsidRPr="00852FA7">
        <w:t>зонд ленватиниб</w:t>
      </w:r>
      <w:r>
        <w:t xml:space="preserve"> 10 мг/кг</w:t>
      </w:r>
      <w:r w:rsidRPr="00852FA7">
        <w:t xml:space="preserve"> и канаглифлозин</w:t>
      </w:r>
      <w:r>
        <w:t xml:space="preserve"> 10 мг/кг</w:t>
      </w:r>
      <w:r w:rsidRPr="00852FA7">
        <w:t xml:space="preserve">. </w:t>
      </w:r>
      <w:r w:rsidR="006600E9">
        <w:t>Установлено</w:t>
      </w:r>
      <w:r>
        <w:t xml:space="preserve">, что </w:t>
      </w:r>
      <w:bookmarkStart w:id="131" w:name="_Hlk118184246"/>
      <w:r>
        <w:t>п</w:t>
      </w:r>
      <w:r w:rsidRPr="00852FA7">
        <w:t>лощадь под кривой зависимости концентрации в плазме от времени (AUC) и максимальные концентрации в плазме (C</w:t>
      </w:r>
      <w:r w:rsidRPr="000D1C1D">
        <w:rPr>
          <w:vertAlign w:val="subscript"/>
        </w:rPr>
        <w:t>max</w:t>
      </w:r>
      <w:r w:rsidRPr="00852FA7">
        <w:t>) канаглифлозина увеличились на 37,6% и 32,8%</w:t>
      </w:r>
      <w:r w:rsidR="006600E9">
        <w:t>,</w:t>
      </w:r>
      <w:r w:rsidRPr="00852FA7">
        <w:t xml:space="preserve"> соответственно, в то время как </w:t>
      </w:r>
      <w:bookmarkStart w:id="132" w:name="_Hlk118184272"/>
      <w:r w:rsidRPr="00852FA7">
        <w:t xml:space="preserve">кажущийся </w:t>
      </w:r>
      <w:bookmarkEnd w:id="131"/>
      <w:r w:rsidRPr="00852FA7">
        <w:t>объем распределения (V</w:t>
      </w:r>
      <w:r w:rsidRPr="00DA6C74">
        <w:rPr>
          <w:vertAlign w:val="subscript"/>
        </w:rPr>
        <w:t>z/F</w:t>
      </w:r>
      <w:r w:rsidRPr="00852FA7">
        <w:t>) и кажущийся клиренс (CL</w:t>
      </w:r>
      <w:r w:rsidRPr="00DA6C74">
        <w:rPr>
          <w:vertAlign w:val="subscript"/>
        </w:rPr>
        <w:t>z/F</w:t>
      </w:r>
      <w:r w:rsidRPr="00852FA7">
        <w:t xml:space="preserve">) </w:t>
      </w:r>
      <w:bookmarkEnd w:id="132"/>
      <w:r w:rsidRPr="00852FA7">
        <w:t>канаглифлозина в присутствии сорафениба значительно снижалась (30,6% и 28,6%</w:t>
      </w:r>
      <w:r w:rsidR="006600E9">
        <w:t>,</w:t>
      </w:r>
      <w:r w:rsidRPr="00852FA7">
        <w:t xml:space="preserve"> соответственно). Канаглифлозин вызывал значительное увеличение AUC и C</w:t>
      </w:r>
      <w:r w:rsidRPr="00DA6C74">
        <w:rPr>
          <w:vertAlign w:val="subscript"/>
        </w:rPr>
        <w:t>max</w:t>
      </w:r>
      <w:r w:rsidRPr="00852FA7">
        <w:t xml:space="preserve"> ленватиниба на 28,9% и 36,2%</w:t>
      </w:r>
      <w:r w:rsidR="006600E9">
        <w:t>,</w:t>
      </w:r>
      <w:r w:rsidRPr="00852FA7">
        <w:t xml:space="preserve"> соответственно</w:t>
      </w:r>
      <w:r w:rsidR="006600E9">
        <w:t>,</w:t>
      </w:r>
      <w:r w:rsidRPr="00852FA7">
        <w:t xml:space="preserve"> и значительное снижение V</w:t>
      </w:r>
      <w:r w:rsidRPr="00DA6C74">
        <w:rPr>
          <w:vertAlign w:val="subscript"/>
        </w:rPr>
        <w:t>z/F</w:t>
      </w:r>
      <w:r w:rsidRPr="00852FA7">
        <w:t xml:space="preserve"> и CL</w:t>
      </w:r>
      <w:r w:rsidRPr="00DA6C74">
        <w:rPr>
          <w:vertAlign w:val="subscript"/>
        </w:rPr>
        <w:t>z/F</w:t>
      </w:r>
      <w:r w:rsidRPr="00852FA7">
        <w:t xml:space="preserve"> ленватиниба на 52,9% и 22,7%</w:t>
      </w:r>
      <w:r w:rsidR="006600E9">
        <w:t>,</w:t>
      </w:r>
      <w:r w:rsidRPr="00852FA7">
        <w:t xml:space="preserve"> соответственно</w:t>
      </w:r>
      <w:r>
        <w:t xml:space="preserve">. </w:t>
      </w:r>
      <w:r w:rsidRPr="000D1C1D">
        <w:t xml:space="preserve">Результаты показали, что существуют лекарственные взаимодействия между сорафенибом и канаглифлозином и одновременное введение сорафениба может значительно увеличить системную экспозицию канаглифлозина </w:t>
      </w:r>
      <w:r w:rsidRPr="000D1C1D">
        <w:rPr>
          <w:i/>
          <w:iCs/>
        </w:rPr>
        <w:t>in vivo</w:t>
      </w:r>
      <w:r w:rsidRPr="000D1C1D">
        <w:t xml:space="preserve">. Хотя существует </w:t>
      </w:r>
      <w:r w:rsidR="006600E9">
        <w:t xml:space="preserve">и </w:t>
      </w:r>
      <w:r w:rsidRPr="000D1C1D">
        <w:t xml:space="preserve">лекарственное взаимодействие между ленватинибом и канаглифлозином, но </w:t>
      </w:r>
      <w:r w:rsidR="006600E9">
        <w:t>степень взаимодействия</w:t>
      </w:r>
      <w:r w:rsidRPr="000D1C1D">
        <w:t xml:space="preserve"> отлича</w:t>
      </w:r>
      <w:r w:rsidR="006600E9">
        <w:t>е</w:t>
      </w:r>
      <w:r w:rsidRPr="000D1C1D">
        <w:t>тся от лекарственного взаимодействия между сорафенибом и канаглифлозином</w:t>
      </w:r>
      <w:r>
        <w:t xml:space="preserve"> </w:t>
      </w:r>
      <w:r>
        <w:fldChar w:fldCharType="begin"/>
      </w:r>
      <w:r>
        <w:instrText xml:space="preserve"> ADDIN ZOTERO_ITEM CSL_CITATION {"citationID":"8opQLiyT","properties":{"formattedCitation":"[15]","plainCitation":"[15]","noteIndex":0},"citationItems":[{"id":2781,"uris":["http://zotero.org/users/5483459/items/83SEXRIQ"],"itemData":{"id":2781,"type":"article-journal","abstract":"Hepatocellular carcinoma (HCC) and type 2 diabetes mellitus (T2DM) are common clinical conditions, and T2DM is an independent risk factor for HCC. Sorafenib and lenvatinib, two multi-targeted tyrosine kinase inhibitors, are first-line therapies for advanced HCC, while canagliflozin, a sodium-glucose co-transporter 2 inhibitor, is widely used in the treatment of T2DM. Here, we developed an ultra-performance liquid chromatography-tandem mass spectrometry method for the simultaneous determination of canagliflozin, sorafenib, and lenvatinib, and investigated the pharmacokinetic drug interactions between canagliflozin and sorafenib or lenvatinib in rats. The animals were randomly divided into five groups. Groups I-III were gavage administrated with sorafenib, lenvatinib, and canagliflozin, respectively. Group IV received sorafenib and canagliflozin; while Group V received lenvatinib and canagliflozin. The area under the plasma concentration-time curves (AUC) and maximum plasma concentrations (Cmax) of canagliflozin increased by 37.6% and 32.8%, respectively, while the apparent volume of distribution (Vz/F) and apparent clearance (CLz/F) of canagliflozin significantly decreased (30.6% and 28.6%, respectively) in the presence of sorafenib. Canagliflozin caused a significant increase in AUC and Cmax of lenvatinib by 28.9% and 36.2%, respectively, and a significant decrease in Vz/F and CLz/F of lenvatinib by 52.9% and 22.7%, respectively. In conclusion, drug interactions exist between canagliflozin and sorafenib or lenvatinib, and these findings provide a reference for the use of these drugs in patients with HCC and T2DM.","container-title":"Molecules (Basel, Switzerland)","DOI":"10.3390/molecules27175419","ISSN":"1420-3049","issue":"17","journalAbbreviation":"Molecules","language":"eng","note":"PMID: 36080187\nPMCID: PMC9457773","page":"5419","source":"PubMed","title":"Pharmacokinetic Interactions between Canagliflozin and Sorafenib or Lenvatinib in Rats","volume":"27","author":[{"family":"Cui","given":"Yanjun"},{"family":"Li","given":"Ying"},{"family":"Guo","given":"Caihui"},{"family":"Li","given":"Yajing"},{"family":"Ma","given":"Yinling"},{"family":"Dong","given":"Zhanjun"}],"issued":{"date-parts":[["2022",8,24]]}}}],"schema":"https://github.com/citation-style-language/schema/raw/master/csl-citation.json"} </w:instrText>
      </w:r>
      <w:r>
        <w:fldChar w:fldCharType="separate"/>
      </w:r>
      <w:r w:rsidRPr="0001535E">
        <w:t>[15]</w:t>
      </w:r>
      <w:r>
        <w:fldChar w:fldCharType="end"/>
      </w:r>
      <w:r>
        <w:t>.</w:t>
      </w:r>
    </w:p>
    <w:p w14:paraId="0299F885" w14:textId="77777777" w:rsidR="00200EBA" w:rsidRDefault="00200EBA" w:rsidP="00200EBA">
      <w:pPr>
        <w:pStyle w:val="2"/>
        <w:spacing w:line="240" w:lineRule="auto"/>
        <w:rPr>
          <w:color w:val="000000" w:themeColor="text1"/>
        </w:rPr>
      </w:pPr>
      <w:bookmarkStart w:id="133" w:name="_Toc126059724"/>
      <w:bookmarkEnd w:id="109"/>
      <w:bookmarkEnd w:id="110"/>
      <w:bookmarkEnd w:id="111"/>
      <w:r w:rsidRPr="005E6358">
        <w:rPr>
          <w:color w:val="000000" w:themeColor="text1"/>
        </w:rPr>
        <w:t>3.3. Токсикологические исследования</w:t>
      </w:r>
      <w:bookmarkEnd w:id="112"/>
      <w:bookmarkEnd w:id="133"/>
    </w:p>
    <w:p w14:paraId="67DFB36C" w14:textId="77777777" w:rsidR="00200EBA" w:rsidRPr="00550D79" w:rsidRDefault="00200EBA" w:rsidP="00200EBA">
      <w:pPr>
        <w:ind w:firstLine="709"/>
      </w:pPr>
      <w:bookmarkStart w:id="134" w:name="_Hlk118184395"/>
      <w:r>
        <w:t>Токсичность при однократном и многократном введении ленватиниба изучали у крыс, собак и обезьян.</w:t>
      </w:r>
    </w:p>
    <w:p w14:paraId="0BF31D6B" w14:textId="77777777" w:rsidR="00200EBA" w:rsidRDefault="00200EBA" w:rsidP="00200EBA">
      <w:pPr>
        <w:pStyle w:val="3"/>
        <w:spacing w:after="240"/>
        <w:rPr>
          <w:rFonts w:ascii="Times New Roman" w:hAnsi="Times New Roman"/>
          <w:color w:val="000000" w:themeColor="text1"/>
          <w:szCs w:val="24"/>
        </w:rPr>
      </w:pPr>
      <w:bookmarkStart w:id="135" w:name="_Toc126059725"/>
      <w:bookmarkEnd w:id="134"/>
      <w:r w:rsidRPr="005E6358">
        <w:rPr>
          <w:rFonts w:ascii="Times New Roman" w:hAnsi="Times New Roman"/>
          <w:color w:val="000000" w:themeColor="text1"/>
        </w:rPr>
        <w:t>3.3.1.</w:t>
      </w:r>
      <w:r>
        <w:rPr>
          <w:rFonts w:ascii="Times New Roman" w:hAnsi="Times New Roman"/>
          <w:color w:val="000000" w:themeColor="text1"/>
        </w:rPr>
        <w:t xml:space="preserve"> </w:t>
      </w:r>
      <w:r w:rsidRPr="005E6358">
        <w:rPr>
          <w:rFonts w:ascii="Times New Roman" w:hAnsi="Times New Roman"/>
          <w:color w:val="000000" w:themeColor="text1"/>
        </w:rPr>
        <w:t>Токсичность</w:t>
      </w:r>
      <w:r w:rsidRPr="005E6358">
        <w:rPr>
          <w:rFonts w:ascii="Times New Roman" w:hAnsi="Times New Roman"/>
          <w:color w:val="000000" w:themeColor="text1"/>
          <w:szCs w:val="24"/>
        </w:rPr>
        <w:t xml:space="preserve"> при однократном введении</w:t>
      </w:r>
      <w:bookmarkEnd w:id="135"/>
    </w:p>
    <w:p w14:paraId="08BC3A90" w14:textId="77777777" w:rsidR="00200EBA" w:rsidRPr="00944B59" w:rsidRDefault="00200EBA" w:rsidP="006600E9">
      <w:pPr>
        <w:ind w:firstLine="709"/>
      </w:pPr>
      <w:bookmarkStart w:id="136" w:name="_Hlk118184445"/>
      <w:r w:rsidRPr="00944B59">
        <w:t xml:space="preserve">Исследования токсичности при однократном введении изучали </w:t>
      </w:r>
      <w:bookmarkStart w:id="137" w:name="_Hlk118184591"/>
      <w:r w:rsidRPr="00944B59">
        <w:t xml:space="preserve">у крыс </w:t>
      </w:r>
      <w:bookmarkEnd w:id="137"/>
      <w:r w:rsidRPr="00944B59">
        <w:rPr>
          <w:iCs/>
        </w:rPr>
        <w:t>Sprague-Dawley</w:t>
      </w:r>
      <w:r w:rsidRPr="00944B59">
        <w:t xml:space="preserve"> и собак.</w:t>
      </w:r>
    </w:p>
    <w:p w14:paraId="381F4BA1" w14:textId="7A716856" w:rsidR="00200EBA" w:rsidRPr="00944B59" w:rsidRDefault="00200EBA" w:rsidP="006600E9">
      <w:pPr>
        <w:ind w:firstLine="709"/>
      </w:pPr>
      <w:r w:rsidRPr="00944B59">
        <w:t xml:space="preserve">Ленватиниб в дозах 10, 30, 100 мг/кг однократно через желудочный зонд вводили самцам крыс </w:t>
      </w:r>
      <w:r w:rsidRPr="00944B59">
        <w:rPr>
          <w:iCs/>
        </w:rPr>
        <w:t>Sprague-Dawley</w:t>
      </w:r>
      <w:r w:rsidRPr="00944B59">
        <w:t xml:space="preserve"> (6 самцов в экспериментальной группе, 6 в контроле) для оценки общего физического состояния, поведения животных, оценки дыхательной </w:t>
      </w:r>
      <w:r w:rsidRPr="00944B59">
        <w:lastRenderedPageBreak/>
        <w:t xml:space="preserve">функции. Эксперименты проводилась до введения ленватиниба и через 1, 2, 4 и 8 часов после введения. Было выяснено, что все дозы до 100 мг/кг не оказывали влияния на общее физическое состояние и поведение крыс, не отмечалось статистически значимого влияния ленватиниба на измеренные параметры дыхательной функции у самцов крыс </w:t>
      </w:r>
      <w:r w:rsidRPr="00944B59">
        <w:rPr>
          <w:iCs/>
        </w:rPr>
        <w:t xml:space="preserve">Sprague-Dawley </w:t>
      </w:r>
      <w:r w:rsidR="006600E9" w:rsidRPr="006600E9">
        <w:t>[</w:t>
      </w:r>
      <w:r w:rsidRPr="00944B59">
        <w:t>3</w:t>
      </w:r>
      <w:r w:rsidR="006600E9" w:rsidRPr="006600E9">
        <w:t>]</w:t>
      </w:r>
      <w:r w:rsidRPr="00944B59">
        <w:t>.</w:t>
      </w:r>
    </w:p>
    <w:p w14:paraId="23A52480" w14:textId="63565C02" w:rsidR="00200EBA" w:rsidRPr="00944B59" w:rsidRDefault="00200EBA" w:rsidP="006600E9">
      <w:pPr>
        <w:ind w:firstLine="709"/>
      </w:pPr>
      <w:r w:rsidRPr="00944B59">
        <w:t>Влияние на сердечно-сосудистую систему изучалось при введении ленватиниба в дозах 6 и 30 мг/кг однократно через желудочный зонд собакам (3 самки, 3 самца). Оценивалось влияние</w:t>
      </w:r>
      <w:r w:rsidR="006600E9">
        <w:t xml:space="preserve"> введения ленватиниба на ЧСС, </w:t>
      </w:r>
      <w:r w:rsidRPr="00944B59">
        <w:t>АД, показатели электрокардиограммы. Параметры измеряли до введения препарата и через 1, 2, 4 и 8 часов после введения.</w:t>
      </w:r>
    </w:p>
    <w:p w14:paraId="11760125" w14:textId="03A72085" w:rsidR="00200EBA" w:rsidRDefault="00200EBA" w:rsidP="006600E9">
      <w:pPr>
        <w:ind w:firstLine="709"/>
      </w:pPr>
      <w:r w:rsidRPr="00944B59">
        <w:t>Было выяснено, что у самцов собак ЧСС снизилась на 23% через 4 часа после введения дозы 6 мг/кг по сравнению с контролем. АД у самцов увеличилось на 29% и 23% через 2 часа после введения 6 и 30 мг/кг</w:t>
      </w:r>
      <w:r w:rsidR="006600E9">
        <w:t>,</w:t>
      </w:r>
      <w:r w:rsidRPr="00944B59">
        <w:t xml:space="preserve"> соответственно</w:t>
      </w:r>
      <w:r w:rsidR="006600E9" w:rsidRPr="006600E9">
        <w:t>,</w:t>
      </w:r>
      <w:r>
        <w:t xml:space="preserve"> по сравнению с контролем. Продолжительность QRS у самцов собак </w:t>
      </w:r>
      <w:r w:rsidR="009E2D2D">
        <w:t xml:space="preserve">уменьшилось </w:t>
      </w:r>
      <w:r>
        <w:t xml:space="preserve">на 13% и 11% через 1 и 4 часа после введения дозы 30 мг/кг по сравнению с контролем </w:t>
      </w:r>
      <w:r w:rsidR="006600E9" w:rsidRPr="006600E9">
        <w:t>[</w:t>
      </w:r>
      <w:r w:rsidRPr="00B348F2">
        <w:t>3</w:t>
      </w:r>
      <w:r w:rsidR="006600E9" w:rsidRPr="006600E9">
        <w:t>]</w:t>
      </w:r>
      <w:r w:rsidRPr="00B348F2">
        <w:t>.</w:t>
      </w:r>
    </w:p>
    <w:p w14:paraId="77169638" w14:textId="77777777" w:rsidR="00200EBA" w:rsidRDefault="00200EBA" w:rsidP="00200EBA">
      <w:pPr>
        <w:pStyle w:val="3"/>
        <w:spacing w:after="240"/>
        <w:rPr>
          <w:rFonts w:ascii="Times New Roman" w:hAnsi="Times New Roman"/>
          <w:color w:val="000000" w:themeColor="text1"/>
        </w:rPr>
      </w:pPr>
      <w:bookmarkStart w:id="138" w:name="_Toc126059726"/>
      <w:bookmarkEnd w:id="136"/>
      <w:r w:rsidRPr="005E6358">
        <w:rPr>
          <w:rFonts w:ascii="Times New Roman" w:hAnsi="Times New Roman"/>
          <w:color w:val="000000" w:themeColor="text1"/>
        </w:rPr>
        <w:t>3.3.2. Токсичность</w:t>
      </w:r>
      <w:r>
        <w:rPr>
          <w:rFonts w:ascii="Times New Roman" w:hAnsi="Times New Roman"/>
          <w:color w:val="000000" w:themeColor="text1"/>
        </w:rPr>
        <w:t xml:space="preserve"> </w:t>
      </w:r>
      <w:r w:rsidRPr="005E6358">
        <w:rPr>
          <w:rFonts w:ascii="Times New Roman" w:hAnsi="Times New Roman"/>
          <w:color w:val="000000" w:themeColor="text1"/>
        </w:rPr>
        <w:t>при многократном введении</w:t>
      </w:r>
      <w:bookmarkEnd w:id="138"/>
    </w:p>
    <w:p w14:paraId="388DE1DF" w14:textId="77777777" w:rsidR="00200EBA" w:rsidRPr="00944B59" w:rsidRDefault="00200EBA" w:rsidP="006600E9">
      <w:pPr>
        <w:ind w:firstLine="709"/>
        <w:rPr>
          <w:iCs/>
        </w:rPr>
      </w:pPr>
      <w:bookmarkStart w:id="139" w:name="_Hlk118184496"/>
      <w:bookmarkStart w:id="140" w:name="_Hlk117673087"/>
      <w:bookmarkEnd w:id="113"/>
      <w:r w:rsidRPr="00944B59">
        <w:t xml:space="preserve">Ленватиниб оценивался в токсикологических исследованиях при многократном введении у крыс </w:t>
      </w:r>
      <w:r w:rsidRPr="00944B59">
        <w:rPr>
          <w:iCs/>
          <w:lang w:val="en-US"/>
        </w:rPr>
        <w:t>Sprague</w:t>
      </w:r>
      <w:r w:rsidRPr="00944B59">
        <w:rPr>
          <w:iCs/>
        </w:rPr>
        <w:t xml:space="preserve"> </w:t>
      </w:r>
      <w:r w:rsidRPr="00944B59">
        <w:rPr>
          <w:iCs/>
          <w:lang w:val="en-US"/>
        </w:rPr>
        <w:t>Dawley</w:t>
      </w:r>
      <w:r w:rsidRPr="00944B59">
        <w:rPr>
          <w:iCs/>
        </w:rPr>
        <w:t xml:space="preserve"> </w:t>
      </w:r>
      <w:r w:rsidRPr="00944B59">
        <w:t>(до 26 недель), у собак (до 4 недель), у яванских макак (до 39 недель).</w:t>
      </w:r>
    </w:p>
    <w:bookmarkEnd w:id="139"/>
    <w:p w14:paraId="361F07D9" w14:textId="378D87B4" w:rsidR="00200EBA" w:rsidRPr="00944B59" w:rsidRDefault="00200EBA" w:rsidP="006600E9">
      <w:pPr>
        <w:ind w:firstLine="709"/>
      </w:pPr>
      <w:r w:rsidRPr="00944B59">
        <w:t xml:space="preserve">Крысам </w:t>
      </w:r>
      <w:r w:rsidRPr="00944B59">
        <w:rPr>
          <w:iCs/>
          <w:lang w:val="en-US"/>
        </w:rPr>
        <w:t>Sprague</w:t>
      </w:r>
      <w:r w:rsidRPr="00944B59">
        <w:rPr>
          <w:iCs/>
        </w:rPr>
        <w:t xml:space="preserve"> </w:t>
      </w:r>
      <w:r w:rsidRPr="00944B59">
        <w:rPr>
          <w:iCs/>
          <w:lang w:val="en-US"/>
        </w:rPr>
        <w:t>Dawley</w:t>
      </w:r>
      <w:r w:rsidRPr="00944B59">
        <w:rPr>
          <w:iCs/>
        </w:rPr>
        <w:t xml:space="preserve"> </w:t>
      </w:r>
      <w:r w:rsidRPr="00944B59">
        <w:t>ленватиниб вводили перорально один раз в день через желудочный зонд в дозах 1, 10, 15, 30 или 100 мг/кг (6, 60, 90, 180 или 600 мг/м</w:t>
      </w:r>
      <w:r w:rsidRPr="00944B59">
        <w:rPr>
          <w:vertAlign w:val="superscript"/>
        </w:rPr>
        <w:t>2</w:t>
      </w:r>
      <w:r w:rsidRPr="00944B59">
        <w:t>) в течение 4 недель и 0,4, 2 или 10 мг/кг (2,4, 12 или 60 мг/м</w:t>
      </w:r>
      <w:r w:rsidRPr="00944B59">
        <w:rPr>
          <w:vertAlign w:val="superscript"/>
        </w:rPr>
        <w:t>2</w:t>
      </w:r>
      <w:r w:rsidRPr="00944B59">
        <w:t>) в течение 26 недель</w:t>
      </w:r>
      <w:bookmarkEnd w:id="140"/>
      <w:r w:rsidRPr="00944B59">
        <w:t xml:space="preserve">. </w:t>
      </w:r>
    </w:p>
    <w:p w14:paraId="5F7CCF85" w14:textId="6F6FB565" w:rsidR="00200EBA" w:rsidRPr="00944B59" w:rsidRDefault="00200EBA" w:rsidP="006600E9">
      <w:pPr>
        <w:ind w:firstLine="709"/>
      </w:pPr>
      <w:bookmarkStart w:id="141" w:name="_Hlk118184696"/>
      <w:r w:rsidRPr="00944B59">
        <w:t xml:space="preserve">В 4-недельном исследовании у крыс </w:t>
      </w:r>
      <w:r w:rsidRPr="00944B59">
        <w:rPr>
          <w:iCs/>
          <w:lang w:val="en-US"/>
        </w:rPr>
        <w:t>Sprague</w:t>
      </w:r>
      <w:r w:rsidRPr="00944B59">
        <w:rPr>
          <w:iCs/>
        </w:rPr>
        <w:t xml:space="preserve"> </w:t>
      </w:r>
      <w:r w:rsidRPr="00944B59">
        <w:rPr>
          <w:iCs/>
          <w:lang w:val="en-US"/>
        </w:rPr>
        <w:t>Dawley</w:t>
      </w:r>
      <w:r w:rsidRPr="00944B59">
        <w:rPr>
          <w:iCs/>
        </w:rPr>
        <w:t xml:space="preserve"> (</w:t>
      </w:r>
      <w:r w:rsidRPr="00944B59">
        <w:t>по 16 самцов и самок в экспериментальных группах и контроле</w:t>
      </w:r>
      <w:r w:rsidRPr="00944B59">
        <w:rPr>
          <w:iCs/>
        </w:rPr>
        <w:t xml:space="preserve">) </w:t>
      </w:r>
      <w:r w:rsidRPr="00944B59">
        <w:t>летальность отмечал</w:t>
      </w:r>
      <w:r w:rsidR="006600E9">
        <w:t>а</w:t>
      </w:r>
      <w:r w:rsidRPr="00944B59">
        <w:t>сь при дозе 100 мг/кг (600 мг/м</w:t>
      </w:r>
      <w:r w:rsidRPr="00944B59">
        <w:rPr>
          <w:vertAlign w:val="superscript"/>
        </w:rPr>
        <w:t>2</w:t>
      </w:r>
      <w:r w:rsidRPr="00944B59">
        <w:t>) на 22-29 дни исследования. При дозе ≥30 мг/кг (180 мг/м</w:t>
      </w:r>
      <w:r w:rsidRPr="00944B59">
        <w:rPr>
          <w:vertAlign w:val="superscript"/>
        </w:rPr>
        <w:t>2</w:t>
      </w:r>
      <w:r w:rsidRPr="00944B59">
        <w:t xml:space="preserve">) отмечались явления гепатотоксичности – гепатоцеллюлярный некроз, повышение активности АЛТ и АСТ, а также явления гематотоксичности, проявлявшиеся в поражении </w:t>
      </w:r>
      <w:r w:rsidR="009E2D2D">
        <w:t>стволовых клеток крови</w:t>
      </w:r>
      <w:r w:rsidRPr="00944B59">
        <w:t xml:space="preserve">, снижении уровня гемоглобина и количества эритроцитов. Сосудистые поражения, связанные с ингибированием </w:t>
      </w:r>
      <w:r w:rsidRPr="00944B59">
        <w:rPr>
          <w:iCs/>
        </w:rPr>
        <w:t>VEGF</w:t>
      </w:r>
      <w:r w:rsidRPr="00944B59">
        <w:t xml:space="preserve"> проявлялись в поражении резцов (дисплазия), зубов (белое обесцвечивание), бедренных костей (увеличение эпифизарной зоны роста), грудины (увеличение эпифизарного хряща), почек (гломерулопатия), яичек (гипоклеточность семенного эпителия), </w:t>
      </w:r>
      <w:r w:rsidR="00A8281D" w:rsidRPr="00944B59">
        <w:t>эпидидим</w:t>
      </w:r>
      <w:r w:rsidR="00A8281D">
        <w:t>уса</w:t>
      </w:r>
      <w:r w:rsidR="00A8281D" w:rsidRPr="00944B59">
        <w:t xml:space="preserve"> </w:t>
      </w:r>
      <w:r w:rsidRPr="00944B59">
        <w:t xml:space="preserve">(слущенные семенные эпителиальные клетки) и яичников (фолликулярная атрезия) </w:t>
      </w:r>
      <w:r w:rsidRPr="00944B59">
        <w:fldChar w:fldCharType="begin"/>
      </w:r>
      <w:r w:rsidRPr="00944B59">
        <w:instrText xml:space="preserve"> ADDIN ZOTERO_ITEM CSL_CITATION {"citationID":"LOqwtRxI","properties":{"formattedCitation":"[8]","plainCitation":"[8]","noteIndex":0},"citationItems":[{"id":2746,"uris":["http://zotero.org/users/5483459/items/Z6Y8HY5F"],"itemData":{"id":2746,"type":"document","title":"U.S.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52320A4A" w14:textId="77777777" w:rsidR="00200EBA" w:rsidRPr="00944B59" w:rsidRDefault="00200EBA" w:rsidP="006600E9">
      <w:pPr>
        <w:ind w:firstLine="709"/>
      </w:pPr>
      <w:r w:rsidRPr="00944B59">
        <w:t xml:space="preserve">В 26-недельном исследовании у крыс </w:t>
      </w:r>
      <w:r w:rsidRPr="00944B59">
        <w:rPr>
          <w:iCs/>
          <w:lang w:val="en-US"/>
        </w:rPr>
        <w:t>Sprague</w:t>
      </w:r>
      <w:r w:rsidRPr="00944B59">
        <w:rPr>
          <w:iCs/>
        </w:rPr>
        <w:t xml:space="preserve"> </w:t>
      </w:r>
      <w:r w:rsidRPr="00944B59">
        <w:rPr>
          <w:iCs/>
          <w:lang w:val="en-US"/>
        </w:rPr>
        <w:t>Dawley</w:t>
      </w:r>
      <w:r w:rsidRPr="00944B59">
        <w:t xml:space="preserve"> (по 15 самцов и самок в экспериментальных группах и контроле) летальность отмечалась у 11 экспериментальных животных при дозе 10 мг/кг на 12 неделе лечения. Смерть животных наступала вследствие поражения двенадцатиперстной кишки (воспаление/кистозная дилатация, сопровождаемая гиперплазия слизистой оболочки и некрозом медиальных артериол) и почек (гломерулопатия и гломерулонефропатия). Сосудистые поражения, связанные с ингибированием VEGF, наблюдались во многих органов, в том числе утолщение адвентициальных артериол в сердце </w:t>
      </w:r>
      <w:r w:rsidRPr="00944B59">
        <w:fldChar w:fldCharType="begin"/>
      </w:r>
      <w:r w:rsidRPr="00944B59">
        <w:instrText xml:space="preserve"> ADDIN ZOTERO_ITEM CSL_CITATION {"citationID":"BvwnTlaN","properties":{"formattedCitation":"[8]","plainCitation":"[8]","noteIndex":0},"citationItems":[{"id":2746,"uris":["http://zotero.org/users/5483459/items/Z6Y8HY5F"],"itemData":{"id":2746,"type":"document","title":"U.S.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w:t>
      </w:r>
    </w:p>
    <w:p w14:paraId="64C1A514" w14:textId="1DADA3CD" w:rsidR="00200EBA" w:rsidRPr="00944B59" w:rsidRDefault="00200EBA" w:rsidP="006600E9">
      <w:pPr>
        <w:ind w:firstLine="709"/>
      </w:pPr>
      <w:r w:rsidRPr="00944B59">
        <w:t xml:space="preserve">В 4-недельном исследовании у собак </w:t>
      </w:r>
      <w:r w:rsidRPr="00944B59">
        <w:rPr>
          <w:iCs/>
        </w:rPr>
        <w:t>(</w:t>
      </w:r>
      <w:r w:rsidRPr="00944B59">
        <w:t>по 3 самца и самки в экспериментальных группах и контроле</w:t>
      </w:r>
      <w:r w:rsidRPr="00944B59">
        <w:rPr>
          <w:iCs/>
        </w:rPr>
        <w:t xml:space="preserve">) </w:t>
      </w:r>
      <w:r w:rsidRPr="00944B59">
        <w:t xml:space="preserve">ленватиниб вводили перорально один раз в день через желудочный зонд в дозах 0,01 и 0,5 мг/кг один раз в день в течение 28 дней. Летальных исходов не было. Клинические признаки желудочно-кишечной токсичности включали водянистый стул у собак, </w:t>
      </w:r>
      <w:r w:rsidR="00A8281D" w:rsidRPr="00944B59">
        <w:t>получавши</w:t>
      </w:r>
      <w:r w:rsidR="00A8281D">
        <w:t>х</w:t>
      </w:r>
      <w:r w:rsidR="00A8281D" w:rsidRPr="00944B59">
        <w:t xml:space="preserve"> </w:t>
      </w:r>
      <w:r w:rsidRPr="00944B59">
        <w:t>ленватиниб в дозе 0,5 мг/кг (10 мг/м</w:t>
      </w:r>
      <w:r w:rsidRPr="00944B59">
        <w:rPr>
          <w:vertAlign w:val="superscript"/>
        </w:rPr>
        <w:t>2</w:t>
      </w:r>
      <w:r w:rsidRPr="00944B59">
        <w:t xml:space="preserve">). Гистологические данные при дозе </w:t>
      </w:r>
      <w:r w:rsidRPr="00944B59">
        <w:lastRenderedPageBreak/>
        <w:t xml:space="preserve">0,5 мг/кг включали фиброзный некроз желчного пузыря, гломерулопатию и лимфоидное истощение/некроз в тощей и подвздошной кишках </w:t>
      </w:r>
      <w:r w:rsidRPr="00944B59">
        <w:fldChar w:fldCharType="begin"/>
      </w:r>
      <w:r w:rsidRPr="00944B59">
        <w:instrText xml:space="preserve"> ADDIN ZOTERO_ITEM CSL_CITATION {"citationID":"Q523XiKP","properties":{"formattedCitation":"[8]","plainCitation":"[8]","noteIndex":0},"citationItems":[{"id":2746,"uris":["http://zotero.org/users/5483459/items/Z6Y8HY5F"],"itemData":{"id":2746,"type":"document","title":"U.S.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rsidRPr="00944B59">
        <w:fldChar w:fldCharType="separate"/>
      </w:r>
      <w:r w:rsidRPr="00944B59">
        <w:t>[8]</w:t>
      </w:r>
      <w:r w:rsidRPr="00944B59">
        <w:fldChar w:fldCharType="end"/>
      </w:r>
      <w:r w:rsidRPr="00944B59">
        <w:t xml:space="preserve">. </w:t>
      </w:r>
    </w:p>
    <w:p w14:paraId="73E6D531" w14:textId="77777777" w:rsidR="00200EBA" w:rsidRPr="00944B59" w:rsidRDefault="00200EBA" w:rsidP="006600E9">
      <w:pPr>
        <w:ind w:firstLine="709"/>
      </w:pPr>
      <w:r w:rsidRPr="00944B59">
        <w:t>В исследовании у обезьян (яванские макаки) ленватиниб вводили перорально один раз в день через желудочный зонд в дозах 0,3, 3 или 30 мг/кг (3,6, 36 или 360 мг/м</w:t>
      </w:r>
      <w:r w:rsidRPr="00944B59">
        <w:rPr>
          <w:vertAlign w:val="superscript"/>
        </w:rPr>
        <w:t>2</w:t>
      </w:r>
      <w:r w:rsidRPr="00944B59">
        <w:t>) в течение 4 недель и 0,1, 0,5 или 3 мг/кг (1,2, 6 или 36 мг/м</w:t>
      </w:r>
      <w:r w:rsidRPr="00944B59">
        <w:rPr>
          <w:vertAlign w:val="superscript"/>
        </w:rPr>
        <w:t>2</w:t>
      </w:r>
      <w:r w:rsidRPr="00944B59">
        <w:t xml:space="preserve">) в течение 39 недель. </w:t>
      </w:r>
    </w:p>
    <w:p w14:paraId="798DAC56" w14:textId="7B751D6C" w:rsidR="00200EBA" w:rsidRPr="00944B59" w:rsidRDefault="00200EBA" w:rsidP="006600E9">
      <w:pPr>
        <w:ind w:firstLine="709"/>
      </w:pPr>
      <w:r w:rsidRPr="00944B59">
        <w:t xml:space="preserve">В 4-недельном исследовании у обезьян (по 2 самца и самки в экспериментальных группах и контроле) одна самка, получавшая ленватиниб в дозе 30 мг/кг, умерла на 21-й день из-за потери массы тела, связанной с анорексией. </w:t>
      </w:r>
      <w:bookmarkStart w:id="142" w:name="_Hlk118184863"/>
      <w:r w:rsidRPr="00944B59">
        <w:t xml:space="preserve">Основными органами токсичности ленватиниба были </w:t>
      </w:r>
      <w:r w:rsidR="002659C2" w:rsidRPr="00944B59">
        <w:t>ЖКТ</w:t>
      </w:r>
      <w:r w:rsidRPr="00944B59">
        <w:t xml:space="preserve"> (водянистый стул, снижение массы тела и потребления пищи, дегенерация медиальных артерий в желудке и слепой кишке), почках (гломерулопатия), печени (повышение АЛТ и АСТ), желчном пузыре (артериальный фиброзный некроз), яичках, головном мозге. селезенки (лимфоидная атрофия) и надпочечников (корковая гипертрофия).</w:t>
      </w:r>
    </w:p>
    <w:bookmarkEnd w:id="142"/>
    <w:p w14:paraId="4B19630A" w14:textId="015BEDFF" w:rsidR="00200EBA" w:rsidRPr="00AA16B4" w:rsidRDefault="00200EBA" w:rsidP="006600E9">
      <w:pPr>
        <w:ind w:firstLine="709"/>
      </w:pPr>
      <w:r w:rsidRPr="00944B59">
        <w:t xml:space="preserve">В 39-недельном исследовании у обезьян (по 2 самца и </w:t>
      </w:r>
      <w:r w:rsidR="00A8281D">
        <w:t xml:space="preserve">2 </w:t>
      </w:r>
      <w:r w:rsidRPr="00944B59">
        <w:t>самки в экспериментальных группах и контроле) один самец яванской макаки, получивший ленватиниб в дозе 3 мг/кг, был усыплен в состоянии</w:t>
      </w:r>
      <w:r>
        <w:t xml:space="preserve"> </w:t>
      </w:r>
      <w:r w:rsidR="00A8281D">
        <w:t xml:space="preserve">агонии </w:t>
      </w:r>
      <w:r>
        <w:t xml:space="preserve">на 51-й день. У него отмечались воспалительные изменения в нижних отделах толстой кишки в сочетании с тяжелыми изменениями в двенадцатиперстной кишке. Основными органами-мишенями токсичности </w:t>
      </w:r>
      <w:r w:rsidR="00A8281D">
        <w:t xml:space="preserve">у обезьян </w:t>
      </w:r>
      <w:r>
        <w:t xml:space="preserve">являлись почки, </w:t>
      </w:r>
      <w:r w:rsidR="00C13C99">
        <w:t>ЖКТ</w:t>
      </w:r>
      <w:r>
        <w:t>, двенадцатиперстная кишка, желчный пузырь, поджелудочная железа, надпочечники, гипофиз, селезенка, тимус, бедренная кость, сосудистое сплетение, скелетные мышцы, влагалище и яичники. Протеинурия отмечалась при дозе 3 мг/кг (36 мг/м</w:t>
      </w:r>
      <w:r w:rsidRPr="00F622DA">
        <w:rPr>
          <w:vertAlign w:val="superscript"/>
        </w:rPr>
        <w:t>2</w:t>
      </w:r>
      <w:r>
        <w:t xml:space="preserve">) </w:t>
      </w:r>
      <w:r>
        <w:fldChar w:fldCharType="begin"/>
      </w:r>
      <w:r>
        <w:instrText xml:space="preserve"> ADDIN ZOTERO_ITEM CSL_CITATION {"citationID":"aHvlYP7c","properties":{"formattedCitation":"[8]","plainCitation":"[8]","noteIndex":0},"citationItems":[{"id":2746,"uris":["http://zotero.org/users/5483459/items/Z6Y8HY5F"],"itemData":{"id":2746,"type":"document","title":"U.S.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27F963F4" w14:textId="77777777" w:rsidR="00200EBA" w:rsidRDefault="00200EBA" w:rsidP="00200EBA">
      <w:pPr>
        <w:pStyle w:val="3"/>
        <w:spacing w:after="240"/>
        <w:rPr>
          <w:rStyle w:val="apple-converted-space"/>
          <w:rFonts w:ascii="Times New Roman" w:eastAsia="Calibri" w:hAnsi="Times New Roman"/>
          <w:bCs w:val="0"/>
          <w:color w:val="000000" w:themeColor="text1"/>
          <w:shd w:val="clear" w:color="auto" w:fill="FFFFFF"/>
        </w:rPr>
      </w:pPr>
      <w:bookmarkStart w:id="143" w:name="_Toc126059727"/>
      <w:bookmarkEnd w:id="141"/>
      <w:r w:rsidRPr="005E6358">
        <w:rPr>
          <w:rFonts w:ascii="Times New Roman" w:hAnsi="Times New Roman"/>
          <w:color w:val="000000" w:themeColor="text1"/>
          <w:szCs w:val="24"/>
        </w:rPr>
        <w:t>3.3.3.</w:t>
      </w:r>
      <w:bookmarkStart w:id="144" w:name="_Toc477355751"/>
      <w:r>
        <w:rPr>
          <w:rFonts w:ascii="Times New Roman" w:hAnsi="Times New Roman"/>
          <w:color w:val="000000" w:themeColor="text1"/>
          <w:szCs w:val="24"/>
        </w:rPr>
        <w:t xml:space="preserve"> </w:t>
      </w:r>
      <w:r w:rsidRPr="005E6358">
        <w:rPr>
          <w:rStyle w:val="apple-converted-space"/>
          <w:rFonts w:ascii="Times New Roman" w:eastAsia="Calibri" w:hAnsi="Times New Roman"/>
          <w:bCs w:val="0"/>
          <w:color w:val="000000" w:themeColor="text1"/>
          <w:shd w:val="clear" w:color="auto" w:fill="FFFFFF"/>
        </w:rPr>
        <w:t>Генотоксичность</w:t>
      </w:r>
      <w:bookmarkEnd w:id="143"/>
      <w:bookmarkEnd w:id="144"/>
    </w:p>
    <w:p w14:paraId="257C6202" w14:textId="3E994DE4" w:rsidR="00200EBA" w:rsidRPr="003F316C" w:rsidRDefault="00200EBA" w:rsidP="00200EBA">
      <w:pPr>
        <w:ind w:firstLine="851"/>
        <w:rPr>
          <w:color w:val="FF0000"/>
        </w:rPr>
      </w:pPr>
      <w:bookmarkStart w:id="145" w:name="_Hlk118184987"/>
      <w:r>
        <w:t xml:space="preserve">Ленватиниб не оказывал мутагенного действия в </w:t>
      </w:r>
      <w:r w:rsidR="00A8281D">
        <w:t xml:space="preserve">тесте </w:t>
      </w:r>
      <w:r>
        <w:t xml:space="preserve">Эймса </w:t>
      </w:r>
      <w:r w:rsidRPr="0008690B">
        <w:rPr>
          <w:i/>
          <w:iCs/>
        </w:rPr>
        <w:t>in vitro</w:t>
      </w:r>
      <w:r>
        <w:t xml:space="preserve"> и на мышах </w:t>
      </w:r>
      <w:r w:rsidRPr="0008690B">
        <w:rPr>
          <w:i/>
          <w:iCs/>
        </w:rPr>
        <w:t>in vi</w:t>
      </w:r>
      <w:r w:rsidR="006600E9">
        <w:rPr>
          <w:i/>
          <w:iCs/>
          <w:lang w:val="en-US"/>
        </w:rPr>
        <w:t>v</w:t>
      </w:r>
      <w:r w:rsidRPr="0008690B">
        <w:rPr>
          <w:i/>
          <w:iCs/>
        </w:rPr>
        <w:t>o.</w:t>
      </w:r>
      <w:r>
        <w:t xml:space="preserve"> Ленватиниб </w:t>
      </w:r>
      <w:r w:rsidR="00A8281D">
        <w:t xml:space="preserve">не </w:t>
      </w:r>
      <w:r>
        <w:t xml:space="preserve">был кластогенным в микроядерном анализе костного мозга крыс </w:t>
      </w:r>
      <w:r w:rsidRPr="009D6407">
        <w:rPr>
          <w:i/>
          <w:iCs/>
        </w:rPr>
        <w:t>in vivo</w:t>
      </w:r>
      <w:r>
        <w:t xml:space="preserve"> при уровнях доз до 2000 мг/кг. Хотя ленватиниб не был генотоксичен, </w:t>
      </w:r>
      <w:r w:rsidR="006600E9">
        <w:t>для</w:t>
      </w:r>
      <w:r>
        <w:t xml:space="preserve"> 5 из 14 примесей, протестированных </w:t>
      </w:r>
      <w:r w:rsidRPr="0008690B">
        <w:rPr>
          <w:i/>
          <w:iCs/>
        </w:rPr>
        <w:t>in vitro</w:t>
      </w:r>
      <w:r>
        <w:t xml:space="preserve"> по Эймсу, было определено, что они обладают мутагенным потенциалом </w:t>
      </w:r>
      <w:r>
        <w:fldChar w:fldCharType="begin"/>
      </w:r>
      <w:r>
        <w:instrText xml:space="preserve"> ADDIN ZOTERO_ITEM CSL_CITATION {"citationID":"aHvlYP7c","properties":{"formattedCitation":"[8]","plainCitation":"[8]","noteIndex":0},"citationItems":[{"id":2746,"uris":["http://zotero.org/users/5483459/items/Z6Y8HY5F"],"itemData":{"id":2746,"type":"document","title":"U.S.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 xml:space="preserve">. </w:t>
      </w:r>
    </w:p>
    <w:p w14:paraId="2FC89C74" w14:textId="77777777" w:rsidR="00200EBA" w:rsidRDefault="00200EBA" w:rsidP="00200EBA">
      <w:pPr>
        <w:pStyle w:val="3"/>
        <w:spacing w:after="240"/>
        <w:rPr>
          <w:rFonts w:ascii="Times New Roman" w:hAnsi="Times New Roman"/>
          <w:color w:val="000000" w:themeColor="text1"/>
          <w:szCs w:val="24"/>
        </w:rPr>
      </w:pPr>
      <w:bookmarkStart w:id="146" w:name="_Toc477355752"/>
      <w:bookmarkStart w:id="147" w:name="_Toc126059728"/>
      <w:bookmarkEnd w:id="145"/>
      <w:r w:rsidRPr="005E6358">
        <w:rPr>
          <w:rFonts w:ascii="Times New Roman" w:hAnsi="Times New Roman"/>
          <w:color w:val="000000" w:themeColor="text1"/>
          <w:szCs w:val="24"/>
        </w:rPr>
        <w:t>3.3.4.</w:t>
      </w:r>
      <w:r>
        <w:rPr>
          <w:rFonts w:ascii="Times New Roman" w:hAnsi="Times New Roman"/>
          <w:color w:val="000000" w:themeColor="text1"/>
          <w:szCs w:val="24"/>
        </w:rPr>
        <w:t xml:space="preserve"> </w:t>
      </w:r>
      <w:r w:rsidRPr="005E6358">
        <w:rPr>
          <w:rFonts w:ascii="Times New Roman" w:hAnsi="Times New Roman"/>
          <w:color w:val="000000" w:themeColor="text1"/>
          <w:szCs w:val="24"/>
        </w:rPr>
        <w:t>Канцерогенность</w:t>
      </w:r>
      <w:bookmarkEnd w:id="146"/>
      <w:bookmarkEnd w:id="147"/>
    </w:p>
    <w:p w14:paraId="713A6C6B" w14:textId="5FD7C74C" w:rsidR="00200EBA" w:rsidRPr="00EF4BF2" w:rsidRDefault="00200EBA" w:rsidP="006600E9">
      <w:pPr>
        <w:ind w:firstLine="709"/>
      </w:pPr>
      <w:r w:rsidRPr="00EF4BF2">
        <w:t>Исследования канцерогенности ленватиниба не проводились</w:t>
      </w:r>
      <w:r>
        <w:t xml:space="preserve"> </w:t>
      </w:r>
      <w:r>
        <w:fldChar w:fldCharType="begin"/>
      </w:r>
      <w:r>
        <w:instrText xml:space="preserve"> ADDIN ZOTERO_ITEM CSL_CITATION {"citationID":"z4D2yCHi","properties":{"formattedCitation":"[6\\uc0\\u8211{}8]","plainCitation":"[6–8]","noteIndex":0},"citationItems":[{"id":2745,"uris":["http://zotero.org/users/5483459/items/95XEZDWJ"],"itemData":{"id":2745,"type":"document","title":"European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695E44B2" w14:textId="77777777" w:rsidR="00200EBA" w:rsidRDefault="00200EBA" w:rsidP="00200EBA">
      <w:pPr>
        <w:pStyle w:val="3"/>
        <w:spacing w:after="240"/>
        <w:rPr>
          <w:rFonts w:ascii="Times New Roman" w:hAnsi="Times New Roman"/>
          <w:color w:val="000000" w:themeColor="text1"/>
          <w:szCs w:val="24"/>
        </w:rPr>
      </w:pPr>
      <w:bookmarkStart w:id="148" w:name="_Toc477355753"/>
      <w:bookmarkStart w:id="149" w:name="_Toc126059729"/>
      <w:r w:rsidRPr="005E6358">
        <w:rPr>
          <w:rFonts w:ascii="Times New Roman" w:hAnsi="Times New Roman"/>
          <w:color w:val="000000" w:themeColor="text1"/>
          <w:szCs w:val="24"/>
        </w:rPr>
        <w:t>3.3.5. Репродуктивная и онтогенетическая токсичность</w:t>
      </w:r>
      <w:bookmarkEnd w:id="148"/>
      <w:bookmarkEnd w:id="149"/>
    </w:p>
    <w:p w14:paraId="607E5C5E" w14:textId="77777777" w:rsidR="00200EBA" w:rsidRDefault="00200EBA" w:rsidP="00200EBA">
      <w:pPr>
        <w:pStyle w:val="4"/>
        <w:spacing w:after="240"/>
        <w:rPr>
          <w:rFonts w:ascii="Times New Roman" w:hAnsi="Times New Roman"/>
          <w:color w:val="000000" w:themeColor="text1"/>
          <w:sz w:val="24"/>
          <w:szCs w:val="24"/>
        </w:rPr>
      </w:pPr>
      <w:bookmarkStart w:id="150" w:name="_Toc126059730"/>
      <w:r>
        <w:rPr>
          <w:rFonts w:ascii="Times New Roman" w:hAnsi="Times New Roman"/>
          <w:color w:val="000000" w:themeColor="text1"/>
          <w:sz w:val="24"/>
          <w:szCs w:val="24"/>
        </w:rPr>
        <w:t>3.3.5.1. Влияние на фертильность и ранняя эмбриональная токсичность</w:t>
      </w:r>
      <w:bookmarkEnd w:id="150"/>
    </w:p>
    <w:p w14:paraId="6AAA7E14" w14:textId="77777777" w:rsidR="00200EBA" w:rsidRDefault="00200EBA" w:rsidP="006600E9">
      <w:pPr>
        <w:ind w:firstLine="709"/>
      </w:pPr>
      <w:bookmarkStart w:id="151" w:name="_Hlk118185041"/>
      <w:r w:rsidRPr="003B51D1">
        <w:t>Исследования фертильности/эмбрионального развития ленватиниба не проводились</w:t>
      </w:r>
      <w:r>
        <w:t>.</w:t>
      </w:r>
      <w:r w:rsidRPr="003B51D1">
        <w:t xml:space="preserve"> Однако, результаты токсикокинетических исследований повторных доз позволяют предположить, что введение ленватиниба может ухудшить мужскую и женскую репродуктивную функцию и/или фертильность</w:t>
      </w:r>
      <w:r>
        <w:t>.</w:t>
      </w:r>
    </w:p>
    <w:bookmarkEnd w:id="151"/>
    <w:p w14:paraId="29B3AFBE" w14:textId="79C52332" w:rsidR="00200EBA" w:rsidRPr="001E367F" w:rsidRDefault="00200EBA" w:rsidP="006600E9">
      <w:pPr>
        <w:ind w:firstLine="709"/>
        <w:rPr>
          <w:i/>
          <w:iCs/>
        </w:rPr>
      </w:pPr>
      <w:r w:rsidRPr="00AA16B4">
        <w:t xml:space="preserve">Ленватиниб оценивался в </w:t>
      </w:r>
      <w:r>
        <w:t>токсикокинетических</w:t>
      </w:r>
      <w:r w:rsidRPr="00AA16B4">
        <w:t xml:space="preserve"> исследованиях </w:t>
      </w:r>
      <w:r>
        <w:t xml:space="preserve">при многократном введении у </w:t>
      </w:r>
      <w:r w:rsidRPr="006600E9">
        <w:t xml:space="preserve">крыс </w:t>
      </w:r>
      <w:r w:rsidRPr="006600E9">
        <w:rPr>
          <w:iCs/>
          <w:lang w:val="en-US"/>
        </w:rPr>
        <w:t>Sprague</w:t>
      </w:r>
      <w:r w:rsidRPr="006600E9">
        <w:rPr>
          <w:iCs/>
        </w:rPr>
        <w:t xml:space="preserve"> </w:t>
      </w:r>
      <w:r w:rsidRPr="006600E9">
        <w:rPr>
          <w:iCs/>
          <w:lang w:val="en-US"/>
        </w:rPr>
        <w:t>Dawley</w:t>
      </w:r>
      <w:r w:rsidRPr="006600E9">
        <w:rPr>
          <w:iCs/>
        </w:rPr>
        <w:t xml:space="preserve"> </w:t>
      </w:r>
      <w:r w:rsidRPr="006600E9">
        <w:t>(до</w:t>
      </w:r>
      <w:r w:rsidRPr="008F3B39">
        <w:t xml:space="preserve"> </w:t>
      </w:r>
      <w:r>
        <w:t>26 недель</w:t>
      </w:r>
      <w:r w:rsidRPr="008F3B39">
        <w:t>)</w:t>
      </w:r>
      <w:r>
        <w:t xml:space="preserve">, у собак </w:t>
      </w:r>
      <w:r w:rsidRPr="008F3B39">
        <w:t xml:space="preserve">(до </w:t>
      </w:r>
      <w:r>
        <w:t>4 недель</w:t>
      </w:r>
      <w:r w:rsidRPr="008F3B39">
        <w:t>)</w:t>
      </w:r>
      <w:r>
        <w:t xml:space="preserve">, у яванских макак </w:t>
      </w:r>
      <w:r w:rsidRPr="008F3B39">
        <w:t xml:space="preserve">(до </w:t>
      </w:r>
      <w:r>
        <w:t>39 недель</w:t>
      </w:r>
      <w:r w:rsidRPr="008F3B39">
        <w:t>)</w:t>
      </w:r>
      <w:r>
        <w:t>.</w:t>
      </w:r>
    </w:p>
    <w:p w14:paraId="6D69C3C5" w14:textId="1DBA8817" w:rsidR="00200EBA" w:rsidRDefault="00796976" w:rsidP="006600E9">
      <w:pPr>
        <w:ind w:firstLine="709"/>
      </w:pPr>
      <w:bookmarkStart w:id="152" w:name="_Hlk118185057"/>
      <w:r>
        <w:t>У</w:t>
      </w:r>
      <w:r w:rsidR="00200EBA">
        <w:t xml:space="preserve"> крыс отмечалась фолликулярная атрезия яичников, гипоцеллюлярность семенного эпителия в семенниках в дозах, в 9–39 раз превышающие дозы, рекомендуемые для человека (24 мг). </w:t>
      </w:r>
    </w:p>
    <w:p w14:paraId="0D883BCE" w14:textId="7D7E508B" w:rsidR="00200EBA" w:rsidRDefault="00796976" w:rsidP="006600E9">
      <w:pPr>
        <w:ind w:firstLine="709"/>
      </w:pPr>
      <w:r>
        <w:lastRenderedPageBreak/>
        <w:t xml:space="preserve">В </w:t>
      </w:r>
      <w:r w:rsidR="00200EBA">
        <w:t>токсикокинетических</w:t>
      </w:r>
      <w:r w:rsidR="00200EBA" w:rsidRPr="00AA16B4">
        <w:t xml:space="preserve"> </w:t>
      </w:r>
      <w:r w:rsidR="00200EBA">
        <w:t xml:space="preserve">исследованиях у обезьян отмечалась фолликулярная атрезия яичников и снижение частоты менструаций </w:t>
      </w:r>
      <w:r>
        <w:t xml:space="preserve">при экспозиции </w:t>
      </w:r>
      <w:r w:rsidR="00200EBA">
        <w:t xml:space="preserve">ленватиниба примерно в 0,2–1 раза </w:t>
      </w:r>
      <w:r>
        <w:t xml:space="preserve">превышающей </w:t>
      </w:r>
      <w:r w:rsidR="00200EBA">
        <w:t xml:space="preserve">клиническую экспозицию по AUC в рекомендованной дозе для человека. Гипоклеточность семенного эпителия в семенниках наблюдалось у обезьян при воздействии ленватиниба примерно в 4-19 раз </w:t>
      </w:r>
      <w:r>
        <w:t>выше</w:t>
      </w:r>
      <w:r w:rsidR="00200EBA">
        <w:t xml:space="preserve">, чем клиническое воздействие по AUC в рекомендуемой дозе для человека. </w:t>
      </w:r>
    </w:p>
    <w:p w14:paraId="3E6AFC38" w14:textId="553F899B" w:rsidR="00200EBA" w:rsidRDefault="00200EBA" w:rsidP="006600E9">
      <w:pPr>
        <w:ind w:firstLine="709"/>
      </w:pPr>
      <w:r w:rsidRPr="001F6999">
        <w:t xml:space="preserve">При </w:t>
      </w:r>
      <w:r>
        <w:t>токсикокинетических</w:t>
      </w:r>
      <w:r w:rsidRPr="00AA16B4">
        <w:t xml:space="preserve"> </w:t>
      </w:r>
      <w:r w:rsidRPr="001F6999">
        <w:t xml:space="preserve">исследованиях у </w:t>
      </w:r>
      <w:r>
        <w:t xml:space="preserve">собак отмечались гипоцеллюлярность семенного эпителия в яичках и </w:t>
      </w:r>
      <w:r w:rsidR="00202E76">
        <w:t xml:space="preserve">десквамация </w:t>
      </w:r>
      <w:r>
        <w:t>клеток семенного эпителия в придатках яичка при воздействии ленватиниба примерно от 0,02 до 0,09 раз превыша</w:t>
      </w:r>
      <w:r w:rsidR="006600E9">
        <w:t>вшем</w:t>
      </w:r>
      <w:r>
        <w:t xml:space="preserve"> клиническую экспозицию по AUC при рекомендуемой дозе для человека </w:t>
      </w:r>
      <w:r>
        <w:fldChar w:fldCharType="begin"/>
      </w:r>
      <w:r>
        <w:instrText xml:space="preserve"> ADDIN ZOTERO_ITEM CSL_CITATION {"citationID":"VX4fyfbK","properties":{"formattedCitation":"[8]","plainCitation":"[8]","noteIndex":0},"citationItems":[{"id":2746,"uris":["http://zotero.org/users/5483459/items/Z6Y8HY5F"],"itemData":{"id":2746,"type":"document","title":"U.S.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295AB488" w14:textId="77777777" w:rsidR="00200EBA" w:rsidRDefault="00200EBA" w:rsidP="00200EBA">
      <w:pPr>
        <w:pStyle w:val="4"/>
        <w:spacing w:after="240"/>
        <w:rPr>
          <w:rFonts w:ascii="Times New Roman" w:hAnsi="Times New Roman"/>
          <w:color w:val="000000" w:themeColor="text1"/>
          <w:sz w:val="24"/>
          <w:szCs w:val="24"/>
        </w:rPr>
      </w:pPr>
      <w:bookmarkStart w:id="153" w:name="_Toc126059731"/>
      <w:bookmarkEnd w:id="152"/>
      <w:r>
        <w:rPr>
          <w:rFonts w:ascii="Times New Roman" w:hAnsi="Times New Roman"/>
          <w:color w:val="000000" w:themeColor="text1"/>
          <w:sz w:val="24"/>
          <w:szCs w:val="24"/>
        </w:rPr>
        <w:t>3.3.5.2. Эмбрио-фетальная токсичность</w:t>
      </w:r>
      <w:bookmarkEnd w:id="153"/>
    </w:p>
    <w:p w14:paraId="17CC8420" w14:textId="2C87EAC9" w:rsidR="00200EBA" w:rsidRDefault="00200EBA" w:rsidP="00200EBA">
      <w:pPr>
        <w:ind w:firstLine="709"/>
      </w:pPr>
      <w:bookmarkStart w:id="154" w:name="_Hlk118185188"/>
      <w:r>
        <w:t>В исследовании на беременных крысах были изучены токсикокинетические показатели проницаемости плацентарного барьера и оценена способность проникновения ленватиниба в молоко лактирующих крыс. Было оценено проникновение ленватиниба через плаценту после однократного приема 3 мг/кг (18 мг/м</w:t>
      </w:r>
      <w:r w:rsidRPr="00E3434F">
        <w:rPr>
          <w:vertAlign w:val="superscript"/>
        </w:rPr>
        <w:t>2</w:t>
      </w:r>
      <w:r>
        <w:t xml:space="preserve">) пероральной дозы радиоактивного </w:t>
      </w:r>
      <w:r w:rsidRPr="00E3434F">
        <w:rPr>
          <w:vertAlign w:val="superscript"/>
        </w:rPr>
        <w:t>14</w:t>
      </w:r>
      <w:r>
        <w:t>C-ленватиниба крысами на 13 или 18 день беременности</w:t>
      </w:r>
      <w:bookmarkEnd w:id="154"/>
      <w:r>
        <w:t xml:space="preserve">. Через 30 минут после приема </w:t>
      </w:r>
      <w:r w:rsidRPr="00E3434F">
        <w:rPr>
          <w:vertAlign w:val="superscript"/>
        </w:rPr>
        <w:t>14</w:t>
      </w:r>
      <w:r>
        <w:t>C-ленватиниба радиоактивные концентрации в плаценте, плодных оболочках, амниотической жидкость, в крови плода и ткани плода были 25%, ≤14%, 0%, ≤2%, 2% и ≤4% от такового в материнской плазме</w:t>
      </w:r>
      <w:r w:rsidR="00796976">
        <w:t>,</w:t>
      </w:r>
      <w:r>
        <w:t xml:space="preserve"> соответственно. </w:t>
      </w:r>
      <w:bookmarkStart w:id="155" w:name="_Hlk118185230"/>
      <w:r>
        <w:t xml:space="preserve">Хотя ленватиниб </w:t>
      </w:r>
      <w:r w:rsidR="00796976">
        <w:t xml:space="preserve">преодолевал </w:t>
      </w:r>
      <w:r>
        <w:t>плацентарный барьер, процентное распределение радиоактивности на каждый плод составляло ≤0,02% от дозированной радиоактивности, что свидетельствует об относительно низкой плацентарной передаче ленватиниба плоду.</w:t>
      </w:r>
      <w:bookmarkEnd w:id="155"/>
    </w:p>
    <w:p w14:paraId="1BF57461" w14:textId="77247BCF" w:rsidR="00200EBA" w:rsidRDefault="00200EBA" w:rsidP="00200EBA">
      <w:pPr>
        <w:ind w:firstLine="709"/>
      </w:pPr>
      <w:r>
        <w:t xml:space="preserve">После однократного перорального введения радиоактивного </w:t>
      </w:r>
      <w:r w:rsidRPr="00BE0396">
        <w:rPr>
          <w:vertAlign w:val="superscript"/>
        </w:rPr>
        <w:t>14</w:t>
      </w:r>
      <w:r>
        <w:t xml:space="preserve">C-ленватиниба лактирующим крысам на 9 день после родов, радиоактивность была примерно в 1,4 и 2 раза выше в молоке по сравнению с плазмой </w:t>
      </w:r>
      <w:r w:rsidR="00796976">
        <w:t>по</w:t>
      </w:r>
      <w:r>
        <w:t xml:space="preserve"> </w:t>
      </w:r>
      <w:r w:rsidR="00796976">
        <w:t xml:space="preserve">показателям </w:t>
      </w:r>
      <w:r>
        <w:t>C</w:t>
      </w:r>
      <w:r w:rsidRPr="00C31FA6">
        <w:rPr>
          <w:vertAlign w:val="subscript"/>
        </w:rPr>
        <w:t>max</w:t>
      </w:r>
      <w:r>
        <w:t xml:space="preserve"> и AUC соответственно, что указывает на наличие ленватиниба в молоке крыс. Радиоактивность в молоке и плазме достигала максимума через 1 час после введения ленватиниба и со временем снижалась.</w:t>
      </w:r>
    </w:p>
    <w:p w14:paraId="327E5BEB" w14:textId="0B8B552B" w:rsidR="00200EBA" w:rsidRDefault="00200EBA" w:rsidP="00200EBA">
      <w:pPr>
        <w:ind w:firstLine="709"/>
      </w:pPr>
      <w:bookmarkStart w:id="156" w:name="_Hlk118192049"/>
      <w:r>
        <w:t>В исследовании на крысах была изучена эмбрио-фетальная токсичность</w:t>
      </w:r>
      <w:r w:rsidR="00796976">
        <w:t>.</w:t>
      </w:r>
      <w:r>
        <w:t xml:space="preserve"> Исследование эмбриофетального развития, проведенное на крысах, показало, что ленватиниб эмбриотоксичен, фетотоксичен и обладает тератогенным потенциалом. Ежедневное однократное пероральное введение ленватиниб</w:t>
      </w:r>
      <w:r w:rsidR="00B90FC7">
        <w:t>а</w:t>
      </w:r>
      <w:r>
        <w:t xml:space="preserve"> через зонд в дозах 0,1, 0,3 и 1 мг/кг беременным крысам в период органогенеза (6-17 день эмбрионального развития) приводил к статистически значимому снижению средней гестационной массы тела, прибавки массы тела и </w:t>
      </w:r>
      <w:r w:rsidR="00796976">
        <w:t xml:space="preserve">потребления </w:t>
      </w:r>
      <w:r>
        <w:t>пищи беременными крысами по сравнению с контролем на ≤14%, 28% и 19%</w:t>
      </w:r>
      <w:r w:rsidR="00796976">
        <w:t>,</w:t>
      </w:r>
      <w:r>
        <w:t xml:space="preserve"> соответственно</w:t>
      </w:r>
      <w:r w:rsidR="00796976">
        <w:t>,</w:t>
      </w:r>
      <w:r>
        <w:t xml:space="preserve"> при дозе ленватиниба 1 мг/кг (6 мг/м</w:t>
      </w:r>
      <w:r w:rsidRPr="00AD6974">
        <w:rPr>
          <w:vertAlign w:val="superscript"/>
        </w:rPr>
        <w:t>2</w:t>
      </w:r>
      <w:r>
        <w:t>). Отмечалось статистически значимое увеличение средней постимплантационной потери у крыс, которые получали однократное пероральное введение ленватиниб</w:t>
      </w:r>
      <w:r w:rsidR="00FE6B5B">
        <w:t>а</w:t>
      </w:r>
      <w:r>
        <w:t xml:space="preserve"> через зонд в дозе 1 мг/кг. В группе ленватиниба постимплантационные потери составляли 82,2% по сравнению с контрольной группой (3,8%) из-за ранней резорбции плода, что приводило к статистически значимому снижению среднего числа живых плодов в помете и количества самок с живыми плодами </w:t>
      </w:r>
      <w:r>
        <w:fldChar w:fldCharType="begin"/>
      </w:r>
      <w:r>
        <w:instrText xml:space="preserve"> ADDIN ZOTERO_ITEM CSL_CITATION {"citationID":"Gd7nlJTx","properties":{"formattedCitation":"[6\\uc0\\u8211{}8]","plainCitation":"[6–8]","noteIndex":0},"citationItems":[{"id":2745,"uris":["http://zotero.org/users/5483459/items/95XEZDWJ"],"itemData":{"id":2745,"type":"document","title":"European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bookmarkEnd w:id="156"/>
      <w:r>
        <w:t>.</w:t>
      </w:r>
    </w:p>
    <w:p w14:paraId="3499266E" w14:textId="77777777" w:rsidR="00200EBA" w:rsidRDefault="00200EBA" w:rsidP="00200EBA">
      <w:pPr>
        <w:pStyle w:val="4"/>
        <w:spacing w:after="240"/>
        <w:rPr>
          <w:rFonts w:ascii="Times New Roman" w:hAnsi="Times New Roman"/>
          <w:color w:val="000000" w:themeColor="text1"/>
          <w:sz w:val="24"/>
          <w:szCs w:val="24"/>
        </w:rPr>
      </w:pPr>
      <w:bookmarkStart w:id="157" w:name="_Toc126059732"/>
      <w:r w:rsidRPr="00584662">
        <w:rPr>
          <w:rFonts w:ascii="Times New Roman" w:eastAsia="MS Mincho" w:hAnsi="Times New Roman"/>
          <w:b w:val="0"/>
          <w:bCs w:val="0"/>
          <w:sz w:val="24"/>
          <w:szCs w:val="24"/>
        </w:rPr>
        <w:t>.</w:t>
      </w:r>
      <w:r>
        <w:rPr>
          <w:rFonts w:ascii="Times New Roman" w:hAnsi="Times New Roman"/>
          <w:color w:val="000000" w:themeColor="text1"/>
          <w:sz w:val="24"/>
          <w:szCs w:val="24"/>
        </w:rPr>
        <w:t>3.3.5.3. Влияние на п</w:t>
      </w:r>
      <w:r w:rsidRPr="002211BA">
        <w:rPr>
          <w:rFonts w:ascii="Times New Roman" w:hAnsi="Times New Roman"/>
          <w:color w:val="000000" w:themeColor="text1"/>
          <w:sz w:val="24"/>
          <w:szCs w:val="24"/>
        </w:rPr>
        <w:t>рената</w:t>
      </w:r>
      <w:r>
        <w:rPr>
          <w:rFonts w:ascii="Times New Roman" w:hAnsi="Times New Roman"/>
          <w:color w:val="000000" w:themeColor="text1"/>
          <w:sz w:val="24"/>
          <w:szCs w:val="24"/>
        </w:rPr>
        <w:t>льное и постнатальное развитие</w:t>
      </w:r>
      <w:bookmarkEnd w:id="157"/>
    </w:p>
    <w:p w14:paraId="72641E8D" w14:textId="4754DF43" w:rsidR="00200EBA" w:rsidRDefault="00200EBA" w:rsidP="00B44507">
      <w:pPr>
        <w:ind w:firstLine="709"/>
      </w:pPr>
      <w:bookmarkStart w:id="158" w:name="_Hlk118192178"/>
      <w:r>
        <w:t xml:space="preserve">Лечение ленватинибом приводило к статистически значимому дозозависимому увеличению </w:t>
      </w:r>
      <w:r w:rsidR="00796976">
        <w:t xml:space="preserve">количества </w:t>
      </w:r>
      <w:r>
        <w:t xml:space="preserve">плодов с внешними аномалиями и скелетными аномалиями по </w:t>
      </w:r>
      <w:r>
        <w:lastRenderedPageBreak/>
        <w:t>сравнению с контролем. Внешние аномалии плода наблюдались при уровнях доз ≥0,3 мг/кг (1,8 мг/м</w:t>
      </w:r>
      <w:r w:rsidRPr="00223125">
        <w:rPr>
          <w:vertAlign w:val="superscript"/>
        </w:rPr>
        <w:t>2</w:t>
      </w:r>
      <w:r w:rsidRPr="00223125">
        <w:t>)</w:t>
      </w:r>
      <w:r>
        <w:t xml:space="preserve">. Аномалии плодов включали дозозависимый париетальный отек, криптофтальмию, отсутствующие или аномальные хвосты. </w:t>
      </w:r>
      <w:bookmarkEnd w:id="158"/>
      <w:r>
        <w:t>Поскольку у 100% живых плодов в группе, получавшей дозу 1 мг/кг, наблюдались внешние аномалии, оценка висцеральной и скелетной патологии у плодов проводилась только при уровнях доз ≤0,3 мг/кг. У одного плода в группе, получавшей дозу 0,3 мг/кг, наблюдалась ретроэзофагеальная подключичная артерия. Скелетные аномалии у плодов наблюдались при дозах ≥0,1 мг/кг (0,6 мг/м</w:t>
      </w:r>
      <w:r w:rsidRPr="00260381">
        <w:rPr>
          <w:vertAlign w:val="superscript"/>
        </w:rPr>
        <w:t>2</w:t>
      </w:r>
      <w:r w:rsidRPr="00625167">
        <w:t>)</w:t>
      </w:r>
      <w:r>
        <w:rPr>
          <w:vertAlign w:val="superscript"/>
        </w:rPr>
        <w:t xml:space="preserve"> </w:t>
      </w:r>
      <w:r>
        <w:t xml:space="preserve">и включали увеличенный прерывистый реберный хрящ, </w:t>
      </w:r>
      <w:r w:rsidR="00796976">
        <w:t xml:space="preserve">гемицентрическую </w:t>
      </w:r>
      <w:r>
        <w:t>грудн</w:t>
      </w:r>
      <w:r w:rsidR="00796976">
        <w:t>ую</w:t>
      </w:r>
      <w:r>
        <w:t xml:space="preserve"> </w:t>
      </w:r>
      <w:r w:rsidR="00796976">
        <w:t>клетку</w:t>
      </w:r>
      <w:r>
        <w:t xml:space="preserve">, расщепление хрящей грудного и поясничного отделов, отсутствие поясничных и крестцовых позвонков, сросшийся/деформированный каудальный центр, </w:t>
      </w:r>
      <w:r w:rsidR="00796976">
        <w:t>увеличенную асимметричную грудину</w:t>
      </w:r>
      <w:r>
        <w:t xml:space="preserve">, </w:t>
      </w:r>
      <w:r w:rsidR="00796976">
        <w:t xml:space="preserve">гантелевидную форму </w:t>
      </w:r>
      <w:r>
        <w:t>центр</w:t>
      </w:r>
      <w:r w:rsidR="00796976">
        <w:t>а</w:t>
      </w:r>
      <w:r>
        <w:t xml:space="preserve"> позвонков, 14-е ребро и расщепленный центр позвонков. Задержка окостенения плода наблюдалась при дозе 0,3 мг/кг (1,8 мг/м</w:t>
      </w:r>
      <w:r w:rsidRPr="00B41663">
        <w:rPr>
          <w:vertAlign w:val="superscript"/>
        </w:rPr>
        <w:t>2</w:t>
      </w:r>
      <w:r>
        <w:t xml:space="preserve">). </w:t>
      </w:r>
      <w:r w:rsidR="00773157">
        <w:t>Д</w:t>
      </w:r>
      <w:r w:rsidR="00773157" w:rsidRPr="00773157">
        <w:t xml:space="preserve">оза, не оказывающая явного нежелательного действия </w:t>
      </w:r>
      <w:r w:rsidR="00773157">
        <w:t>(</w:t>
      </w:r>
      <w:r>
        <w:t>NOAEL</w:t>
      </w:r>
      <w:r w:rsidR="00773157">
        <w:t>)</w:t>
      </w:r>
      <w:r w:rsidR="00773157" w:rsidDel="00773157">
        <w:rPr>
          <w:rStyle w:val="af"/>
        </w:rPr>
        <w:t xml:space="preserve"> </w:t>
      </w:r>
      <w:r>
        <w:t>для материнской токсичности составила 0,3 мг/кг (1,8 мг/м</w:t>
      </w:r>
      <w:r w:rsidRPr="00111068">
        <w:rPr>
          <w:vertAlign w:val="superscript"/>
        </w:rPr>
        <w:t>2</w:t>
      </w:r>
      <w:r w:rsidRPr="00111068">
        <w:t>)</w:t>
      </w:r>
      <w:r>
        <w:t>. Таким образом, ленватиниб индуцировал фетотоксичность даже при отсутствии выраженной материнской токсичности.</w:t>
      </w:r>
    </w:p>
    <w:p w14:paraId="05F50A34" w14:textId="6C5A4596" w:rsidR="00200EBA" w:rsidRDefault="00200EBA" w:rsidP="00B44507">
      <w:pPr>
        <w:ind w:firstLine="709"/>
      </w:pPr>
      <w:r w:rsidRPr="0063162F">
        <w:t>Ежедневное однократное пероральное введение ленватиниб</w:t>
      </w:r>
      <w:r>
        <w:t>а</w:t>
      </w:r>
      <w:r w:rsidRPr="0063162F">
        <w:t xml:space="preserve"> через зонд в дозах </w:t>
      </w:r>
      <w:r>
        <w:t>0,03, 0,1 и 0,5 мг/кг</w:t>
      </w:r>
      <w:r w:rsidRPr="0063162F">
        <w:t xml:space="preserve"> беременным </w:t>
      </w:r>
      <w:r>
        <w:t>крольчихам</w:t>
      </w:r>
      <w:r w:rsidRPr="0063162F">
        <w:t xml:space="preserve"> в период органогенеза (6-1</w:t>
      </w:r>
      <w:r>
        <w:t>8</w:t>
      </w:r>
      <w:r w:rsidRPr="0063162F">
        <w:t xml:space="preserve"> день эмбрионального развития) </w:t>
      </w:r>
      <w:r>
        <w:t xml:space="preserve">приводило к проявлениям эмбриотоксичности и фетотоксичности. Отмечалось статистически значимое снижение средней гестационной массы тела, прибавки массы тела и </w:t>
      </w:r>
      <w:r w:rsidR="00796976">
        <w:t xml:space="preserve">потребления </w:t>
      </w:r>
      <w:r>
        <w:t>пищи при дозе 0,5 мг/кг (6 мг/м</w:t>
      </w:r>
      <w:r w:rsidRPr="007C4752">
        <w:rPr>
          <w:vertAlign w:val="superscript"/>
        </w:rPr>
        <w:t>2</w:t>
      </w:r>
      <w:r>
        <w:t>) по сравнению с контролем на ≤6%, 113% и 47%</w:t>
      </w:r>
      <w:r w:rsidR="00236EE5">
        <w:t>,</w:t>
      </w:r>
      <w:r>
        <w:t xml:space="preserve"> соответственно. Выкидыш</w:t>
      </w:r>
      <w:r w:rsidR="00796976">
        <w:t>и</w:t>
      </w:r>
      <w:r>
        <w:t xml:space="preserve"> </w:t>
      </w:r>
      <w:r w:rsidR="00796976">
        <w:t xml:space="preserve">отмечались </w:t>
      </w:r>
      <w:r>
        <w:t>у 7 из 18 самок кроликов, получавших ленватиниб в дозе 0,5 мг/кг (6 мг/м</w:t>
      </w:r>
      <w:r w:rsidRPr="00B1784C">
        <w:rPr>
          <w:vertAlign w:val="superscript"/>
        </w:rPr>
        <w:t>2</w:t>
      </w:r>
      <w:r>
        <w:t xml:space="preserve">) в период с 20 </w:t>
      </w:r>
      <w:r w:rsidR="00796976">
        <w:t xml:space="preserve">по </w:t>
      </w:r>
      <w:r>
        <w:t xml:space="preserve">22 дни беременности. Отмечалось статистически значимое увеличение средней постимплантационной потери у самок кроликов, получавших ленватиниб в дозе 0,5 мг/кг (94,3%) по сравнению с контролем (3,6%) из-за ранней резорбции плода, что </w:t>
      </w:r>
      <w:r w:rsidR="00796976">
        <w:t xml:space="preserve">приводило </w:t>
      </w:r>
      <w:r>
        <w:t>к статистически значимо</w:t>
      </w:r>
      <w:r w:rsidR="00236EE5">
        <w:t>му</w:t>
      </w:r>
      <w:r>
        <w:t xml:space="preserve"> снижени</w:t>
      </w:r>
      <w:r w:rsidR="00236EE5">
        <w:t>ю</w:t>
      </w:r>
      <w:r>
        <w:t xml:space="preserve"> среднего числа живых плодов в помете у кроликов (5 плодов) по сравнению с контролем (122 плода). В дозе 6 мг/м</w:t>
      </w:r>
      <w:r w:rsidRPr="002E7BBE">
        <w:rPr>
          <w:vertAlign w:val="superscript"/>
        </w:rPr>
        <w:t>2</w:t>
      </w:r>
      <w:r>
        <w:t xml:space="preserve"> в 10 случаях из 11 отмечалась резорбция плодов. </w:t>
      </w:r>
    </w:p>
    <w:p w14:paraId="24950D7D" w14:textId="66815F5F" w:rsidR="00200EBA" w:rsidRDefault="00200EBA" w:rsidP="00B44507">
      <w:pPr>
        <w:ind w:firstLine="709"/>
      </w:pPr>
      <w:r>
        <w:t>Висцеральные аномалии плода (ретроэзофагеальная подключичная артерия) наблюдались при дозе ≥0,03 мг/кг (0,36 мг/м</w:t>
      </w:r>
      <w:r w:rsidRPr="00B04744">
        <w:rPr>
          <w:vertAlign w:val="superscript"/>
        </w:rPr>
        <w:t>2</w:t>
      </w:r>
      <w:r>
        <w:t>).  Скелетные аномалии плода отмечались при уровнях доз ≥0,1 мг/кг (1,2 мг/м</w:t>
      </w:r>
      <w:r w:rsidRPr="006E50BB">
        <w:rPr>
          <w:vertAlign w:val="superscript"/>
        </w:rPr>
        <w:t>2</w:t>
      </w:r>
      <w:r>
        <w:t>) и включали дозозависимое увеличение аномалий развития ребер. У одного плода в группе, получавшей дозу 0,5 мг/кг были обнаружены грудные полупозвонки и деформированная поясничная дуга. NOAEL для материнской токсичности составил 0,1 мг/кг (1,2 мг/м</w:t>
      </w:r>
      <w:r w:rsidRPr="00134B6B">
        <w:rPr>
          <w:vertAlign w:val="superscript"/>
        </w:rPr>
        <w:t>2</w:t>
      </w:r>
      <w:r>
        <w:t>).</w:t>
      </w:r>
    </w:p>
    <w:p w14:paraId="0533286A" w14:textId="3DD9858A" w:rsidR="00200EBA" w:rsidRDefault="00200EBA" w:rsidP="00B44507">
      <w:pPr>
        <w:ind w:firstLine="709"/>
      </w:pPr>
      <w:bookmarkStart w:id="159" w:name="_Hlk118192926"/>
      <w:r>
        <w:t xml:space="preserve">При оценке постнатальной токсичности </w:t>
      </w:r>
      <w:bookmarkEnd w:id="159"/>
      <w:r>
        <w:t xml:space="preserve">ленватиниб вводили перорально однократно ежедневно через желудочный зонд крысам </w:t>
      </w:r>
      <w:r w:rsidRPr="00236EE5">
        <w:rPr>
          <w:iCs/>
        </w:rPr>
        <w:t>Sprague Dawley</w:t>
      </w:r>
      <w:r>
        <w:t xml:space="preserve"> в течение 8 недель, начиная с 21 дня постнатального развития (возраст крыс примерно равен детскому возрасту 2 года у детей) в дозах 0,4, 2 или 10 мг/кг. </w:t>
      </w:r>
      <w:bookmarkStart w:id="160" w:name="_Hlk118192967"/>
      <w:r w:rsidR="00236EE5">
        <w:t xml:space="preserve">Органы-мишени токсичности </w:t>
      </w:r>
      <w:r>
        <w:t>ленватиниб</w:t>
      </w:r>
      <w:r w:rsidR="00236EE5">
        <w:t>а</w:t>
      </w:r>
      <w:r>
        <w:t>, в целом аналогичн</w:t>
      </w:r>
      <w:r w:rsidR="00236EE5">
        <w:t>ы</w:t>
      </w:r>
      <w:r>
        <w:t xml:space="preserve"> </w:t>
      </w:r>
      <w:r w:rsidR="00236EE5">
        <w:t>таковым</w:t>
      </w:r>
      <w:r>
        <w:t xml:space="preserve"> у взрослых крыс и включали резцы, бедренную кость, большеберцовую кость, грудину, бедренный и грудинный костный мозг, почки, надпочечники, печень, общий желчный проток, сердце, вилочковую железу, селезенку, поджелудочную железу. Дополнительные органы-мишени ленватиниба у молодых крыс включали большеберцовую кость и легкие. При дозе 10 мг/кг отмечались тромбоз, инфаркт миокарда, гипертрофия сердца и альвеолярные кровоизлияния в легких, что, возможно, связано ингибированием VEGF.</w:t>
      </w:r>
    </w:p>
    <w:bookmarkEnd w:id="160"/>
    <w:p w14:paraId="16A2203C" w14:textId="023393EB" w:rsidR="00200EBA" w:rsidRDefault="00200EBA" w:rsidP="00B44507">
      <w:pPr>
        <w:ind w:firstLine="709"/>
      </w:pPr>
      <w:r>
        <w:t xml:space="preserve">Наиболее выраженные проявления токсичности отмечались у новорожденных крыс при дозе ленватиниба 10 мг/кг, что от 6 до 24 раз превышает клиническую экспозицию по AUC в рекомендуемой дозе для человека. Летальность была связана с первичным </w:t>
      </w:r>
      <w:r>
        <w:lastRenderedPageBreak/>
        <w:t xml:space="preserve">поражением двенадцатиперстной кишки и сопутствующими осложнениями </w:t>
      </w:r>
      <w:r w:rsidR="00971D1E">
        <w:t xml:space="preserve">со стороны </w:t>
      </w:r>
      <w:r>
        <w:t xml:space="preserve">ЖКТ. В дозе 10 мг/кг </w:t>
      </w:r>
      <w:r w:rsidR="00236EE5">
        <w:t xml:space="preserve">у </w:t>
      </w:r>
      <w:r>
        <w:t xml:space="preserve">взрослых крыс летальность отмечалась с 84 по 147 дня приема ленватиниба, летальность у молодых крыс наступала намного раньше, с 26-го по 51 день жизни. Таким образом, молодые крысы оказались более чувствительными к токсичности, вызванной ленватинибом. У недоношенных крыс, получавших ленватиниб в дозе 10 мг/кг отмечались диарея, снижение массы тела и потребления пищи, потеря двигательной активности, снижение частоты </w:t>
      </w:r>
      <w:r w:rsidR="00971D1E">
        <w:t xml:space="preserve">дыхательных движений </w:t>
      </w:r>
      <w:r>
        <w:t xml:space="preserve">и/или носовые кровотечения. При оценке лабораторных показателей отмечалось повышение гемоглобина, гематокрита, нейтрофилов, АСТ, АЛТ, </w:t>
      </w:r>
      <w:r w:rsidR="00FC5EE5">
        <w:t>щелочной фосфатазы (</w:t>
      </w:r>
      <w:r>
        <w:t>ЩФ</w:t>
      </w:r>
      <w:r w:rsidR="00FC5EE5">
        <w:t>)</w:t>
      </w:r>
      <w:r>
        <w:t xml:space="preserve">, холестерина, а также снижение тромбоцитов и ретикулоцитов. </w:t>
      </w:r>
      <w:r w:rsidR="00FC5EE5">
        <w:t>Н</w:t>
      </w:r>
      <w:r w:rsidR="00FC5EE5" w:rsidRPr="00FC5EE5">
        <w:t xml:space="preserve">аименьшая доза, оказывающая явное нежелательное действие </w:t>
      </w:r>
      <w:r w:rsidR="00FC5EE5">
        <w:t>(</w:t>
      </w:r>
      <w:r>
        <w:t>LOAEL</w:t>
      </w:r>
      <w:r w:rsidR="001A4049">
        <w:t>)</w:t>
      </w:r>
      <w:r>
        <w:t xml:space="preserve"> в этом исследовании составила 0,4 мг/кг (2,4 мг/м</w:t>
      </w:r>
      <w:r w:rsidRPr="00E21810">
        <w:rPr>
          <w:vertAlign w:val="superscript"/>
        </w:rPr>
        <w:t>2</w:t>
      </w:r>
      <w:r w:rsidRPr="009F00D9">
        <w:t>)</w:t>
      </w:r>
      <w:r>
        <w:t xml:space="preserve">. </w:t>
      </w:r>
    </w:p>
    <w:p w14:paraId="64BB5A56" w14:textId="5E1A4BFF" w:rsidR="00200EBA" w:rsidRPr="00381166" w:rsidRDefault="00200EBA" w:rsidP="00B44507">
      <w:pPr>
        <w:ind w:firstLine="709"/>
      </w:pPr>
      <w:r>
        <w:t xml:space="preserve">В тесте </w:t>
      </w:r>
      <w:r w:rsidR="00971D1E">
        <w:t xml:space="preserve">«открытое поле» </w:t>
      </w:r>
      <w:r>
        <w:t>прием ленватиниба в дозе 10 мг/кг приводил к статистически значимой задержке латентного периода и снижени</w:t>
      </w:r>
      <w:r w:rsidR="00236EE5">
        <w:t>ю</w:t>
      </w:r>
      <w:r>
        <w:t xml:space="preserve"> способности к передвижению по сравнению с контрольной группой у молодых крыс. Потенциальны</w:t>
      </w:r>
      <w:r w:rsidR="00236EE5">
        <w:t>м</w:t>
      </w:r>
      <w:r>
        <w:t xml:space="preserve"> доказательством задержки обучения является более длительное время навигации по водному лабиринту у молодых самцов, получавших ленватиниб в дозе 2 мг/кг. В целом, эти данные свидетельствуют о том, что применение ленватиниба у детей может привести к задержке роста и задержке развития костей </w:t>
      </w:r>
      <w:r>
        <w:fldChar w:fldCharType="begin"/>
      </w:r>
      <w:r>
        <w:instrText xml:space="preserve"> ADDIN ZOTERO_ITEM CSL_CITATION {"citationID":"2VyExYXN","properties":{"formattedCitation":"[6\\uc0\\u8211{}8]","plainCitation":"[6–8]","noteIndex":0},"citationItems":[{"id":2745,"uris":["http://zotero.org/users/5483459/items/95XEZDWJ"],"itemData":{"id":2745,"type":"document","title":"European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586A179B" w14:textId="77777777" w:rsidR="00200EBA" w:rsidRDefault="00200EBA" w:rsidP="00200EBA">
      <w:pPr>
        <w:pStyle w:val="4"/>
        <w:spacing w:after="240"/>
        <w:rPr>
          <w:rFonts w:ascii="Times New Roman" w:hAnsi="Times New Roman"/>
          <w:color w:val="000000" w:themeColor="text1"/>
          <w:sz w:val="24"/>
          <w:szCs w:val="24"/>
        </w:rPr>
      </w:pPr>
      <w:bookmarkStart w:id="161" w:name="_Toc126059733"/>
      <w:r w:rsidRPr="002211BA">
        <w:rPr>
          <w:rFonts w:ascii="Times New Roman" w:hAnsi="Times New Roman"/>
          <w:color w:val="000000" w:themeColor="text1"/>
          <w:sz w:val="24"/>
          <w:szCs w:val="24"/>
        </w:rPr>
        <w:t>3.</w:t>
      </w:r>
      <w:r>
        <w:rPr>
          <w:rFonts w:ascii="Times New Roman" w:hAnsi="Times New Roman"/>
          <w:color w:val="000000" w:themeColor="text1"/>
          <w:sz w:val="24"/>
          <w:szCs w:val="24"/>
        </w:rPr>
        <w:t>3.5.4</w:t>
      </w:r>
      <w:r w:rsidRPr="002211BA">
        <w:rPr>
          <w:rFonts w:ascii="Times New Roman" w:hAnsi="Times New Roman"/>
          <w:color w:val="000000" w:themeColor="text1"/>
          <w:sz w:val="24"/>
          <w:szCs w:val="24"/>
        </w:rPr>
        <w:t>. Ювенильная токсичность</w:t>
      </w:r>
      <w:bookmarkEnd w:id="161"/>
    </w:p>
    <w:p w14:paraId="79186A80" w14:textId="195333A1" w:rsidR="00200EBA" w:rsidRDefault="00200EBA" w:rsidP="00236EE5">
      <w:pPr>
        <w:ind w:firstLine="709"/>
      </w:pPr>
      <w:r>
        <w:t xml:space="preserve">При дозе ленватиниба 10 мг/кг отмечалась задержка полового развития  у молодых крыс (отделение крайней плоти и открытие влагалища), половая незрелость яичек, придатков яичек, семенных пузырьков и яичников </w:t>
      </w:r>
      <w:r>
        <w:fldChar w:fldCharType="begin"/>
      </w:r>
      <w:r>
        <w:instrText xml:space="preserve"> ADDIN ZOTERO_ITEM CSL_CITATION {"citationID":"Nw922zET","properties":{"formattedCitation":"[6\\uc0\\u8211{}8]","plainCitation":"[6–8]","noteIndex":0},"citationItems":[{"id":2745,"uris":["http://zotero.org/users/5483459/items/95XEZDWJ"],"itemData":{"id":2745,"type":"document","title":"European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38BAB580" w14:textId="77777777" w:rsidR="00200EBA" w:rsidRDefault="00200EBA" w:rsidP="00200EBA">
      <w:pPr>
        <w:pStyle w:val="3"/>
        <w:spacing w:after="240"/>
        <w:rPr>
          <w:rFonts w:ascii="Times New Roman" w:hAnsi="Times New Roman"/>
          <w:color w:val="000000" w:themeColor="text1"/>
          <w:szCs w:val="24"/>
        </w:rPr>
      </w:pPr>
      <w:bookmarkStart w:id="162" w:name="_Toc126059734"/>
      <w:r>
        <w:rPr>
          <w:rFonts w:ascii="Times New Roman" w:hAnsi="Times New Roman"/>
          <w:color w:val="000000" w:themeColor="text1"/>
          <w:szCs w:val="24"/>
        </w:rPr>
        <w:t>3.3.6</w:t>
      </w:r>
      <w:r w:rsidRPr="005E6358">
        <w:rPr>
          <w:rFonts w:ascii="Times New Roman" w:hAnsi="Times New Roman"/>
          <w:color w:val="000000" w:themeColor="text1"/>
          <w:szCs w:val="24"/>
        </w:rPr>
        <w:t xml:space="preserve">. </w:t>
      </w:r>
      <w:r w:rsidRPr="00781AE0">
        <w:rPr>
          <w:rFonts w:ascii="Times New Roman" w:hAnsi="Times New Roman"/>
          <w:color w:val="000000" w:themeColor="text1"/>
          <w:szCs w:val="24"/>
        </w:rPr>
        <w:t>Местная переносимость</w:t>
      </w:r>
      <w:bookmarkEnd w:id="162"/>
    </w:p>
    <w:p w14:paraId="6DD1B2DC" w14:textId="77777777" w:rsidR="00200EBA" w:rsidRDefault="00200EBA" w:rsidP="00236EE5">
      <w:pPr>
        <w:ind w:firstLine="709"/>
      </w:pPr>
      <w:r>
        <w:t xml:space="preserve">Не проводили исследований влияния ленватиниба на местную переносимость </w:t>
      </w:r>
      <w:r>
        <w:fldChar w:fldCharType="begin"/>
      </w:r>
      <w:r>
        <w:instrText xml:space="preserve"> ADDIN ZOTERO_ITEM CSL_CITATION {"citationID":"PcBTly45","properties":{"formattedCitation":"[6\\uc0\\u8211{}8]","plainCitation":"[6–8]","noteIndex":0},"citationItems":[{"id":2745,"uris":["http://zotero.org/users/5483459/items/95XEZDWJ"],"itemData":{"id":2745,"type":"document","title":"European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20C78714" w14:textId="77777777" w:rsidR="00200EBA" w:rsidRDefault="00200EBA" w:rsidP="00200EBA">
      <w:pPr>
        <w:pStyle w:val="3"/>
        <w:spacing w:after="240"/>
        <w:rPr>
          <w:rFonts w:ascii="Times New Roman" w:hAnsi="Times New Roman"/>
          <w:color w:val="000000" w:themeColor="text1"/>
          <w:szCs w:val="24"/>
        </w:rPr>
      </w:pPr>
      <w:bookmarkStart w:id="163" w:name="_Toc126059735"/>
      <w:r>
        <w:rPr>
          <w:rFonts w:ascii="Times New Roman" w:hAnsi="Times New Roman"/>
          <w:color w:val="000000" w:themeColor="text1"/>
          <w:szCs w:val="24"/>
        </w:rPr>
        <w:t>3.3.7</w:t>
      </w:r>
      <w:r w:rsidRPr="005E6358">
        <w:rPr>
          <w:rFonts w:ascii="Times New Roman" w:hAnsi="Times New Roman"/>
          <w:color w:val="000000" w:themeColor="text1"/>
          <w:szCs w:val="24"/>
        </w:rPr>
        <w:t xml:space="preserve">. </w:t>
      </w:r>
      <w:r>
        <w:rPr>
          <w:rFonts w:ascii="Times New Roman" w:hAnsi="Times New Roman"/>
          <w:color w:val="000000" w:themeColor="text1"/>
          <w:szCs w:val="24"/>
        </w:rPr>
        <w:t>Токсикокинетика</w:t>
      </w:r>
      <w:bookmarkEnd w:id="163"/>
    </w:p>
    <w:p w14:paraId="2195C623" w14:textId="77777777" w:rsidR="00200EBA" w:rsidRPr="0028661A" w:rsidRDefault="00200EBA" w:rsidP="00087A74">
      <w:pPr>
        <w:rPr>
          <w:b/>
          <w:bCs/>
        </w:rPr>
      </w:pPr>
      <w:r w:rsidRPr="0028661A">
        <w:rPr>
          <w:b/>
          <w:bCs/>
        </w:rPr>
        <w:t>Крысы</w:t>
      </w:r>
    </w:p>
    <w:p w14:paraId="32D64D5C" w14:textId="77777777" w:rsidR="00971D1E" w:rsidRDefault="00971D1E" w:rsidP="00087A74">
      <w:pPr>
        <w:ind w:firstLine="709"/>
      </w:pPr>
      <w:bookmarkStart w:id="164" w:name="_Hlk118194415"/>
    </w:p>
    <w:p w14:paraId="09DEE537" w14:textId="532C7FD2" w:rsidR="00200EBA" w:rsidRDefault="00200EBA" w:rsidP="00423D8F">
      <w:pPr>
        <w:ind w:firstLine="709"/>
      </w:pPr>
      <w:r>
        <w:t>Среднее время достижения максимальной концентрации лекарственного средства (</w:t>
      </w:r>
      <w:r>
        <w:rPr>
          <w:lang w:val="en-US"/>
        </w:rPr>
        <w:t>T</w:t>
      </w:r>
      <w:r w:rsidRPr="00ED7B54">
        <w:rPr>
          <w:vertAlign w:val="subscript"/>
        </w:rPr>
        <w:t>max</w:t>
      </w:r>
      <w:r>
        <w:t xml:space="preserve">) </w:t>
      </w:r>
      <w:bookmarkEnd w:id="164"/>
      <w:r>
        <w:t>составляло от 0,25 до 1,5</w:t>
      </w:r>
      <w:r w:rsidRPr="00ED7B54">
        <w:t xml:space="preserve"> </w:t>
      </w:r>
      <w:r>
        <w:t>часов после введения. При оценке фармакокинетических параметров</w:t>
      </w:r>
      <w:r w:rsidRPr="00F00DEE">
        <w:t xml:space="preserve"> </w:t>
      </w:r>
      <w:r>
        <w:t>не наблюдалось явных гендерных различий. C</w:t>
      </w:r>
      <w:r w:rsidRPr="00F00DEE">
        <w:rPr>
          <w:vertAlign w:val="subscript"/>
        </w:rPr>
        <w:t>max</w:t>
      </w:r>
      <w:r>
        <w:t xml:space="preserve"> и AUC </w:t>
      </w:r>
      <w:r w:rsidRPr="00F00DEE">
        <w:rPr>
          <w:vertAlign w:val="subscript"/>
        </w:rPr>
        <w:t>(0–24</w:t>
      </w:r>
      <w:r>
        <w:t xml:space="preserve">) ленватиниба увеличивались приблизительно пропорционально дозе </w:t>
      </w:r>
      <w:r w:rsidR="00971D1E">
        <w:t xml:space="preserve">в диапазоне </w:t>
      </w:r>
      <w:r>
        <w:t>от 0,4 до 10 мг/кг в 1-й и 181-й дни у самцов и самок</w:t>
      </w:r>
      <w:r w:rsidR="00971D1E">
        <w:t>,</w:t>
      </w:r>
      <w:r>
        <w:t xml:space="preserve"> соответственно. Повторный прием ленватиниба существенно не влиял на фармакокинетические параметры ленватиниба, за исключением доз 30 мг/кг и выше, среднее системное воздействие снижалось после 4-недельного введения </w:t>
      </w:r>
      <w:r>
        <w:fldChar w:fldCharType="begin"/>
      </w:r>
      <w:r>
        <w:instrText xml:space="preserve"> ADDIN ZOTERO_ITEM CSL_CITATION {"citationID":"lqMVzPTG","properties":{"formattedCitation":"[13]","plainCitation":"[13]","noteIndex":0},"citationItems":[{"id":2784,"uris":["http://zotero.org/users/5483459/items/Z3WVRZQB"],"itemData":{"id":2784,"type":"document","title":"European  Medicines Agency. Assessment report Lenvima International non-proprietary name: lenvatinib Procedure No. EMEA/H/C/003727/0000.26 March 2015."}}],"schema":"https://github.com/citation-style-language/schema/raw/master/csl-citation.json"} </w:instrText>
      </w:r>
      <w:r>
        <w:fldChar w:fldCharType="separate"/>
      </w:r>
      <w:r w:rsidRPr="0001535E">
        <w:t>[13]</w:t>
      </w:r>
      <w:r>
        <w:fldChar w:fldCharType="end"/>
      </w:r>
      <w:r>
        <w:t>.</w:t>
      </w:r>
    </w:p>
    <w:p w14:paraId="2B347D39" w14:textId="77777777" w:rsidR="00971D1E" w:rsidRDefault="00971D1E" w:rsidP="00DA7A7E">
      <w:pPr>
        <w:ind w:firstLine="709"/>
      </w:pPr>
    </w:p>
    <w:p w14:paraId="470C20CF" w14:textId="77777777" w:rsidR="00200EBA" w:rsidRPr="006240D6" w:rsidRDefault="00200EBA" w:rsidP="00762053">
      <w:pPr>
        <w:rPr>
          <w:b/>
          <w:bCs/>
        </w:rPr>
      </w:pPr>
      <w:r w:rsidRPr="006240D6">
        <w:rPr>
          <w:b/>
          <w:bCs/>
        </w:rPr>
        <w:t>Собаки</w:t>
      </w:r>
    </w:p>
    <w:p w14:paraId="6DA6A2B0" w14:textId="77777777" w:rsidR="00971D1E" w:rsidRDefault="00971D1E" w:rsidP="00087A74">
      <w:pPr>
        <w:ind w:firstLine="709"/>
      </w:pPr>
    </w:p>
    <w:p w14:paraId="0D30BA5A" w14:textId="5E598577" w:rsidR="0099743A" w:rsidRDefault="00971D1E" w:rsidP="00087A74">
      <w:pPr>
        <w:ind w:firstLine="709"/>
      </w:pPr>
      <w:r>
        <w:t xml:space="preserve">Среднее значение </w:t>
      </w:r>
      <w:r w:rsidR="00200EBA">
        <w:rPr>
          <w:lang w:val="en-US"/>
        </w:rPr>
        <w:t>T</w:t>
      </w:r>
      <w:r w:rsidR="00200EBA" w:rsidRPr="00ED7B54">
        <w:rPr>
          <w:vertAlign w:val="subscript"/>
        </w:rPr>
        <w:t xml:space="preserve">max </w:t>
      </w:r>
      <w:r>
        <w:t xml:space="preserve">составило </w:t>
      </w:r>
      <w:r w:rsidR="00200EBA">
        <w:t>2 часа после приема. Средняя C</w:t>
      </w:r>
      <w:r w:rsidR="00200EBA" w:rsidRPr="006240D6">
        <w:rPr>
          <w:vertAlign w:val="subscript"/>
        </w:rPr>
        <w:t>max</w:t>
      </w:r>
      <w:r w:rsidR="00236EE5">
        <w:t xml:space="preserve"> и AUC</w:t>
      </w:r>
      <w:r w:rsidR="00200EBA" w:rsidRPr="006240D6">
        <w:rPr>
          <w:vertAlign w:val="subscript"/>
        </w:rPr>
        <w:t>(0–24)</w:t>
      </w:r>
      <w:r w:rsidR="00200EBA">
        <w:t xml:space="preserve"> ленватиниба увеличивались пропорционально дозе </w:t>
      </w:r>
      <w:r>
        <w:t xml:space="preserve">в диапазоне </w:t>
      </w:r>
      <w:r w:rsidR="00200EBA">
        <w:t>от 0,1 до 0,5 мг/кг. При оценке фармакокинетических параметров</w:t>
      </w:r>
      <w:r w:rsidR="00200EBA" w:rsidRPr="00F00DEE">
        <w:t xml:space="preserve"> </w:t>
      </w:r>
      <w:r w:rsidR="00200EBA">
        <w:t xml:space="preserve"> не наблюдалось явных гендерных различий </w:t>
      </w:r>
      <w:r w:rsidR="00200EBA">
        <w:fldChar w:fldCharType="begin"/>
      </w:r>
      <w:r w:rsidR="00200EBA">
        <w:instrText xml:space="preserve"> ADDIN ZOTERO_ITEM CSL_CITATION {"citationID":"AKEeTYk2","properties":{"formattedCitation":"[13]","plainCitation":"[13]","noteIndex":0},"citationItems":[{"id":2784,"uris":["http://zotero.org/users/5483459/items/Z3WVRZQB"],"itemData":{"id":2784,"type":"document","title":"European  Medicines Agency. Assessment report Lenvima International non-proprietary name: lenvatinib Procedure No. EMEA/H/C/003727/0000.26 March 2015."}}],"schema":"https://github.com/citation-style-language/schema/raw/master/csl-citation.json"} </w:instrText>
      </w:r>
      <w:r w:rsidR="00200EBA">
        <w:fldChar w:fldCharType="separate"/>
      </w:r>
      <w:r w:rsidR="00200EBA" w:rsidRPr="0001535E">
        <w:t>[13]</w:t>
      </w:r>
      <w:r w:rsidR="00200EBA">
        <w:fldChar w:fldCharType="end"/>
      </w:r>
      <w:r w:rsidR="00200EBA">
        <w:t>.</w:t>
      </w:r>
    </w:p>
    <w:p w14:paraId="487BF4D8" w14:textId="77777777" w:rsidR="00971D1E" w:rsidRDefault="00971D1E" w:rsidP="00423D8F">
      <w:pPr>
        <w:ind w:firstLine="709"/>
      </w:pPr>
    </w:p>
    <w:p w14:paraId="25A9ED02" w14:textId="77777777" w:rsidR="00E36A78" w:rsidRDefault="00E36A78" w:rsidP="00762053">
      <w:pPr>
        <w:rPr>
          <w:b/>
          <w:bCs/>
        </w:rPr>
        <w:sectPr w:rsidR="00E36A78" w:rsidSect="00AB01E2">
          <w:pgSz w:w="11906" w:h="16838"/>
          <w:pgMar w:top="1134" w:right="849" w:bottom="1134" w:left="1701" w:header="708" w:footer="709" w:gutter="0"/>
          <w:cols w:space="708"/>
          <w:docGrid w:linePitch="360"/>
        </w:sectPr>
      </w:pPr>
    </w:p>
    <w:p w14:paraId="1809E225" w14:textId="4001F1E6" w:rsidR="00200EBA" w:rsidRPr="00A7326B" w:rsidRDefault="00200EBA" w:rsidP="00762053">
      <w:pPr>
        <w:rPr>
          <w:b/>
          <w:bCs/>
        </w:rPr>
      </w:pPr>
      <w:r w:rsidRPr="00A7326B">
        <w:rPr>
          <w:b/>
          <w:bCs/>
        </w:rPr>
        <w:lastRenderedPageBreak/>
        <w:t>Обезьяны</w:t>
      </w:r>
    </w:p>
    <w:p w14:paraId="64E3CF0D" w14:textId="77777777" w:rsidR="00971D1E" w:rsidRDefault="00971D1E" w:rsidP="00087A74">
      <w:pPr>
        <w:ind w:firstLine="709"/>
      </w:pPr>
    </w:p>
    <w:p w14:paraId="4E356B6D" w14:textId="5D66BC31" w:rsidR="00200EBA" w:rsidRDefault="00971D1E" w:rsidP="00087A74">
      <w:pPr>
        <w:ind w:firstLine="709"/>
      </w:pPr>
      <w:r>
        <w:t xml:space="preserve">Среднее значение </w:t>
      </w:r>
      <w:r w:rsidR="00200EBA">
        <w:rPr>
          <w:lang w:val="en-US"/>
        </w:rPr>
        <w:t>T</w:t>
      </w:r>
      <w:r w:rsidR="00200EBA" w:rsidRPr="00ED7B54">
        <w:rPr>
          <w:vertAlign w:val="subscript"/>
        </w:rPr>
        <w:t>max</w:t>
      </w:r>
      <w:r w:rsidR="00200EBA">
        <w:t xml:space="preserve"> </w:t>
      </w:r>
      <w:r>
        <w:t xml:space="preserve">составило </w:t>
      </w:r>
      <w:r w:rsidR="00200EBA">
        <w:t>от 1 до 4 часов после введения</w:t>
      </w:r>
      <w:r w:rsidR="00824F76">
        <w:t>.</w:t>
      </w:r>
      <w:r w:rsidR="00200EBA" w:rsidRPr="00A7326B">
        <w:t xml:space="preserve"> </w:t>
      </w:r>
      <w:r w:rsidR="00200EBA">
        <w:t>При оценке фармакокинетических параметров не наблюдалось явных гендерных различий. Средняя C</w:t>
      </w:r>
      <w:r w:rsidR="00200EBA" w:rsidRPr="006240D6">
        <w:rPr>
          <w:vertAlign w:val="subscript"/>
        </w:rPr>
        <w:t>max</w:t>
      </w:r>
      <w:r w:rsidR="00200EBA">
        <w:t xml:space="preserve"> и AUC </w:t>
      </w:r>
      <w:r w:rsidR="00200EBA" w:rsidRPr="006240D6">
        <w:rPr>
          <w:vertAlign w:val="subscript"/>
        </w:rPr>
        <w:t>(0–24)</w:t>
      </w:r>
      <w:r w:rsidR="00200EBA">
        <w:t xml:space="preserve"> ленватиниба увеличивались диспропорционально дозе в диапозоне доз от 0,1 до 3,0 мг/кг у самцов и самок </w:t>
      </w:r>
      <w:r w:rsidR="00236EE5">
        <w:t>на</w:t>
      </w:r>
      <w:r w:rsidR="00200EBA">
        <w:t xml:space="preserve"> 1-е сутки </w:t>
      </w:r>
      <w:r w:rsidR="00200EBA">
        <w:fldChar w:fldCharType="begin"/>
      </w:r>
      <w:r w:rsidR="00200EBA">
        <w:instrText xml:space="preserve"> ADDIN ZOTERO_ITEM CSL_CITATION {"citationID":"CvS8lVOQ","properties":{"formattedCitation":"[13]","plainCitation":"[13]","noteIndex":0},"citationItems":[{"id":2784,"uris":["http://zotero.org/users/5483459/items/Z3WVRZQB"],"itemData":{"id":2784,"type":"document","title":"European  Medicines Agency. Assessment report Lenvima International non-proprietary name: lenvatinib Procedure No. EMEA/H/C/003727/0000.26 March 2015."}}],"schema":"https://github.com/citation-style-language/schema/raw/master/csl-citation.json"} </w:instrText>
      </w:r>
      <w:r w:rsidR="00200EBA">
        <w:fldChar w:fldCharType="separate"/>
      </w:r>
      <w:r w:rsidR="00200EBA" w:rsidRPr="0001535E">
        <w:t>[13]</w:t>
      </w:r>
      <w:r w:rsidR="00200EBA">
        <w:fldChar w:fldCharType="end"/>
      </w:r>
      <w:r w:rsidR="00200EBA">
        <w:t>.</w:t>
      </w:r>
    </w:p>
    <w:p w14:paraId="72670119" w14:textId="181F98DA" w:rsidR="00200EBA" w:rsidRDefault="00200EBA" w:rsidP="00423D8F">
      <w:pPr>
        <w:ind w:firstLine="709"/>
      </w:pPr>
      <w:bookmarkStart w:id="165" w:name="_Hlk118194491"/>
      <w:r>
        <w:t>Токсикокинетические исследования повторных доз ленватиниба у самцов и самок крыс, собак и обезьян, получавши</w:t>
      </w:r>
      <w:r w:rsidR="005E0101">
        <w:t>х</w:t>
      </w:r>
      <w:r>
        <w:t xml:space="preserve"> пероральные дозы один раз в день в течение 26, 4 и 39 недель</w:t>
      </w:r>
      <w:r w:rsidR="00236EE5">
        <w:t>,</w:t>
      </w:r>
      <w:r>
        <w:t xml:space="preserve"> соответственно, не выявили системного накопления ленватиниба в токсикологических исследованиях. Системное воздействие на самцов и самок </w:t>
      </w:r>
      <w:r w:rsidR="00971D1E">
        <w:t xml:space="preserve">было </w:t>
      </w:r>
      <w:r>
        <w:t>в целом сопоставим</w:t>
      </w:r>
      <w:r w:rsidR="00236EE5">
        <w:t>о</w:t>
      </w:r>
      <w:r>
        <w:t xml:space="preserve"> у всех изученных видов животных. У собак при дозах &lt;30 мг/кг системная экспозиция обычно увеличивалась пропорционально дозе. Системное воздействие увеличилось менее чем пропорционально дозе при более высоких уровнях доз у крыс (&gt;10 мг/кг). У обезьян системное воздействие увеличивалось более чем пропорционально дозе при низких уровнях дозы (</w:t>
      </w:r>
      <w:r w:rsidR="00236EE5">
        <w:t>0,1–3 мг/кг). В отличие от крыс или обезьян</w:t>
      </w:r>
      <w:r>
        <w:t xml:space="preserve">, системное воздействие на человека увеличивалось пропорционально дозе </w:t>
      </w:r>
      <w:r>
        <w:fldChar w:fldCharType="begin"/>
      </w:r>
      <w:r>
        <w:instrText xml:space="preserve"> ADDIN ZOTERO_ITEM CSL_CITATION {"citationID":"PcBTly45","properties":{"formattedCitation":"[6\\uc0\\u8211{}8]","plainCitation":"[6–8]","noteIndex":0},"citationItems":[{"id":2745,"uris":["http://zotero.org/users/5483459/items/95XEZDWJ"],"itemData":{"id":2745,"type":"document","title":"European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74A20760" w14:textId="77777777" w:rsidR="00200EBA" w:rsidRPr="005E6358" w:rsidRDefault="00200EBA" w:rsidP="00200EBA">
      <w:pPr>
        <w:pStyle w:val="3"/>
        <w:spacing w:after="240"/>
        <w:rPr>
          <w:rFonts w:ascii="Times New Roman" w:hAnsi="Times New Roman"/>
          <w:color w:val="000000" w:themeColor="text1"/>
          <w:szCs w:val="24"/>
        </w:rPr>
      </w:pPr>
      <w:bookmarkStart w:id="166" w:name="_Toc126059736"/>
      <w:bookmarkEnd w:id="165"/>
      <w:r w:rsidRPr="00C0012D">
        <w:rPr>
          <w:rFonts w:ascii="Times New Roman" w:hAnsi="Times New Roman"/>
          <w:color w:val="000000" w:themeColor="text1"/>
          <w:szCs w:val="24"/>
        </w:rPr>
        <w:t xml:space="preserve">3.3.8. </w:t>
      </w:r>
      <w:r w:rsidRPr="00781AE0">
        <w:rPr>
          <w:rFonts w:ascii="Times New Roman" w:hAnsi="Times New Roman"/>
          <w:color w:val="000000" w:themeColor="text1"/>
          <w:szCs w:val="24"/>
        </w:rPr>
        <w:t>Прочие исследования</w:t>
      </w:r>
      <w:bookmarkEnd w:id="166"/>
    </w:p>
    <w:p w14:paraId="0701F247" w14:textId="77777777" w:rsidR="00200EBA" w:rsidRDefault="00200EBA" w:rsidP="00200EBA">
      <w:pPr>
        <w:pStyle w:val="4"/>
        <w:spacing w:after="240"/>
        <w:rPr>
          <w:rFonts w:ascii="Times New Roman" w:hAnsi="Times New Roman"/>
          <w:color w:val="000000" w:themeColor="text1"/>
          <w:sz w:val="24"/>
          <w:szCs w:val="24"/>
        </w:rPr>
      </w:pPr>
      <w:bookmarkStart w:id="167" w:name="_Toc126059737"/>
      <w:r>
        <w:rPr>
          <w:rFonts w:ascii="Times New Roman" w:hAnsi="Times New Roman"/>
          <w:color w:val="000000" w:themeColor="text1"/>
          <w:sz w:val="24"/>
          <w:szCs w:val="24"/>
        </w:rPr>
        <w:t>3.3.8</w:t>
      </w:r>
      <w:r w:rsidRPr="002E7351">
        <w:rPr>
          <w:rFonts w:ascii="Times New Roman" w:hAnsi="Times New Roman"/>
          <w:color w:val="000000" w:themeColor="text1"/>
          <w:sz w:val="24"/>
          <w:szCs w:val="24"/>
        </w:rPr>
        <w:t>.</w:t>
      </w:r>
      <w:r>
        <w:rPr>
          <w:rFonts w:ascii="Times New Roman" w:hAnsi="Times New Roman"/>
          <w:color w:val="000000" w:themeColor="text1"/>
          <w:sz w:val="24"/>
          <w:szCs w:val="24"/>
        </w:rPr>
        <w:t xml:space="preserve">1. </w:t>
      </w:r>
      <w:r w:rsidRPr="002E7351">
        <w:rPr>
          <w:rFonts w:ascii="Times New Roman" w:hAnsi="Times New Roman"/>
          <w:color w:val="000000" w:themeColor="text1"/>
          <w:sz w:val="24"/>
          <w:szCs w:val="24"/>
        </w:rPr>
        <w:t>Фототоксичность</w:t>
      </w:r>
      <w:bookmarkEnd w:id="167"/>
    </w:p>
    <w:p w14:paraId="70B83FC4" w14:textId="2EC2E657" w:rsidR="00200EBA" w:rsidRPr="0021007F" w:rsidRDefault="00200EBA" w:rsidP="00200EBA">
      <w:pPr>
        <w:ind w:firstLine="709"/>
      </w:pPr>
      <w:bookmarkStart w:id="168" w:name="_Hlk118194556"/>
      <w:r w:rsidRPr="0021007F">
        <w:t xml:space="preserve">Было рассчитано, что </w:t>
      </w:r>
      <w:r w:rsidR="002023E6">
        <w:t>средний фотоэффект (</w:t>
      </w:r>
      <w:r w:rsidR="002023E6">
        <w:rPr>
          <w:lang w:val="en-US"/>
        </w:rPr>
        <w:t>mean</w:t>
      </w:r>
      <w:r w:rsidR="002023E6" w:rsidRPr="00D050C7">
        <w:t xml:space="preserve"> </w:t>
      </w:r>
      <w:r w:rsidR="002023E6">
        <w:rPr>
          <w:lang w:val="en-US"/>
        </w:rPr>
        <w:t>photo</w:t>
      </w:r>
      <w:r w:rsidR="002023E6" w:rsidRPr="00D050C7">
        <w:t xml:space="preserve"> </w:t>
      </w:r>
      <w:r w:rsidR="002023E6">
        <w:rPr>
          <w:lang w:val="en-US"/>
        </w:rPr>
        <w:t>effect</w:t>
      </w:r>
      <w:r w:rsidR="002023E6" w:rsidRPr="00D050C7">
        <w:t xml:space="preserve">, </w:t>
      </w:r>
      <w:r w:rsidRPr="0021007F">
        <w:t>MPE</w:t>
      </w:r>
      <w:r w:rsidR="002023E6" w:rsidRPr="00D050C7">
        <w:t>)</w:t>
      </w:r>
      <w:r w:rsidRPr="0021007F">
        <w:t xml:space="preserve"> для </w:t>
      </w:r>
      <w:r>
        <w:t>ленватиниба</w:t>
      </w:r>
      <w:r w:rsidRPr="0021007F">
        <w:t xml:space="preserve"> составляет -0,024, что указывает на отсутствие фототоксичности (MPE &lt;0,1)</w:t>
      </w:r>
      <w:r>
        <w:t xml:space="preserve"> </w:t>
      </w:r>
      <w:r>
        <w:fldChar w:fldCharType="begin"/>
      </w:r>
      <w:r>
        <w:instrText xml:space="preserve"> ADDIN ZOTERO_ITEM CSL_CITATION {"citationID":"LYYc01oM","properties":{"formattedCitation":"[8]","plainCitation":"[8]","noteIndex":0},"citationItems":[{"id":2746,"uris":["http://zotero.org/users/5483459/items/Z6Y8HY5F"],"itemData":{"id":2746,"type":"document","title":"U.S.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67734853" w14:textId="77777777" w:rsidR="00200EBA" w:rsidRDefault="00200EBA" w:rsidP="00200EBA">
      <w:pPr>
        <w:pStyle w:val="4"/>
        <w:spacing w:after="240"/>
        <w:rPr>
          <w:rFonts w:ascii="Times New Roman" w:hAnsi="Times New Roman"/>
          <w:color w:val="000000" w:themeColor="text1"/>
          <w:sz w:val="24"/>
          <w:szCs w:val="24"/>
        </w:rPr>
      </w:pPr>
      <w:bookmarkStart w:id="169" w:name="_Toc126059738"/>
      <w:bookmarkEnd w:id="168"/>
      <w:r w:rsidRPr="002E7351">
        <w:rPr>
          <w:rFonts w:ascii="Times New Roman" w:hAnsi="Times New Roman"/>
          <w:color w:val="000000" w:themeColor="text1"/>
          <w:sz w:val="24"/>
          <w:szCs w:val="24"/>
        </w:rPr>
        <w:t>3</w:t>
      </w:r>
      <w:r>
        <w:rPr>
          <w:rFonts w:ascii="Times New Roman" w:hAnsi="Times New Roman"/>
          <w:color w:val="000000" w:themeColor="text1"/>
          <w:sz w:val="24"/>
          <w:szCs w:val="24"/>
        </w:rPr>
        <w:t>.3.8.2</w:t>
      </w:r>
      <w:r w:rsidRPr="002E7351">
        <w:rPr>
          <w:rFonts w:ascii="Times New Roman" w:hAnsi="Times New Roman"/>
          <w:color w:val="000000" w:themeColor="text1"/>
          <w:sz w:val="24"/>
          <w:szCs w:val="24"/>
        </w:rPr>
        <w:t>. Иммунотоксичность</w:t>
      </w:r>
      <w:bookmarkEnd w:id="169"/>
    </w:p>
    <w:p w14:paraId="4CAA7763" w14:textId="0548CD87" w:rsidR="00200EBA" w:rsidRDefault="00200EBA" w:rsidP="00236EE5">
      <w:pPr>
        <w:ind w:firstLine="709"/>
      </w:pPr>
      <w:r>
        <w:t>Не проводили исследований иммунотоксичност</w:t>
      </w:r>
      <w:r w:rsidR="00236EE5">
        <w:t>и ленватиниба</w:t>
      </w:r>
      <w:r>
        <w:t xml:space="preserve"> </w:t>
      </w:r>
      <w:r>
        <w:fldChar w:fldCharType="begin"/>
      </w:r>
      <w:r>
        <w:instrText xml:space="preserve"> ADDIN ZOTERO_ITEM CSL_CITATION {"citationID":"BmwZUbUj","properties":{"formattedCitation":"[6\\uc0\\u8211{}8]","plainCitation":"[6–8]","noteIndex":0},"citationItems":[{"id":2745,"uris":["http://zotero.org/users/5483459/items/95XEZDWJ"],"itemData":{"id":2745,"type":"document","title":"European  Medicines Agency. SUMMARY OF PRODUCT CHARACTERISTICS. LENVIMA 4 mg, 10 mg hard capsules.26.11.2021"},"label":"page"},{"id":2659,"uris":["http://zotero.org/users/5483459/items/JD8GLMBS"],"itemData":{"id":2659,"type":"document","title":"Product Monograph LENVIMA® Lenvatinib capsules 4 mg and 10 mg Lenvatinib (as lenvatinib mesylate). Eisai Limited.Date of Initial Authorization: DEC 22, 2015 Date of Revision:MAY 31, 2022"},"label":"page"},{"id":2746,"uris":["http://zotero.org/users/5483459/items/Z6Y8HY5F"],"itemData":{"id":2746,"type":"document","title":"U.S. Food and Drug Administration. Drug Approval Package.LENVIMA (lenvatinib) Capsules Company:  Eisai, Inc. Pharmacology Review(s). Application No.:  206947 Approval Date: 2/13/2015."},"label":"page"}],"schema":"https://github.com/citation-style-language/schema/raw/master/csl-citation.json"} </w:instrText>
      </w:r>
      <w:r>
        <w:fldChar w:fldCharType="separate"/>
      </w:r>
      <w:r w:rsidRPr="00B21EDB">
        <w:t>[6–8]</w:t>
      </w:r>
      <w:r>
        <w:fldChar w:fldCharType="end"/>
      </w:r>
      <w:r>
        <w:t>.</w:t>
      </w:r>
    </w:p>
    <w:p w14:paraId="42B2E5A2" w14:textId="77777777" w:rsidR="00200EBA" w:rsidRDefault="00200EBA" w:rsidP="00200EBA">
      <w:pPr>
        <w:pStyle w:val="4"/>
        <w:spacing w:after="240"/>
        <w:rPr>
          <w:rFonts w:ascii="Times New Roman" w:hAnsi="Times New Roman"/>
          <w:color w:val="000000" w:themeColor="text1"/>
          <w:sz w:val="24"/>
          <w:szCs w:val="24"/>
        </w:rPr>
      </w:pPr>
      <w:bookmarkStart w:id="170" w:name="_Toc126059739"/>
      <w:r w:rsidRPr="002E7351">
        <w:rPr>
          <w:rFonts w:ascii="Times New Roman" w:hAnsi="Times New Roman"/>
          <w:color w:val="000000" w:themeColor="text1"/>
          <w:sz w:val="24"/>
          <w:szCs w:val="24"/>
        </w:rPr>
        <w:t>3</w:t>
      </w:r>
      <w:r>
        <w:rPr>
          <w:rFonts w:ascii="Times New Roman" w:hAnsi="Times New Roman"/>
          <w:color w:val="000000" w:themeColor="text1"/>
          <w:sz w:val="24"/>
          <w:szCs w:val="24"/>
        </w:rPr>
        <w:t>.3.8.3</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Токичность метаболитов</w:t>
      </w:r>
      <w:bookmarkEnd w:id="170"/>
    </w:p>
    <w:p w14:paraId="64205B6E" w14:textId="0CA46608" w:rsidR="00200EBA" w:rsidRDefault="00200EBA" w:rsidP="00200EBA">
      <w:pPr>
        <w:ind w:firstLine="709"/>
      </w:pPr>
      <w:r>
        <w:t>Был оценен</w:t>
      </w:r>
      <w:r w:rsidRPr="008374E0">
        <w:t xml:space="preserve"> метаболизм ленватиниба </w:t>
      </w:r>
      <w:r w:rsidRPr="00D670A4">
        <w:rPr>
          <w:i/>
          <w:iCs/>
        </w:rPr>
        <w:t>in vitro</w:t>
      </w:r>
      <w:r w:rsidRPr="008374E0">
        <w:t xml:space="preserve"> с использованием микросом печени </w:t>
      </w:r>
      <w:r w:rsidR="00971D1E" w:rsidRPr="008374E0">
        <w:t>мыш</w:t>
      </w:r>
      <w:r w:rsidR="00971D1E">
        <w:t>ей</w:t>
      </w:r>
      <w:r w:rsidRPr="008374E0">
        <w:t>, крыс, собак, обезьян и человека</w:t>
      </w:r>
      <w:r>
        <w:t xml:space="preserve">, </w:t>
      </w:r>
      <w:r w:rsidRPr="008374E0">
        <w:t>реакционные смеси анализировали с помощью ЖХ/МС</w:t>
      </w:r>
      <w:r w:rsidR="004A2486">
        <w:t>.</w:t>
      </w:r>
      <w:r w:rsidRPr="008374E0">
        <w:t xml:space="preserve"> В микросомах печени </w:t>
      </w:r>
      <w:r w:rsidR="00971D1E">
        <w:t xml:space="preserve">животных </w:t>
      </w:r>
      <w:r w:rsidRPr="008374E0">
        <w:t>было идентифицировано восемь метаболито</w:t>
      </w:r>
      <w:r>
        <w:t xml:space="preserve">в. </w:t>
      </w:r>
      <w:r w:rsidRPr="00622932">
        <w:t>В микросомах печени человека обнаружено шесть метаболитов: М1, М2, М3, М4, М5 и М8. M8 также был обнаружен в микросомах печени обезьян, а остальные 5 метаболитов были обнаружены в микросомах всех исследованных видов. М2, деметилированная форма ленватиниба, был основным метаболитом, идентифицированным в микросомах печени человека</w:t>
      </w:r>
      <w:r>
        <w:t xml:space="preserve"> </w:t>
      </w:r>
      <w:r>
        <w:fldChar w:fldCharType="begin"/>
      </w:r>
      <w:r>
        <w:instrText xml:space="preserve"> ADDIN ZOTERO_ITEM CSL_CITATION {"citationID":"erIGdZoE","properties":{"formattedCitation":"[8]","plainCitation":"[8]","noteIndex":0},"citationItems":[{"id":2746,"uris":["http://zotero.org/users/5483459/items/Z6Y8HY5F"],"itemData":{"id":2746,"type":"document","title":"U.S.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48607429" w14:textId="7939F20C" w:rsidR="00200EBA" w:rsidRDefault="00200EBA" w:rsidP="00200EBA">
      <w:pPr>
        <w:ind w:firstLine="709"/>
      </w:pPr>
      <w:r w:rsidRPr="00F7155F">
        <w:t xml:space="preserve">Для оценки метаболизма ленватиниба </w:t>
      </w:r>
      <w:r w:rsidRPr="00F7155F">
        <w:rPr>
          <w:i/>
          <w:iCs/>
        </w:rPr>
        <w:t>in vivo</w:t>
      </w:r>
      <w:r w:rsidRPr="00F7155F">
        <w:t xml:space="preserve"> </w:t>
      </w:r>
      <w:r>
        <w:t xml:space="preserve">были </w:t>
      </w:r>
      <w:r w:rsidR="00971D1E">
        <w:t xml:space="preserve">изучены </w:t>
      </w:r>
      <w:r w:rsidRPr="00F7155F">
        <w:t>метаболит</w:t>
      </w:r>
      <w:r>
        <w:t xml:space="preserve">ы </w:t>
      </w:r>
      <w:r w:rsidRPr="00F7155F">
        <w:t xml:space="preserve">в плазме, печени, почках, моче, фекалиях и желчи после однократного перорального введения </w:t>
      </w:r>
      <w:r w:rsidRPr="00BE0396">
        <w:rPr>
          <w:vertAlign w:val="superscript"/>
        </w:rPr>
        <w:t>14</w:t>
      </w:r>
      <w:r>
        <w:t xml:space="preserve">C-ленватиниба </w:t>
      </w:r>
      <w:r w:rsidRPr="00F7155F">
        <w:t>крысам и обезьянам</w:t>
      </w:r>
      <w:r>
        <w:t xml:space="preserve">, </w:t>
      </w:r>
      <w:r w:rsidRPr="00F7155F">
        <w:t xml:space="preserve">метаболиты анализировали с помощью ВЭЖХ с определением радиоактивности и ЖХ/МС. Был идентифицирован сорок один метаболит. Одним из основных путей метаболизма ленватиниба была конъюгация с глутатионом с отщеплением О-арильной группы с образованием </w:t>
      </w:r>
      <w:r>
        <w:rPr>
          <w:lang w:val="en-US"/>
        </w:rPr>
        <w:t>M</w:t>
      </w:r>
      <w:r w:rsidRPr="00D847C2">
        <w:t xml:space="preserve"> </w:t>
      </w:r>
      <w:r w:rsidRPr="00F7155F">
        <w:t>14, что приводило к последующим биотрансформациям. Через четыре часа после однократного перорального введения</w:t>
      </w:r>
      <w:r>
        <w:t xml:space="preserve"> </w:t>
      </w:r>
      <w:r w:rsidRPr="00BE0396">
        <w:rPr>
          <w:vertAlign w:val="superscript"/>
        </w:rPr>
        <w:t>14</w:t>
      </w:r>
      <w:r>
        <w:t>C-ленватиниба</w:t>
      </w:r>
      <w:r w:rsidRPr="00F7155F">
        <w:t xml:space="preserve"> основным компонентом плазмы, печени и почек крыс и обезьян был неизмененный ленватиниб. Ленватиниб лишь незначительно обнаруживался в моче крыс и обезьян, но был основным компонентом фекалий и желчи крыс. </w:t>
      </w:r>
      <w:r>
        <w:t>На</w:t>
      </w:r>
      <w:r w:rsidRPr="00F7155F">
        <w:t xml:space="preserve"> долю метаболита М2 </w:t>
      </w:r>
      <w:r w:rsidRPr="00F7155F">
        <w:lastRenderedPageBreak/>
        <w:t>приходилось ~2,5% воздействия ленватиниба. М2 (m37) также был обнаружен в фекалиях и желчи крыс и обезьян</w:t>
      </w:r>
      <w:r>
        <w:t xml:space="preserve"> </w:t>
      </w:r>
      <w:r>
        <w:fldChar w:fldCharType="begin"/>
      </w:r>
      <w:r>
        <w:instrText xml:space="preserve"> ADDIN ZOTERO_ITEM CSL_CITATION {"citationID":"b0zI1IGy","properties":{"formattedCitation":"[8]","plainCitation":"[8]","noteIndex":0},"citationItems":[{"id":2746,"uris":["http://zotero.org/users/5483459/items/Z6Y8HY5F"],"itemData":{"id":2746,"type":"document","title":"U.S. Food and Drug Administration. Drug Approval Package.LENVIMA (lenvatinib) Capsules Company:  Eisai, Inc. Pharmacology Review(s). Application No.:  206947 Approval Date: 2/13/2015."}}],"schema":"https://github.com/citation-style-language/schema/raw/master/csl-citation.json"} </w:instrText>
      </w:r>
      <w:r>
        <w:fldChar w:fldCharType="separate"/>
      </w:r>
      <w:r w:rsidRPr="00B21EDB">
        <w:t>[8]</w:t>
      </w:r>
      <w:r>
        <w:fldChar w:fldCharType="end"/>
      </w:r>
      <w:r>
        <w:t>.</w:t>
      </w:r>
    </w:p>
    <w:p w14:paraId="375523A2" w14:textId="7A9FA6BF" w:rsidR="00200EBA" w:rsidRDefault="00200EBA" w:rsidP="00200EBA">
      <w:pPr>
        <w:ind w:firstLine="709"/>
      </w:pPr>
      <w:r>
        <w:t xml:space="preserve">У людей неизмененный ленватиниб составляет 97% радиоактивности в плазме и только 2,5% введенной дозы выводится с мочой и калом. Основные пути биотрансформации ленватиниба были гидролиз, окисление и гидроксилирование, N-окисление, деалкилирование и глюкуронирование, а также различные комбинации этих преобразований с модификациями, включая гидролиз, конъюгацию глутатион/цистеин и </w:t>
      </w:r>
      <w:r w:rsidR="00971D1E">
        <w:t>димеризацию</w:t>
      </w:r>
      <w:r>
        <w:t xml:space="preserve">. Некоторые метаболиты, по-видимому, уникальны для исследованных видов (человек, </w:t>
      </w:r>
      <w:r w:rsidR="00971D1E">
        <w:t>крысы</w:t>
      </w:r>
      <w:r>
        <w:t xml:space="preserve">, </w:t>
      </w:r>
      <w:r w:rsidR="00971D1E">
        <w:t>обезьяны</w:t>
      </w:r>
      <w:r>
        <w:t xml:space="preserve">). Низкий уровень метаболитов, обнаруженный в плазме крови человека в сравнении с неизмененным ленватинибом, предполагает ограниченный вклад метаболитов в токсичность ленватиниба </w:t>
      </w:r>
      <w:r>
        <w:fldChar w:fldCharType="begin"/>
      </w:r>
      <w:r>
        <w:instrText xml:space="preserve"> ADDIN ZOTERO_ITEM CSL_CITATION {"citationID":"5CEUWXao","properties":{"formattedCitation":"[16]","plainCitation":"[16]","noteIndex":0},"citationItems":[{"id":2756,"uris":["http://zotero.org/users/5483459/items/IDAW3Y5T"],"itemData":{"id":2756,"type":"article-journal","abstract":"Lenvatinib is an oral, multiple receptor tyrosine kinase inhibitor. Preclinical drug metabolism studies showed unique metabolic pathways for lenvatinib in monkeys and rats. A human mass balance study demonstrated that lenvatinib related material is mainly excreted via feces with a small fraction as unchanged parent drug, but little is reported about its metabolic fate. The objective of the current study was to further elucidate the metabolic pathways of lenvatinib in humans and to compare these results to the metabolism in rats and monkeys. To this end, we used plasma, urine and feces collected in a human mass balance study after a single 24 mg (100 μCi) oral dose of (14)C-lenvatinib. Metabolites of (14)C-lenvatinib were identified using liquid chromatography (high resolution) mass spectrometry with off-line radioactivity detection. Close to 50 lenvatinib-related compounds were detected. In humans, unchanged lenvatinib accounted for 97 % of the radioactivity in plasma, and comprised 0.38 and 2.5 % of the administered dose excreted in urine and feces, respectively. The primary biotransformation pathways of lenvatinib were hydrolysis, oxidation and hydroxylation, N-oxidation, dealkylation and glucuronidation. Various combinations of these conversions with modifications, including hydrolysis, gluthathione/cysteine conjugation, intramolecular rearrangement and dimerization, were observed. Some metabolites seem to be unique to the investigated species (human, rat, monkey). Because all lenvatinib metabolites in human plasma were at very low levels compared to lenvatinib, only lenvatinib is expected to contribute to the pharmacological effects in humans.","container-title":"Investigational New Drugs","DOI":"10.1007/s10637-016-0342-y","ISSN":"1573-0646","issue":"3","journalAbbreviation":"Invest New Drugs","language":"eng","note":"PMID: 27018262","page":"300-318","source":"PubMed","title":"Metabolite profiling of the multiple tyrosine kinase inhibitor lenvatinib: a cross-species comparison","title-short":"Metabolite profiling of the multiple tyrosine kinase inhibitor lenvatinib","volume":"34","author":[{"family":"Dubbelman","given":"Anne-Charlotte"},{"family":"Nijenhuis","given":"Cynthia M."},{"family":"Jansen","given":"Robert S."},{"family":"Rosing","given":"Hilde"},{"family":"Mizuo","given":"Hitoshi"},{"family":"Kawaguchi","given":"Shinki"},{"family":"Critchley","given":"David"},{"family":"Shumaker","given":"Robert"},{"family":"Schellens","given":"Jan H. M."},{"family":"Beijnen","given":"Jos H."}],"issued":{"date-parts":[["2016",6]]}}}],"schema":"https://github.com/citation-style-language/schema/raw/master/csl-citation.json"} </w:instrText>
      </w:r>
      <w:r>
        <w:fldChar w:fldCharType="separate"/>
      </w:r>
      <w:r w:rsidRPr="0001535E">
        <w:t>[16]</w:t>
      </w:r>
      <w:r>
        <w:fldChar w:fldCharType="end"/>
      </w:r>
      <w:r>
        <w:t>.</w:t>
      </w:r>
    </w:p>
    <w:p w14:paraId="06818BB6" w14:textId="77777777" w:rsidR="00200EBA" w:rsidRPr="001A49B9" w:rsidRDefault="00200EBA" w:rsidP="00200EBA">
      <w:pPr>
        <w:pStyle w:val="2"/>
        <w:spacing w:line="240" w:lineRule="auto"/>
        <w:rPr>
          <w:color w:val="000000" w:themeColor="text1"/>
          <w:szCs w:val="24"/>
        </w:rPr>
      </w:pPr>
      <w:bookmarkStart w:id="171" w:name="_Toc126059740"/>
      <w:r>
        <w:rPr>
          <w:color w:val="000000" w:themeColor="text1"/>
          <w:szCs w:val="24"/>
        </w:rPr>
        <w:t>Список</w:t>
      </w:r>
      <w:r w:rsidRPr="001A49B9">
        <w:rPr>
          <w:color w:val="000000" w:themeColor="text1"/>
          <w:szCs w:val="24"/>
        </w:rPr>
        <w:t xml:space="preserve"> </w:t>
      </w:r>
      <w:r>
        <w:rPr>
          <w:color w:val="000000" w:themeColor="text1"/>
          <w:szCs w:val="24"/>
        </w:rPr>
        <w:t>литературы</w:t>
      </w:r>
      <w:bookmarkEnd w:id="171"/>
    </w:p>
    <w:p w14:paraId="32D9669C" w14:textId="32E7C581" w:rsidR="00200EBA" w:rsidRPr="0001535E" w:rsidRDefault="00200EBA" w:rsidP="00944B59">
      <w:pPr>
        <w:pStyle w:val="afff2"/>
        <w:tabs>
          <w:tab w:val="clear" w:pos="504"/>
          <w:tab w:val="left" w:pos="709"/>
        </w:tabs>
        <w:spacing w:after="0"/>
        <w:ind w:left="709" w:hanging="425"/>
        <w:rPr>
          <w:lang w:val="en-US"/>
        </w:rPr>
      </w:pPr>
      <w:r>
        <w:fldChar w:fldCharType="begin"/>
      </w:r>
      <w:r>
        <w:instrText xml:space="preserve"> ADDIN ZOTERO_BIBL {"uncited":[],"omitted":[],"custom":[]} CSL_BIBLIOGRAPHY </w:instrText>
      </w:r>
      <w:r>
        <w:fldChar w:fldCharType="separate"/>
      </w:r>
      <w:r w:rsidRPr="0001535E">
        <w:t xml:space="preserve">1. </w:t>
      </w:r>
      <w:r w:rsidRPr="0001535E">
        <w:tab/>
        <w:t xml:space="preserve">Matsuki M, Adachi Y, Ozawa Y, Kimura T, Hoshi T, Okamoto K, и др. </w:t>
      </w:r>
      <w:r w:rsidRPr="0001535E">
        <w:rPr>
          <w:lang w:val="en-US"/>
        </w:rPr>
        <w:t xml:space="preserve">Targeting of tumor growth and angiogenesis underlies the enhanced antitumor activity of lenvatinib in combination with everolimus. Cancer Sci. </w:t>
      </w:r>
      <w:r w:rsidR="00205826">
        <w:rPr>
          <w:lang w:val="en-US"/>
        </w:rPr>
        <w:t>Apr</w:t>
      </w:r>
      <w:r w:rsidR="00205826" w:rsidRPr="0001535E">
        <w:rPr>
          <w:lang w:val="en-US"/>
        </w:rPr>
        <w:t xml:space="preserve"> </w:t>
      </w:r>
      <w:r w:rsidRPr="0001535E">
        <w:rPr>
          <w:lang w:val="en-US"/>
        </w:rPr>
        <w:t>2017;</w:t>
      </w:r>
      <w:r w:rsidR="00205826">
        <w:rPr>
          <w:lang w:val="en-US"/>
        </w:rPr>
        <w:t xml:space="preserve"> </w:t>
      </w:r>
      <w:r w:rsidRPr="0001535E">
        <w:rPr>
          <w:lang w:val="en-US"/>
        </w:rPr>
        <w:t xml:space="preserve">108(4):763–71. </w:t>
      </w:r>
    </w:p>
    <w:p w14:paraId="59424FED" w14:textId="2893BCCB"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2. </w:t>
      </w:r>
      <w:r w:rsidRPr="0001535E">
        <w:rPr>
          <w:lang w:val="en-US"/>
        </w:rPr>
        <w:tab/>
        <w:t xml:space="preserve">Yamamoto Y, Matsui J, Matsushima T, Obaishi H, Miyazaki K, Nakamura K, </w:t>
      </w:r>
      <w:r w:rsidRPr="0001535E">
        <w:t>и</w:t>
      </w:r>
      <w:r w:rsidRPr="0001535E">
        <w:rPr>
          <w:lang w:val="en-US"/>
        </w:rPr>
        <w:t xml:space="preserve"> </w:t>
      </w:r>
      <w:r w:rsidRPr="0001535E">
        <w:t>др</w:t>
      </w:r>
      <w:r w:rsidRPr="0001535E">
        <w:rPr>
          <w:lang w:val="en-US"/>
        </w:rPr>
        <w:t xml:space="preserve">. Lenvatinib, an angiogenesis inhibitor targeting VEGFR/FGFR, shows broad antitumor activity in human tumor xenograft models associated with microvessel density and pericyte coverage. Vasc Cell. 2014;6:18. </w:t>
      </w:r>
    </w:p>
    <w:p w14:paraId="60012E75" w14:textId="4461168D"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3. </w:t>
      </w:r>
      <w:r w:rsidRPr="0001535E">
        <w:rPr>
          <w:lang w:val="en-US"/>
        </w:rPr>
        <w:tab/>
        <w:t xml:space="preserve">Matsui J, Yamamoto Y, Funahashi Y, Tsuruoka A, Watanabe T, Wakabayashi T, </w:t>
      </w:r>
      <w:r w:rsidRPr="0001535E">
        <w:t>и</w:t>
      </w:r>
      <w:r w:rsidRPr="0001535E">
        <w:rPr>
          <w:lang w:val="en-US"/>
        </w:rPr>
        <w:t xml:space="preserve"> </w:t>
      </w:r>
      <w:r w:rsidRPr="0001535E">
        <w:t>др</w:t>
      </w:r>
      <w:r w:rsidRPr="0001535E">
        <w:rPr>
          <w:lang w:val="en-US"/>
        </w:rPr>
        <w:t xml:space="preserve">. E7080, a novel inhibitor that targets multiple kinases, has potent antitumor activities against stem cell factor producing human small cell lung cancer H146, based on angiogenesis inhibition. Int J Cancer. </w:t>
      </w:r>
      <w:r w:rsidR="00205826">
        <w:rPr>
          <w:lang w:val="en-US"/>
        </w:rPr>
        <w:t>Feb</w:t>
      </w:r>
      <w:r w:rsidRPr="0001535E">
        <w:rPr>
          <w:lang w:val="en-US"/>
        </w:rPr>
        <w:t xml:space="preserve"> 2008;</w:t>
      </w:r>
      <w:r w:rsidR="00205826">
        <w:rPr>
          <w:lang w:val="en-US"/>
        </w:rPr>
        <w:t xml:space="preserve"> </w:t>
      </w:r>
      <w:r w:rsidRPr="0001535E">
        <w:rPr>
          <w:lang w:val="en-US"/>
        </w:rPr>
        <w:t xml:space="preserve">122(3):664–71. </w:t>
      </w:r>
    </w:p>
    <w:p w14:paraId="286025E8" w14:textId="72518D47"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4. </w:t>
      </w:r>
      <w:r w:rsidRPr="0001535E">
        <w:rPr>
          <w:lang w:val="en-US"/>
        </w:rPr>
        <w:tab/>
        <w:t xml:space="preserve">Matsui J, Funahashi Y, Uenaka T, Watanabe T, Tsuruoka A, Asada M. Multi-kinase inhibitor E7080 suppresses lymph node and lung metastases of human mammary breast tumor MDA-MB-231 via inhibition of vascular endothelial growth factor-receptor (VEGF-R) 2 and VEGF-R3 kinase. Clin Cancer Res. </w:t>
      </w:r>
      <w:r w:rsidR="00205826">
        <w:rPr>
          <w:lang w:val="en-US"/>
        </w:rPr>
        <w:t>Sept</w:t>
      </w:r>
      <w:r w:rsidRPr="0001535E">
        <w:rPr>
          <w:lang w:val="en-US"/>
        </w:rPr>
        <w:t xml:space="preserve"> 2008;</w:t>
      </w:r>
      <w:r w:rsidR="00205826">
        <w:rPr>
          <w:lang w:val="en-US"/>
        </w:rPr>
        <w:t xml:space="preserve"> </w:t>
      </w:r>
      <w:r w:rsidRPr="0001535E">
        <w:rPr>
          <w:lang w:val="en-US"/>
        </w:rPr>
        <w:t xml:space="preserve">14(17):5459–65. </w:t>
      </w:r>
    </w:p>
    <w:p w14:paraId="0B9B023C" w14:textId="67B32EC1"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5. </w:t>
      </w:r>
      <w:r w:rsidRPr="0001535E">
        <w:rPr>
          <w:lang w:val="en-US"/>
        </w:rPr>
        <w:tab/>
        <w:t xml:space="preserve">Antonelli A, Bocci G, La Motta C, Ferrari SM, Fallahi P, Ruffilli I, </w:t>
      </w:r>
      <w:r w:rsidRPr="0001535E">
        <w:t>и</w:t>
      </w:r>
      <w:r w:rsidRPr="0001535E">
        <w:rPr>
          <w:lang w:val="en-US"/>
        </w:rPr>
        <w:t xml:space="preserve"> </w:t>
      </w:r>
      <w:r w:rsidRPr="0001535E">
        <w:t>др</w:t>
      </w:r>
      <w:r w:rsidRPr="0001535E">
        <w:rPr>
          <w:lang w:val="en-US"/>
        </w:rPr>
        <w:t xml:space="preserve">. CLM94, a novel cyclic amide with anti-VEGFR-2 and antiangiogenic properties, is active against primary anaplastic thyroid cancer in vitro and in vivo. J Clin Endocrinol Metab. </w:t>
      </w:r>
      <w:r w:rsidR="00205826">
        <w:rPr>
          <w:lang w:val="en-US"/>
        </w:rPr>
        <w:t>Apr</w:t>
      </w:r>
      <w:r w:rsidRPr="0001535E">
        <w:rPr>
          <w:lang w:val="en-US"/>
        </w:rPr>
        <w:t xml:space="preserve"> 2012;</w:t>
      </w:r>
      <w:r w:rsidR="00205826">
        <w:rPr>
          <w:lang w:val="en-US"/>
        </w:rPr>
        <w:t xml:space="preserve"> </w:t>
      </w:r>
      <w:r w:rsidRPr="0001535E">
        <w:rPr>
          <w:lang w:val="en-US"/>
        </w:rPr>
        <w:t xml:space="preserve">97(4):E528-36. </w:t>
      </w:r>
    </w:p>
    <w:p w14:paraId="54B1802D" w14:textId="77777777"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6. </w:t>
      </w:r>
      <w:r w:rsidRPr="0001535E">
        <w:rPr>
          <w:lang w:val="en-US"/>
        </w:rPr>
        <w:tab/>
        <w:t xml:space="preserve">European  Medicines Agency. SUMMARY OF PRODUCT CHARACTERISTICS. LENVIMA 4 mg, 10 mg hard capsules.26.11.2021. </w:t>
      </w:r>
    </w:p>
    <w:p w14:paraId="388F2A05" w14:textId="77777777"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7. </w:t>
      </w:r>
      <w:r w:rsidRPr="0001535E">
        <w:rPr>
          <w:lang w:val="en-US"/>
        </w:rPr>
        <w:tab/>
        <w:t xml:space="preserve">Product Monograph LENVIMA® Lenvatinib capsules 4 mg and 10 mg Lenvatinib (as lenvatinib mesylate). Eisai Limited.Date of Initial Authorization: DEC 22, 2015 Date of Revision:MAY 31, 2022. </w:t>
      </w:r>
    </w:p>
    <w:p w14:paraId="674BDC54" w14:textId="77777777"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8. </w:t>
      </w:r>
      <w:r w:rsidRPr="0001535E">
        <w:rPr>
          <w:lang w:val="en-US"/>
        </w:rPr>
        <w:tab/>
        <w:t xml:space="preserve">U.S. Food and Drug Administration. Drug Approval Package.LENVIMA (lenvatinib) Capsules Company:  Eisai, Inc. Pharmacology Review(s). Application No.:  206947 Approval Date: 2/13/2015. </w:t>
      </w:r>
    </w:p>
    <w:p w14:paraId="64506C8A" w14:textId="440B67FD"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9. </w:t>
      </w:r>
      <w:r w:rsidRPr="0001535E">
        <w:rPr>
          <w:lang w:val="en-US"/>
        </w:rPr>
        <w:tab/>
        <w:t xml:space="preserve">Malumbres M, Barbacid M. Cell cycle kinases in cancer. Curr Opin Genet Dev. </w:t>
      </w:r>
      <w:r w:rsidR="00205826">
        <w:rPr>
          <w:lang w:val="en-US"/>
        </w:rPr>
        <w:t>Feb</w:t>
      </w:r>
      <w:r w:rsidR="00205826" w:rsidRPr="0001535E">
        <w:rPr>
          <w:lang w:val="en-US"/>
        </w:rPr>
        <w:t xml:space="preserve"> </w:t>
      </w:r>
      <w:r w:rsidRPr="0001535E">
        <w:rPr>
          <w:lang w:val="en-US"/>
        </w:rPr>
        <w:t>2007;</w:t>
      </w:r>
      <w:r w:rsidR="00205826">
        <w:rPr>
          <w:lang w:val="en-US"/>
        </w:rPr>
        <w:t xml:space="preserve"> </w:t>
      </w:r>
      <w:r w:rsidRPr="0001535E">
        <w:rPr>
          <w:lang w:val="en-US"/>
        </w:rPr>
        <w:t xml:space="preserve">17(1):60–5. </w:t>
      </w:r>
    </w:p>
    <w:p w14:paraId="7C60C4CB" w14:textId="372B51C6"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10. </w:t>
      </w:r>
      <w:r w:rsidRPr="0001535E">
        <w:rPr>
          <w:lang w:val="en-US"/>
        </w:rPr>
        <w:tab/>
        <w:t xml:space="preserve">Mansour SJ, Matten WT, Hermann AS, Candia JM, Rong S, Fukasawa K, </w:t>
      </w:r>
      <w:r w:rsidRPr="0001535E">
        <w:t>и</w:t>
      </w:r>
      <w:r w:rsidRPr="0001535E">
        <w:rPr>
          <w:lang w:val="en-US"/>
        </w:rPr>
        <w:t xml:space="preserve"> </w:t>
      </w:r>
      <w:r w:rsidRPr="0001535E">
        <w:t>др</w:t>
      </w:r>
      <w:r w:rsidRPr="0001535E">
        <w:rPr>
          <w:lang w:val="en-US"/>
        </w:rPr>
        <w:t xml:space="preserve">. Transformation of mammalian cells by constitutively active MAP kinase kinase. Science. </w:t>
      </w:r>
      <w:r w:rsidR="00205826">
        <w:rPr>
          <w:lang w:val="en-US"/>
        </w:rPr>
        <w:t>Aug</w:t>
      </w:r>
      <w:r w:rsidRPr="0001535E">
        <w:rPr>
          <w:lang w:val="en-US"/>
        </w:rPr>
        <w:t xml:space="preserve"> 1994;</w:t>
      </w:r>
      <w:r w:rsidR="00205826">
        <w:rPr>
          <w:lang w:val="en-US"/>
        </w:rPr>
        <w:t xml:space="preserve"> </w:t>
      </w:r>
      <w:r w:rsidRPr="0001535E">
        <w:rPr>
          <w:lang w:val="en-US"/>
        </w:rPr>
        <w:t xml:space="preserve">265(5174):966–70. </w:t>
      </w:r>
    </w:p>
    <w:p w14:paraId="276A97B5" w14:textId="62BFC3EF" w:rsidR="00200EBA" w:rsidRPr="0001535E" w:rsidRDefault="00200EBA" w:rsidP="00944B59">
      <w:pPr>
        <w:pStyle w:val="afff2"/>
        <w:tabs>
          <w:tab w:val="clear" w:pos="504"/>
          <w:tab w:val="left" w:pos="709"/>
        </w:tabs>
        <w:spacing w:after="0"/>
        <w:ind w:left="709" w:hanging="425"/>
        <w:rPr>
          <w:lang w:val="en-US"/>
        </w:rPr>
      </w:pPr>
      <w:r w:rsidRPr="0001535E">
        <w:rPr>
          <w:lang w:val="en-US"/>
        </w:rPr>
        <w:lastRenderedPageBreak/>
        <w:t xml:space="preserve">11. </w:t>
      </w:r>
      <w:r w:rsidRPr="0001535E">
        <w:rPr>
          <w:lang w:val="en-US"/>
        </w:rPr>
        <w:tab/>
        <w:t xml:space="preserve">Kimura T, Kato Y, Ozawa Y, Kodama K, Ito J, Ichikawa K, </w:t>
      </w:r>
      <w:r w:rsidRPr="0001535E">
        <w:t>и</w:t>
      </w:r>
      <w:r w:rsidRPr="0001535E">
        <w:rPr>
          <w:lang w:val="en-US"/>
        </w:rPr>
        <w:t xml:space="preserve"> </w:t>
      </w:r>
      <w:r w:rsidRPr="0001535E">
        <w:t>др</w:t>
      </w:r>
      <w:r w:rsidRPr="0001535E">
        <w:rPr>
          <w:lang w:val="en-US"/>
        </w:rPr>
        <w:t xml:space="preserve">. Immunomodulatory activity of lenvatinib contributes to antitumor activity in the Hepa1-6 hepatocellular carcinoma model. Cancer Sci. </w:t>
      </w:r>
      <w:r w:rsidR="00205826">
        <w:rPr>
          <w:lang w:val="en-US"/>
        </w:rPr>
        <w:t>Dec</w:t>
      </w:r>
      <w:r w:rsidR="00205826" w:rsidRPr="0001535E">
        <w:rPr>
          <w:lang w:val="en-US"/>
        </w:rPr>
        <w:t xml:space="preserve"> </w:t>
      </w:r>
      <w:r w:rsidRPr="0001535E">
        <w:rPr>
          <w:lang w:val="en-US"/>
        </w:rPr>
        <w:t>2018;</w:t>
      </w:r>
      <w:r w:rsidR="00205826">
        <w:rPr>
          <w:lang w:val="en-US"/>
        </w:rPr>
        <w:t xml:space="preserve"> </w:t>
      </w:r>
      <w:r w:rsidRPr="0001535E">
        <w:rPr>
          <w:lang w:val="en-US"/>
        </w:rPr>
        <w:t xml:space="preserve">109(12):3993–4002. </w:t>
      </w:r>
    </w:p>
    <w:p w14:paraId="3F4ACD40" w14:textId="0AC53AFC"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12. </w:t>
      </w:r>
      <w:r w:rsidRPr="0001535E">
        <w:rPr>
          <w:lang w:val="en-US"/>
        </w:rPr>
        <w:tab/>
        <w:t xml:space="preserve">McTigue M, Murray BW, Chen JH, Deng YL, Solowiej J, Kania RS. Molecular conformations, interactions, and properties associated with drug efficiency and clinical performance among VEGFR TK inhibitors. Proc Natl Acad Sci U S A. </w:t>
      </w:r>
      <w:r w:rsidR="00205826">
        <w:rPr>
          <w:lang w:val="en-US"/>
        </w:rPr>
        <w:t>Nov</w:t>
      </w:r>
      <w:r w:rsidRPr="0001535E">
        <w:rPr>
          <w:lang w:val="en-US"/>
        </w:rPr>
        <w:t xml:space="preserve"> 2012;</w:t>
      </w:r>
      <w:r w:rsidR="00205826">
        <w:rPr>
          <w:lang w:val="en-US"/>
        </w:rPr>
        <w:t xml:space="preserve"> </w:t>
      </w:r>
      <w:r w:rsidRPr="0001535E">
        <w:rPr>
          <w:lang w:val="en-US"/>
        </w:rPr>
        <w:t xml:space="preserve">109(45):18281–9. </w:t>
      </w:r>
    </w:p>
    <w:p w14:paraId="33B0E991" w14:textId="77777777"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13. </w:t>
      </w:r>
      <w:r w:rsidRPr="0001535E">
        <w:rPr>
          <w:lang w:val="en-US"/>
        </w:rPr>
        <w:tab/>
        <w:t xml:space="preserve">European  Medicines Agency. Assessment report Lenvima International non-proprietary name: lenvatinib Procedure No. EMEA/H/C/003727/0000.26 March 2015. </w:t>
      </w:r>
    </w:p>
    <w:p w14:paraId="24FD26EF" w14:textId="331B5123"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14. </w:t>
      </w:r>
      <w:r w:rsidRPr="0001535E">
        <w:rPr>
          <w:lang w:val="en-US"/>
        </w:rPr>
        <w:tab/>
        <w:t xml:space="preserve">Vavrová K, Indra R, Pompach P, Heger Z, Hodek P. The impact of individual human cytochrome P450 enzymes on oxidative metabolism of anticancer drug lenvatinib. Biomed Pharmacother. </w:t>
      </w:r>
      <w:r w:rsidR="00205826">
        <w:rPr>
          <w:lang w:val="en-US"/>
        </w:rPr>
        <w:t>Jan</w:t>
      </w:r>
      <w:r w:rsidR="00205826" w:rsidRPr="0001535E">
        <w:rPr>
          <w:lang w:val="en-US"/>
        </w:rPr>
        <w:t xml:space="preserve"> </w:t>
      </w:r>
      <w:r w:rsidRPr="0001535E">
        <w:rPr>
          <w:lang w:val="en-US"/>
        </w:rPr>
        <w:t>2022;</w:t>
      </w:r>
      <w:r w:rsidR="00205826">
        <w:rPr>
          <w:lang w:val="en-US"/>
        </w:rPr>
        <w:t xml:space="preserve"> </w:t>
      </w:r>
      <w:r w:rsidRPr="0001535E">
        <w:rPr>
          <w:lang w:val="en-US"/>
        </w:rPr>
        <w:t xml:space="preserve">145:112391. </w:t>
      </w:r>
    </w:p>
    <w:p w14:paraId="1ECB6EB3" w14:textId="2B6051CA" w:rsidR="00200EBA" w:rsidRPr="0001535E" w:rsidRDefault="00200EBA" w:rsidP="00944B59">
      <w:pPr>
        <w:pStyle w:val="afff2"/>
        <w:tabs>
          <w:tab w:val="clear" w:pos="504"/>
          <w:tab w:val="left" w:pos="709"/>
        </w:tabs>
        <w:spacing w:after="0"/>
        <w:ind w:left="709" w:hanging="425"/>
        <w:rPr>
          <w:lang w:val="en-US"/>
        </w:rPr>
      </w:pPr>
      <w:r w:rsidRPr="0001535E">
        <w:rPr>
          <w:lang w:val="en-US"/>
        </w:rPr>
        <w:t xml:space="preserve">15. </w:t>
      </w:r>
      <w:r w:rsidRPr="0001535E">
        <w:rPr>
          <w:lang w:val="en-US"/>
        </w:rPr>
        <w:tab/>
        <w:t xml:space="preserve">Cui Y, Li Y, Guo C, Li Y, Ma Y, Dong Z. Pharmacokinetic Interactions between Canagliflozin and Sorafenib or Lenvatinib in Rats. Molecules. </w:t>
      </w:r>
      <w:r w:rsidR="00205826">
        <w:rPr>
          <w:lang w:val="en-US"/>
        </w:rPr>
        <w:t>Aug</w:t>
      </w:r>
      <w:r w:rsidRPr="0001535E">
        <w:rPr>
          <w:lang w:val="en-US"/>
        </w:rPr>
        <w:t xml:space="preserve"> 2022;</w:t>
      </w:r>
      <w:r w:rsidR="00205826">
        <w:rPr>
          <w:lang w:val="en-US"/>
        </w:rPr>
        <w:t xml:space="preserve"> </w:t>
      </w:r>
      <w:r w:rsidRPr="0001535E">
        <w:rPr>
          <w:lang w:val="en-US"/>
        </w:rPr>
        <w:t xml:space="preserve">27(17):5419. </w:t>
      </w:r>
    </w:p>
    <w:p w14:paraId="7D6294A0" w14:textId="647E7A5E" w:rsidR="00200EBA" w:rsidRPr="0001535E" w:rsidRDefault="00200EBA" w:rsidP="00944B59">
      <w:pPr>
        <w:pStyle w:val="afff2"/>
        <w:tabs>
          <w:tab w:val="clear" w:pos="504"/>
          <w:tab w:val="left" w:pos="709"/>
        </w:tabs>
        <w:spacing w:after="0"/>
        <w:ind w:left="709" w:hanging="425"/>
      </w:pPr>
      <w:r w:rsidRPr="0001535E">
        <w:rPr>
          <w:lang w:val="en-US"/>
        </w:rPr>
        <w:t xml:space="preserve">16. </w:t>
      </w:r>
      <w:r w:rsidRPr="0001535E">
        <w:rPr>
          <w:lang w:val="en-US"/>
        </w:rPr>
        <w:tab/>
        <w:t xml:space="preserve">Dubbelman AC, Nijenhuis CM, Jansen RS, Rosing H, Mizuo H, Kawaguchi S, </w:t>
      </w:r>
      <w:r w:rsidRPr="0001535E">
        <w:t>и</w:t>
      </w:r>
      <w:r w:rsidRPr="0001535E">
        <w:rPr>
          <w:lang w:val="en-US"/>
        </w:rPr>
        <w:t xml:space="preserve"> </w:t>
      </w:r>
      <w:r w:rsidRPr="0001535E">
        <w:t>др</w:t>
      </w:r>
      <w:r w:rsidRPr="0001535E">
        <w:rPr>
          <w:lang w:val="en-US"/>
        </w:rPr>
        <w:t xml:space="preserve">. Metabolite profiling of the multiple tyrosine kinase inhibitor lenvatinib: a cross-species comparison. </w:t>
      </w:r>
      <w:r w:rsidRPr="0001535E">
        <w:t xml:space="preserve">Invest New Drugs. </w:t>
      </w:r>
      <w:r w:rsidR="00205826">
        <w:rPr>
          <w:lang w:val="en-US"/>
        </w:rPr>
        <w:t>Jun</w:t>
      </w:r>
      <w:r w:rsidR="00205826" w:rsidRPr="0001535E">
        <w:t xml:space="preserve"> </w:t>
      </w:r>
      <w:r w:rsidRPr="0001535E">
        <w:t>2016;</w:t>
      </w:r>
      <w:r w:rsidR="00205826">
        <w:rPr>
          <w:lang w:val="en-US"/>
        </w:rPr>
        <w:t xml:space="preserve"> </w:t>
      </w:r>
      <w:r w:rsidRPr="0001535E">
        <w:t xml:space="preserve">34(3):300–18. </w:t>
      </w:r>
    </w:p>
    <w:p w14:paraId="0EA1D550" w14:textId="40FF4833" w:rsidR="00C51882" w:rsidRDefault="00200EBA" w:rsidP="00944B59">
      <w:pPr>
        <w:tabs>
          <w:tab w:val="left" w:pos="709"/>
        </w:tabs>
        <w:ind w:left="709" w:hanging="425"/>
      </w:pPr>
      <w:r>
        <w:fldChar w:fldCharType="end"/>
      </w:r>
    </w:p>
    <w:p w14:paraId="4BBD6FA4" w14:textId="7ED662F6" w:rsidR="00200EBA" w:rsidRPr="00C22830" w:rsidRDefault="00970089" w:rsidP="00822089">
      <w:pPr>
        <w:pStyle w:val="12"/>
        <w:spacing w:before="0" w:after="0"/>
      </w:pPr>
      <w:bookmarkStart w:id="172" w:name="_Toc126059741"/>
      <w:r>
        <w:t>4.</w:t>
      </w:r>
      <w:r w:rsidR="00200EBA" w:rsidRPr="00C22830">
        <w:t>ДЕЙСТВИЕ У ЧЕЛОВЕКА</w:t>
      </w:r>
      <w:bookmarkEnd w:id="172"/>
    </w:p>
    <w:p w14:paraId="3D70D70C" w14:textId="77777777" w:rsidR="00200EBA" w:rsidRDefault="00200EBA" w:rsidP="00822089">
      <w:pPr>
        <w:pStyle w:val="2"/>
        <w:spacing w:before="0" w:after="0" w:line="240" w:lineRule="auto"/>
        <w:rPr>
          <w:color w:val="000000" w:themeColor="text1"/>
          <w:szCs w:val="24"/>
        </w:rPr>
      </w:pPr>
      <w:bookmarkStart w:id="173" w:name="_Toc126059742"/>
      <w:r w:rsidRPr="005E6358">
        <w:rPr>
          <w:color w:val="000000" w:themeColor="text1"/>
          <w:szCs w:val="24"/>
        </w:rPr>
        <w:t>Введение и резюме</w:t>
      </w:r>
      <w:bookmarkEnd w:id="173"/>
    </w:p>
    <w:p w14:paraId="6BEC550D" w14:textId="77777777" w:rsidR="00822089" w:rsidRDefault="00822089" w:rsidP="00822089">
      <w:pPr>
        <w:ind w:firstLine="709"/>
        <w:jc w:val="distribute"/>
      </w:pPr>
      <w:bookmarkStart w:id="174" w:name="_Hlk118202821"/>
    </w:p>
    <w:p w14:paraId="2CF6B37D" w14:textId="4E4298CA" w:rsidR="00200EBA" w:rsidRPr="00236EE5" w:rsidRDefault="00200EBA" w:rsidP="00822089">
      <w:pPr>
        <w:ind w:firstLine="709"/>
        <w:jc w:val="distribute"/>
      </w:pPr>
      <w:r w:rsidRPr="00D5518D">
        <w:t xml:space="preserve">Клинических исследований препарата </w:t>
      </w:r>
      <w:r w:rsidR="00944B59" w:rsidRPr="00D5518D">
        <w:rPr>
          <w:lang w:val="en-US"/>
        </w:rPr>
        <w:t>DT</w:t>
      </w:r>
      <w:r w:rsidR="00944B59" w:rsidRPr="00D5518D">
        <w:t>-</w:t>
      </w:r>
      <w:r w:rsidR="00944B59" w:rsidRPr="00D5518D">
        <w:rPr>
          <w:lang w:val="en-US"/>
        </w:rPr>
        <w:t>LNV</w:t>
      </w:r>
      <w:r w:rsidRPr="00D5518D">
        <w:t xml:space="preserve"> (МНН: </w:t>
      </w:r>
      <w:r w:rsidRPr="00D5518D">
        <w:rPr>
          <w:bCs/>
        </w:rPr>
        <w:t>ленватиниб)</w:t>
      </w:r>
      <w:r w:rsidRPr="00D5518D">
        <w:t>, капсулы 4 мг</w:t>
      </w:r>
      <w:r w:rsidR="000B0620">
        <w:t xml:space="preserve"> и</w:t>
      </w:r>
      <w:r w:rsidRPr="00D5518D">
        <w:t xml:space="preserve"> 10 мг (АО «Р-Фарм</w:t>
      </w:r>
      <w:r w:rsidRPr="00236EE5">
        <w:t xml:space="preserve">», Россия) не проводилось. Так как </w:t>
      </w:r>
      <w:r w:rsidR="00D5518D" w:rsidRPr="00236EE5">
        <w:rPr>
          <w:lang w:val="en-US"/>
        </w:rPr>
        <w:t>DT</w:t>
      </w:r>
      <w:r w:rsidR="00D5518D" w:rsidRPr="00236EE5">
        <w:t>-</w:t>
      </w:r>
      <w:r w:rsidR="00D5518D" w:rsidRPr="00236EE5">
        <w:rPr>
          <w:lang w:val="en-US"/>
        </w:rPr>
        <w:t>LNV</w:t>
      </w:r>
      <w:r w:rsidR="00D5518D" w:rsidRPr="00236EE5">
        <w:t xml:space="preserve"> </w:t>
      </w:r>
      <w:r w:rsidRPr="00236EE5">
        <w:t xml:space="preserve">представляет собой воспроизведенный препарат </w:t>
      </w:r>
      <w:r w:rsidRPr="00236EE5">
        <w:rPr>
          <w:bCs/>
        </w:rPr>
        <w:t>ленватиниба</w:t>
      </w:r>
      <w:r w:rsidRPr="00236EE5">
        <w:t>, ожидается, что его свойства будут идентичны свойствам оригинального препарата Ленвима</w:t>
      </w:r>
      <w:r w:rsidRPr="00236EE5">
        <w:rPr>
          <w:vertAlign w:val="superscript"/>
        </w:rPr>
        <w:t>®</w:t>
      </w:r>
      <w:r w:rsidRPr="00236EE5">
        <w:t xml:space="preserve"> (МНН: </w:t>
      </w:r>
      <w:r w:rsidRPr="00236EE5">
        <w:rPr>
          <w:bCs/>
        </w:rPr>
        <w:t>ленватиниб</w:t>
      </w:r>
      <w:r w:rsidRPr="00236EE5">
        <w:t>), капсулы 4 мг, 10 мг (</w:t>
      </w:r>
      <w:r w:rsidRPr="00236EE5">
        <w:rPr>
          <w:rFonts w:eastAsia="Calibri"/>
          <w:bCs/>
        </w:rPr>
        <w:t>владелец РУ: Эйсай Юроп Лимитед, Соединенное Королевство</w:t>
      </w:r>
      <w:r w:rsidRPr="00236EE5">
        <w:t xml:space="preserve">), которому </w:t>
      </w:r>
      <w:r w:rsidR="00D5518D" w:rsidRPr="00236EE5">
        <w:t>он</w:t>
      </w:r>
      <w:r w:rsidRPr="00236EE5">
        <w:t xml:space="preserve"> полностью соответствует по качественному и количественному составу действующ</w:t>
      </w:r>
      <w:r w:rsidR="00D5518D" w:rsidRPr="00236EE5">
        <w:t>его</w:t>
      </w:r>
      <w:r w:rsidR="00236EE5">
        <w:t xml:space="preserve"> и </w:t>
      </w:r>
      <w:r w:rsidRPr="00236EE5">
        <w:t xml:space="preserve">вспомогательных веществ, а также по лекарственной форме и дозировке. В связи с этим ниже приводятся данные клинических исследований оригинального препарата </w:t>
      </w:r>
      <w:r w:rsidRPr="00236EE5">
        <w:rPr>
          <w:bCs/>
        </w:rPr>
        <w:t>ленватиниб</w:t>
      </w:r>
      <w:r w:rsidRPr="00236EE5">
        <w:t>.</w:t>
      </w:r>
    </w:p>
    <w:p w14:paraId="67C668EE" w14:textId="7D22C893" w:rsidR="001554FE" w:rsidRDefault="001554FE" w:rsidP="000B0620">
      <w:pPr>
        <w:ind w:firstLine="709"/>
      </w:pPr>
      <w:r w:rsidRPr="00236EE5">
        <w:t xml:space="preserve">Ленватиниб является ингибитором тирозинкиназы I типа, проявляющим выраженную антиангиогенную активность при лечении рака. </w:t>
      </w:r>
      <w:r w:rsidR="00971D1E">
        <w:t>Благодаря</w:t>
      </w:r>
      <w:r w:rsidRPr="00236EE5">
        <w:t xml:space="preserve"> </w:t>
      </w:r>
      <w:r w:rsidR="00971D1E" w:rsidRPr="00236EE5">
        <w:t>активност</w:t>
      </w:r>
      <w:r w:rsidR="00971D1E">
        <w:t>и</w:t>
      </w:r>
      <w:r w:rsidR="00971D1E" w:rsidRPr="00236EE5">
        <w:t xml:space="preserve"> </w:t>
      </w:r>
      <w:r w:rsidRPr="00236EE5">
        <w:t>при множественных солидных опухолях</w:t>
      </w:r>
      <w:r w:rsidRPr="00506F4C">
        <w:t xml:space="preserve">, </w:t>
      </w:r>
      <w:r>
        <w:t xml:space="preserve">препарат </w:t>
      </w:r>
      <w:r w:rsidRPr="00506F4C">
        <w:t xml:space="preserve">был одобрен при дифференцированном </w:t>
      </w:r>
      <w:r w:rsidR="00E82595">
        <w:t>РЩЖ</w:t>
      </w:r>
      <w:r w:rsidRPr="00506F4C">
        <w:t xml:space="preserve">, </w:t>
      </w:r>
      <w:r w:rsidR="006C7E4D">
        <w:t>ГЦК</w:t>
      </w:r>
      <w:r>
        <w:t>,</w:t>
      </w:r>
      <w:r w:rsidRPr="00506F4C">
        <w:t xml:space="preserve"> </w:t>
      </w:r>
      <w:r w:rsidR="00E82595">
        <w:t>ПКК</w:t>
      </w:r>
      <w:r w:rsidRPr="00506F4C">
        <w:t xml:space="preserve"> </w:t>
      </w:r>
      <w:r>
        <w:t xml:space="preserve">и при лечении </w:t>
      </w:r>
      <w:r w:rsidR="00E82595">
        <w:t>РЭ</w:t>
      </w:r>
      <w:r>
        <w:t xml:space="preserve"> как </w:t>
      </w:r>
      <w:r w:rsidRPr="00506F4C">
        <w:t>в качестве монотерапии или в комбин</w:t>
      </w:r>
      <w:r>
        <w:t>ированной химиотерапии.</w:t>
      </w:r>
      <w:r w:rsidRPr="00506F4C">
        <w:t xml:space="preserve"> Кроме того, ленватиниб продемонстрировал многообещающие результаты при некоторых других типах опухолей, включая медуллярный рак, анапластический </w:t>
      </w:r>
      <w:r w:rsidR="00E82595">
        <w:t>РЩЖ</w:t>
      </w:r>
      <w:r w:rsidRPr="00506F4C">
        <w:t xml:space="preserve">, </w:t>
      </w:r>
      <w:r w:rsidRPr="006E4432">
        <w:t xml:space="preserve">аденоидно-кистозный рак и </w:t>
      </w:r>
      <w:r w:rsidR="00E82595">
        <w:t>РЭ</w:t>
      </w:r>
      <w:r>
        <w:t>.</w:t>
      </w:r>
      <w:r w:rsidRPr="006E4432">
        <w:t xml:space="preserve"> Ленватиниб – пероральный мультикиназный ингибитор, действующий на рецепторы к фактору роста эндотелия сосудов 1–VEGF, рецепторы к фактору роста фибробластов FGFR, рецепторы к тромбоцитарному фактору роста α (PDGFR),</w:t>
      </w:r>
      <w:r>
        <w:t xml:space="preserve"> </w:t>
      </w:r>
      <w:r w:rsidRPr="006E4432">
        <w:t>а также протоонкогены RET и KIT</w:t>
      </w:r>
      <w:r>
        <w:t>.</w:t>
      </w:r>
    </w:p>
    <w:p w14:paraId="41B45CB6" w14:textId="4D65C760" w:rsidR="001554FE" w:rsidRDefault="001554FE" w:rsidP="000B0620">
      <w:pPr>
        <w:ind w:firstLine="709"/>
      </w:pPr>
      <w:r>
        <w:t>В феврале 2015 года FDA одобрило ленватиниб для лечения пациентов с местно-</w:t>
      </w:r>
      <w:r w:rsidR="00971D1E">
        <w:t xml:space="preserve">распространенным </w:t>
      </w:r>
      <w:r>
        <w:t xml:space="preserve">или метастатическим, прогрессирующим, резистентным к лечению лечение радиоактивным йодом дифференцированного </w:t>
      </w:r>
      <w:r w:rsidR="005724A8">
        <w:t>РЩЖ</w:t>
      </w:r>
      <w:r>
        <w:t>. В мае 2015 года ЕМА также одобрил</w:t>
      </w:r>
      <w:r w:rsidR="00C345A5">
        <w:t>о</w:t>
      </w:r>
      <w:r>
        <w:t xml:space="preserve"> ленватиниб для лечения прогрессирующего, местно-распространенного или метастатического дифференцированного </w:t>
      </w:r>
      <w:r w:rsidR="005724A8">
        <w:t>РЩЖ</w:t>
      </w:r>
      <w:r>
        <w:t xml:space="preserve"> у взрослых, у которых заболевание прогрессировало, несмотря на стандартное лечение радиоактивным йодом. В последующие годы, после проведения клинических исследований, л</w:t>
      </w:r>
      <w:r w:rsidRPr="0010791D">
        <w:t>енватиниб</w:t>
      </w:r>
      <w:r>
        <w:t xml:space="preserve"> был зарегистрирован по </w:t>
      </w:r>
      <w:r>
        <w:lastRenderedPageBreak/>
        <w:t xml:space="preserve">показаниям </w:t>
      </w:r>
      <w:r w:rsidR="006C7E4D">
        <w:t>ГЦК</w:t>
      </w:r>
      <w:r>
        <w:t>,</w:t>
      </w:r>
      <w:r w:rsidRPr="00506F4C">
        <w:t xml:space="preserve"> почечно-клеточн</w:t>
      </w:r>
      <w:r>
        <w:t>ая</w:t>
      </w:r>
      <w:r w:rsidRPr="00506F4C">
        <w:t xml:space="preserve"> карцином</w:t>
      </w:r>
      <w:r>
        <w:t>а</w:t>
      </w:r>
      <w:r w:rsidRPr="00506F4C">
        <w:t xml:space="preserve"> </w:t>
      </w:r>
      <w:r>
        <w:t>и</w:t>
      </w:r>
      <w:r w:rsidR="005724A8">
        <w:t xml:space="preserve"> РЭ</w:t>
      </w:r>
      <w:r>
        <w:t>. В Р</w:t>
      </w:r>
      <w:r w:rsidR="005724A8">
        <w:t xml:space="preserve">оссийской </w:t>
      </w:r>
      <w:r>
        <w:t>Ф</w:t>
      </w:r>
      <w:r w:rsidR="005724A8">
        <w:t>едерации</w:t>
      </w:r>
      <w:r>
        <w:t xml:space="preserve"> ленватиниб </w:t>
      </w:r>
      <w:r w:rsidRPr="00687904">
        <w:t>был зарегистрирован 29.12.2015.</w:t>
      </w:r>
    </w:p>
    <w:p w14:paraId="3F557B53" w14:textId="08372EBD" w:rsidR="001554FE" w:rsidRDefault="001554FE" w:rsidP="000B0620">
      <w:pPr>
        <w:ind w:firstLine="709"/>
      </w:pPr>
      <w:r>
        <w:t>Эффективность лекарственных препаратов, содержащих л</w:t>
      </w:r>
      <w:r w:rsidRPr="0010791D">
        <w:t>енватиниб</w:t>
      </w:r>
      <w:r>
        <w:t xml:space="preserve">, в качестве средства для лечения </w:t>
      </w:r>
      <w:r w:rsidRPr="00506F4C">
        <w:t>множественных солидных опухолях</w:t>
      </w:r>
      <w:r>
        <w:t xml:space="preserve"> (</w:t>
      </w:r>
      <w:r w:rsidRPr="00506F4C">
        <w:t>дифференцированн</w:t>
      </w:r>
      <w:r>
        <w:t>ый</w:t>
      </w:r>
      <w:r w:rsidR="006C7E4D">
        <w:t xml:space="preserve"> РЩЖ</w:t>
      </w:r>
      <w:r w:rsidRPr="00506F4C">
        <w:t xml:space="preserve">, </w:t>
      </w:r>
      <w:r w:rsidR="006C7E4D">
        <w:t>ГЦК</w:t>
      </w:r>
      <w:r>
        <w:t>,</w:t>
      </w:r>
      <w:r w:rsidRPr="00506F4C">
        <w:t xml:space="preserve"> почечно-клеточн</w:t>
      </w:r>
      <w:r>
        <w:t>ая</w:t>
      </w:r>
      <w:r w:rsidRPr="00506F4C">
        <w:t xml:space="preserve"> карцином</w:t>
      </w:r>
      <w:r>
        <w:t xml:space="preserve">а, </w:t>
      </w:r>
      <w:r w:rsidR="006C7E4D">
        <w:t>РЭ</w:t>
      </w:r>
      <w:r>
        <w:t xml:space="preserve">) как </w:t>
      </w:r>
      <w:r w:rsidRPr="00506F4C">
        <w:t>в качестве монотерапии или в комбин</w:t>
      </w:r>
      <w:r>
        <w:t>ированной химиотерапии у взрослых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л</w:t>
      </w:r>
      <w:r w:rsidRPr="0010791D">
        <w:t>енватиниб</w:t>
      </w:r>
      <w:r>
        <w:t>а в составе комбинированной терапии солидных опухолей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4D68E463" w14:textId="77777777" w:rsidR="001554FE" w:rsidRDefault="001554FE" w:rsidP="000B0620">
      <w:pPr>
        <w:ind w:firstLine="709"/>
      </w:pPr>
      <w:r>
        <w:t>Фармакокинетические параметры ленватиниба изучались у здоровых взрослых добровольцев, у пациентов с печеночной недостаточностью, почечной недостаточностью и солидными опухолями.</w:t>
      </w:r>
    </w:p>
    <w:p w14:paraId="4C0E7D82" w14:textId="7E15D048" w:rsidR="001554FE" w:rsidRDefault="001554FE" w:rsidP="000B0620">
      <w:pPr>
        <w:ind w:firstLine="709"/>
      </w:pPr>
      <w:r>
        <w:t>Ленватиниб, как в таблетках, так и в капсулах, быстро всасывался после перорального приема, время достижения максимальной концентрации препарата в плазме (</w:t>
      </w:r>
      <w:r w:rsidRPr="00CB6DD7">
        <w:rPr>
          <w:lang w:val="en-US"/>
        </w:rPr>
        <w:t>T</w:t>
      </w:r>
      <w:r w:rsidRPr="007E6DF5">
        <w:rPr>
          <w:vertAlign w:val="subscript"/>
        </w:rPr>
        <w:t>max</w:t>
      </w:r>
      <w:r>
        <w:t xml:space="preserve">) </w:t>
      </w:r>
      <w:r w:rsidR="00971D1E">
        <w:t xml:space="preserve">составляло </w:t>
      </w:r>
      <w:r>
        <w:t xml:space="preserve">от 1 до </w:t>
      </w:r>
      <w:r w:rsidRPr="00087A74">
        <w:t xml:space="preserve">4 часов. У здоровых добровольцев после однократного приема 24 мг ленватиниба </w:t>
      </w:r>
      <w:r w:rsidRPr="00087A74">
        <w:rPr>
          <w:lang w:val="en-US"/>
        </w:rPr>
        <w:t>C</w:t>
      </w:r>
      <w:r w:rsidRPr="00423D8F">
        <w:rPr>
          <w:vertAlign w:val="subscript"/>
        </w:rPr>
        <w:t>max</w:t>
      </w:r>
      <w:r w:rsidRPr="00596530">
        <w:t xml:space="preserve"> составляла 325 (105) нг/мл, </w:t>
      </w:r>
      <w:r w:rsidRPr="000A48E6">
        <w:t>AUC</w:t>
      </w:r>
      <w:r w:rsidRPr="00087A74">
        <w:t xml:space="preserve"> </w:t>
      </w:r>
      <w:r w:rsidRPr="000A48E6">
        <w:rPr>
          <w:vertAlign w:val="subscript"/>
        </w:rPr>
        <w:t>0-t</w:t>
      </w:r>
      <w:r w:rsidRPr="000A48E6">
        <w:t xml:space="preserve"> </w:t>
      </w:r>
      <w:r w:rsidRPr="00087A74">
        <w:t>2990 (974) нг</w:t>
      </w:r>
      <w:r w:rsidR="006B2671" w:rsidRPr="00087A74">
        <w:t>×</w:t>
      </w:r>
      <w:r w:rsidRPr="00423D8F">
        <w:t xml:space="preserve">ч/мл, </w:t>
      </w:r>
      <w:r w:rsidRPr="000A48E6">
        <w:t>AUC</w:t>
      </w:r>
      <w:r w:rsidRPr="000A48E6">
        <w:rPr>
          <w:vertAlign w:val="subscript"/>
        </w:rPr>
        <w:t>0-</w:t>
      </w:r>
      <w:r w:rsidRPr="000A48E6">
        <w:rPr>
          <w:rFonts w:hint="eastAsia"/>
          <w:vertAlign w:val="subscript"/>
        </w:rPr>
        <w:t>∞</w:t>
      </w:r>
      <w:r w:rsidRPr="000A48E6">
        <w:t xml:space="preserve"> </w:t>
      </w:r>
      <w:r w:rsidRPr="00087A74">
        <w:t>3010 (974) нг</w:t>
      </w:r>
      <w:r w:rsidR="006B2671" w:rsidRPr="00087A74">
        <w:t>×</w:t>
      </w:r>
      <w:r w:rsidRPr="00423D8F">
        <w:t>ч/мл (исследование A001</w:t>
      </w:r>
      <w:r>
        <w:t xml:space="preserve">-005). При проведении популяционного фармакокинетического анализа </w:t>
      </w:r>
      <w:r w:rsidR="00971D1E">
        <w:t>установлено</w:t>
      </w:r>
      <w:r w:rsidR="005724A8">
        <w:t>,</w:t>
      </w:r>
      <w:r>
        <w:t xml:space="preserve"> что у здоровых добровольцев CL/F был на 15% выше по сравнению с пациентами со злокачественными солидными опухолями</w:t>
      </w:r>
      <w:r w:rsidR="005724A8">
        <w:t>.</w:t>
      </w:r>
      <w:r>
        <w:t xml:space="preserve"> </w:t>
      </w:r>
    </w:p>
    <w:p w14:paraId="62F1D25F" w14:textId="1C9B71D9" w:rsidR="001554FE" w:rsidRPr="00F41B1D" w:rsidRDefault="001554FE" w:rsidP="000B0620">
      <w:pPr>
        <w:ind w:firstLine="709"/>
      </w:pPr>
      <w:r w:rsidRPr="00F41B1D">
        <w:t xml:space="preserve">В условиях </w:t>
      </w:r>
      <w:r w:rsidRPr="001C22AB">
        <w:rPr>
          <w:i/>
          <w:iCs/>
        </w:rPr>
        <w:t>і</w:t>
      </w:r>
      <w:r w:rsidRPr="001C22AB">
        <w:rPr>
          <w:i/>
          <w:iCs/>
          <w:lang w:val="en-US"/>
        </w:rPr>
        <w:t>n</w:t>
      </w:r>
      <w:r w:rsidRPr="001C22AB">
        <w:rPr>
          <w:i/>
          <w:iCs/>
        </w:rPr>
        <w:t xml:space="preserve"> vitro</w:t>
      </w:r>
      <w:r w:rsidRPr="00F41B1D">
        <w:t xml:space="preserve"> ленватиниб продемонстрировал высокую степень связывания с белками плазмы крови человека, которая варьировала от 98 до 99% (0,3</w:t>
      </w:r>
      <w:r w:rsidR="005724A8" w:rsidRPr="005724A8">
        <w:t>‒</w:t>
      </w:r>
      <w:r w:rsidRPr="00F41B1D">
        <w:t xml:space="preserve">30 мкг/мл мезилата). Препарат связывался преимущественно с альбумином и в незначительной степени </w:t>
      </w:r>
      <w:r w:rsidR="005724A8" w:rsidRPr="005724A8">
        <w:t>‒</w:t>
      </w:r>
      <w:r w:rsidRPr="00F41B1D">
        <w:t xml:space="preserve"> с альфа-1-кислым гликопротеином и гамма-глобулином. Подобное связывание с белками плазмы (от 97% до 99%) без зависимости от концентраций ленватиниба (от 0,2 до 1,2 мкг/мл) наблюдалось в плазме </w:t>
      </w:r>
      <w:r>
        <w:t>при</w:t>
      </w:r>
      <w:r w:rsidRPr="00F41B1D">
        <w:t xml:space="preserve"> печеночной недостаточности, почечной недостаточности и </w:t>
      </w:r>
      <w:r>
        <w:t xml:space="preserve">у </w:t>
      </w:r>
      <w:r w:rsidRPr="00F41B1D">
        <w:t>здоровых субъектов.</w:t>
      </w:r>
    </w:p>
    <w:p w14:paraId="722060CC" w14:textId="39572D79" w:rsidR="001554FE" w:rsidRPr="00F41B1D" w:rsidRDefault="001554FE" w:rsidP="000B0620">
      <w:pPr>
        <w:ind w:firstLine="709"/>
      </w:pPr>
      <w:r w:rsidRPr="00F41B1D">
        <w:t xml:space="preserve">Исследования </w:t>
      </w:r>
      <w:r w:rsidRPr="009D30E1">
        <w:rPr>
          <w:i/>
          <w:iCs/>
        </w:rPr>
        <w:t>і</w:t>
      </w:r>
      <w:r w:rsidRPr="009D30E1">
        <w:rPr>
          <w:i/>
          <w:iCs/>
          <w:lang w:val="en-US"/>
        </w:rPr>
        <w:t>n</w:t>
      </w:r>
      <w:r w:rsidRPr="009D30E1">
        <w:rPr>
          <w:i/>
          <w:iCs/>
        </w:rPr>
        <w:t xml:space="preserve"> vitro</w:t>
      </w:r>
      <w:r w:rsidRPr="00F41B1D">
        <w:t xml:space="preserve"> показали, что ленватиниб является субстратом Р-гликопротеина и белка резистентности рака молочной железы (BCRP) и не является субстратом белков-переносчиков органических анионов и катионов (OAT1, ОАТЗ, OATP </w:t>
      </w:r>
      <w:r w:rsidR="005A3430">
        <w:t>1</w:t>
      </w:r>
      <w:r w:rsidRPr="00F41B1D">
        <w:t>B1, OATP1ВЗ, OCT1, OCT2, MATE1, MATE2-K) или белка-переносчика солей желчных кислот (</w:t>
      </w:r>
      <w:r w:rsidR="00A02BC4" w:rsidRPr="00BD5949">
        <w:t>B</w:t>
      </w:r>
      <w:r w:rsidR="00A02BC4" w:rsidRPr="00A02BC4">
        <w:t>ile salt export pump</w:t>
      </w:r>
      <w:r w:rsidR="00A02BC4">
        <w:t xml:space="preserve">, </w:t>
      </w:r>
      <w:r w:rsidRPr="00F41B1D">
        <w:t>BSEP).</w:t>
      </w:r>
    </w:p>
    <w:p w14:paraId="5F2E6D97" w14:textId="1BF1D574" w:rsidR="001554FE" w:rsidRDefault="001554FE" w:rsidP="000B0620">
      <w:pPr>
        <w:ind w:firstLine="709"/>
      </w:pPr>
      <w:r w:rsidRPr="000F12F5">
        <w:rPr>
          <w:i/>
          <w:iCs/>
        </w:rPr>
        <w:t>In vitro</w:t>
      </w:r>
      <w:r>
        <w:t xml:space="preserve"> было продемонстрировано, что цитохром Р450 3А4 является преобладающей (&gt;80%) изоформой, участвующей в Р450-опосредованн</w:t>
      </w:r>
      <w:r w:rsidR="00971D1E">
        <w:t>о</w:t>
      </w:r>
      <w:r>
        <w:t>м метаболизм</w:t>
      </w:r>
      <w:r w:rsidR="00F12DC4">
        <w:t>е</w:t>
      </w:r>
      <w:r>
        <w:t xml:space="preserve"> ленватиниба. Однако данные </w:t>
      </w:r>
      <w:r w:rsidRPr="002801F9">
        <w:rPr>
          <w:i/>
          <w:iCs/>
        </w:rPr>
        <w:t>in vivo</w:t>
      </w:r>
      <w:r>
        <w:t xml:space="preserve"> показали, что не-P450-опосредованные пути способствовали значительной части общего метаболизма ленватиниба. В исследованиях </w:t>
      </w:r>
      <w:r w:rsidRPr="002801F9">
        <w:rPr>
          <w:i/>
          <w:iCs/>
        </w:rPr>
        <w:t>in vivo</w:t>
      </w:r>
      <w:r>
        <w:rPr>
          <w:i/>
          <w:iCs/>
        </w:rPr>
        <w:t xml:space="preserve"> </w:t>
      </w:r>
      <w:r w:rsidR="00971D1E">
        <w:t>установлено</w:t>
      </w:r>
      <w:r>
        <w:rPr>
          <w:i/>
          <w:iCs/>
        </w:rPr>
        <w:t xml:space="preserve">, </w:t>
      </w:r>
      <w:r w:rsidRPr="0025443E">
        <w:t>что</w:t>
      </w:r>
      <w:r>
        <w:rPr>
          <w:i/>
          <w:iCs/>
        </w:rPr>
        <w:t xml:space="preserve"> </w:t>
      </w:r>
      <w:r>
        <w:t xml:space="preserve">индукторы и ингибиторы CYP 3A4 оказывали минимальное влияние на экспозицию ленватиниба. </w:t>
      </w:r>
    </w:p>
    <w:p w14:paraId="132F20E3" w14:textId="6140528D" w:rsidR="001554FE" w:rsidRDefault="001554FE" w:rsidP="000B0620">
      <w:pPr>
        <w:ind w:firstLine="709"/>
      </w:pPr>
      <w:r w:rsidRPr="00FD32A7">
        <w:t xml:space="preserve">Исследования баланса массы и экскреции ленватиниба показали, что препарат подвергается активному метаболизму в организме человека. Основные установленные пути метаболизма препарата у человека включают: окисление, опосредуемое альдегидоксидазой, деметилирование при участии изофермента </w:t>
      </w:r>
      <w:r w:rsidR="000A48E6">
        <w:rPr>
          <w:lang w:val="en-US"/>
        </w:rPr>
        <w:t>CYP</w:t>
      </w:r>
      <w:r w:rsidR="000A48E6" w:rsidRPr="000971D1">
        <w:t>3</w:t>
      </w:r>
      <w:r w:rsidR="000A48E6" w:rsidRPr="00FD32A7">
        <w:t>А4</w:t>
      </w:r>
      <w:r w:rsidRPr="00FD32A7">
        <w:t>, конъюгацию глутатион</w:t>
      </w:r>
      <w:r>
        <w:t>а</w:t>
      </w:r>
      <w:r w:rsidRPr="00FD32A7">
        <w:t xml:space="preserve"> с удалением О-арильной группы (хлорфенильного остатка) и комбинации</w:t>
      </w:r>
      <w:r>
        <w:t xml:space="preserve"> </w:t>
      </w:r>
      <w:r w:rsidRPr="00FD32A7">
        <w:t xml:space="preserve">этих механизмов с дальнейшей биотрансформацией (включая глюкуронирование, гидролиз глутатионовой группы, разрушение цистеинового остатка, а также внутримолекулярную перегруппировку конъюгатов цистеинилглицина и цистеина с последующей димеризацией). Данные пути </w:t>
      </w:r>
      <w:r w:rsidRPr="00FD32A7">
        <w:lastRenderedPageBreak/>
        <w:t xml:space="preserve">метаболизма </w:t>
      </w:r>
      <w:r w:rsidRPr="007703D3">
        <w:rPr>
          <w:i/>
          <w:iCs/>
        </w:rPr>
        <w:t>і</w:t>
      </w:r>
      <w:r w:rsidRPr="007703D3">
        <w:rPr>
          <w:i/>
          <w:iCs/>
          <w:lang w:val="en-US"/>
        </w:rPr>
        <w:t>n</w:t>
      </w:r>
      <w:r w:rsidRPr="007703D3">
        <w:rPr>
          <w:i/>
          <w:iCs/>
        </w:rPr>
        <w:t xml:space="preserve"> vivo</w:t>
      </w:r>
      <w:r w:rsidRPr="00FD32A7">
        <w:t xml:space="preserve"> согласуются с результатами исследований </w:t>
      </w:r>
      <w:r w:rsidRPr="007703D3">
        <w:rPr>
          <w:i/>
          <w:iCs/>
        </w:rPr>
        <w:t>in vitro</w:t>
      </w:r>
      <w:r w:rsidRPr="00FD32A7">
        <w:t xml:space="preserve"> с использованием биоматериалов человека</w:t>
      </w:r>
      <w:r>
        <w:t>.</w:t>
      </w:r>
      <w:r w:rsidRPr="00CC00EF">
        <w:t xml:space="preserve"> </w:t>
      </w:r>
      <w:r>
        <w:t xml:space="preserve">После достижения </w:t>
      </w:r>
      <w:r>
        <w:rPr>
          <w:lang w:val="en-US"/>
        </w:rPr>
        <w:t>C</w:t>
      </w:r>
      <w:r w:rsidRPr="007E6DF5">
        <w:rPr>
          <w:vertAlign w:val="subscript"/>
        </w:rPr>
        <w:t>max</w:t>
      </w:r>
      <w:r>
        <w:t>, концентрация ленватиниба в плазме крови снижается биэкспоненциально. Период полувыведения ленватиниба в фазе элиминации составляет примерно 28 часов.</w:t>
      </w:r>
    </w:p>
    <w:p w14:paraId="120D4E94" w14:textId="3F48228E" w:rsidR="001554FE" w:rsidRPr="00CC00EF" w:rsidRDefault="001554FE" w:rsidP="000B0620">
      <w:pPr>
        <w:ind w:firstLine="709"/>
      </w:pPr>
      <w:r>
        <w:t xml:space="preserve">После введения 6 пациентам с солидными опухолями радиоактивно-меченного ленватиниба, приблизительно 2/3 от введенной дозы выводилось через кишечник и 1/4 </w:t>
      </w:r>
      <w:r w:rsidR="00F12DC4" w:rsidRPr="00F12DC4">
        <w:t>‒</w:t>
      </w:r>
      <w:r>
        <w:t xml:space="preserve"> через почки. Преобладающим метаболитом в экскретах являлся метаболит M2 (5% от дозы), вторым по значимости являлся ленватиниб (2,5 %).</w:t>
      </w:r>
    </w:p>
    <w:p w14:paraId="238C3A64" w14:textId="1DB414DA" w:rsidR="001554FE" w:rsidRPr="00312637" w:rsidRDefault="001554FE" w:rsidP="000B0620">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прогрессирующим, резистентным к радиойоду дифференцированным </w:t>
      </w:r>
      <w:r w:rsidR="00F12DC4">
        <w:t>РЩЖ</w:t>
      </w:r>
      <w:r w:rsidRPr="00354EFF">
        <w:t xml:space="preserve"> </w:t>
      </w:r>
      <w:r w:rsidR="00E66293">
        <w:t>показ</w:t>
      </w:r>
      <w:r w:rsidR="00E66293" w:rsidRPr="00354EFF">
        <w:t>ан</w:t>
      </w:r>
      <w:r w:rsidR="00E66293">
        <w:t>а</w:t>
      </w:r>
      <w:r w:rsidR="00E66293" w:rsidRPr="00354EFF">
        <w:t xml:space="preserve"> </w:t>
      </w:r>
      <w:r w:rsidR="00E66293">
        <w:t>в</w:t>
      </w:r>
      <w:r w:rsidRPr="00354EFF">
        <w:t xml:space="preserve"> одном</w:t>
      </w:r>
      <w:r>
        <w:t xml:space="preserve"> </w:t>
      </w:r>
      <w:r w:rsidRPr="00354EFF">
        <w:t xml:space="preserve">ключевое исследование </w:t>
      </w:r>
      <w:r w:rsidR="006806F4">
        <w:rPr>
          <w:lang w:val="en-US"/>
        </w:rPr>
        <w:t>III</w:t>
      </w:r>
      <w:r w:rsidR="006806F4" w:rsidRPr="00354EFF">
        <w:t xml:space="preserve"> </w:t>
      </w:r>
      <w:r w:rsidRPr="00354EFF">
        <w:t>фазы E7080-G000-303 (</w:t>
      </w:r>
      <w:r w:rsidRPr="00CD07EA">
        <w:t>ClinicalTrials.gov Identifier: NCT01321554</w:t>
      </w:r>
      <w:r w:rsidRPr="00354EFF">
        <w:t xml:space="preserve">, исследование </w:t>
      </w:r>
      <w:r w:rsidRPr="003E6BAA">
        <w:t>SELECT</w:t>
      </w:r>
      <w:r w:rsidRPr="00354EFF">
        <w:t>).</w:t>
      </w:r>
    </w:p>
    <w:p w14:paraId="55A8D1C3" w14:textId="311B0B3A" w:rsidR="001554FE" w:rsidRDefault="005876CC" w:rsidP="000B0620">
      <w:pPr>
        <w:ind w:firstLine="709"/>
      </w:pPr>
      <w:r>
        <w:t>М</w:t>
      </w:r>
      <w:r w:rsidR="001554FE" w:rsidRPr="003E6BAA">
        <w:t xml:space="preserve">едиана </w:t>
      </w:r>
      <w:r w:rsidR="003D1C3D">
        <w:t>ВБП</w:t>
      </w:r>
      <w:r w:rsidR="001554FE" w:rsidRPr="003E6BAA">
        <w:t xml:space="preserve"> составила 18,3 мес в группе ленватиниба и 3,6 мес в группе плацебо (отношение рисков прогрессирования или смерти 0,21; 99% </w:t>
      </w:r>
      <w:r w:rsidR="00F12DC4">
        <w:t xml:space="preserve">ДИ </w:t>
      </w:r>
      <w:r w:rsidR="001554FE" w:rsidRPr="003E6BAA">
        <w:t xml:space="preserve">0,14–0,31; </w:t>
      </w:r>
      <w:r w:rsidR="000B0620">
        <w:rPr>
          <w:lang w:val="en-US"/>
        </w:rPr>
        <w:t>p</w:t>
      </w:r>
      <w:r w:rsidR="001554FE" w:rsidRPr="003E6BAA">
        <w:t xml:space="preserve">&lt;0,001). Преимущество </w:t>
      </w:r>
      <w:r w:rsidR="003D1C3D">
        <w:t>ВБП</w:t>
      </w:r>
      <w:r w:rsidR="001554FE" w:rsidRPr="003E6BAA">
        <w:t>, связанное с ленватинибом, наблюдалось во всех заранее определенных подгруппах. Среднее время до первого снижения дозы составило 2,8 месяца. Среднее время объективного ответа составило 2,0 (95% ДИ: 1,9, 3,5) месяцев</w:t>
      </w:r>
      <w:r w:rsidR="00D5518D">
        <w:t>.</w:t>
      </w:r>
    </w:p>
    <w:p w14:paraId="488411F6" w14:textId="7D734D33" w:rsidR="001554FE" w:rsidRDefault="001554FE" w:rsidP="000B0620">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t>нерезектабельной ГЦК доказана в и</w:t>
      </w:r>
      <w:r w:rsidRPr="00AA676B">
        <w:t>сследовани</w:t>
      </w:r>
      <w:r>
        <w:t>и</w:t>
      </w:r>
      <w:r w:rsidRPr="00AA676B">
        <w:t xml:space="preserve"> </w:t>
      </w:r>
      <w:r>
        <w:t>REFLECT</w:t>
      </w:r>
      <w:r w:rsidRPr="00AA676B">
        <w:t xml:space="preserve"> </w:t>
      </w:r>
      <w:r>
        <w:t>(</w:t>
      </w:r>
      <w:r w:rsidRPr="00F77D2A">
        <w:rPr>
          <w:lang w:val="en-US"/>
        </w:rPr>
        <w:t>ClinicalTrials</w:t>
      </w:r>
      <w:r w:rsidRPr="00EB4298">
        <w:t>.</w:t>
      </w:r>
      <w:r w:rsidRPr="00F77D2A">
        <w:rPr>
          <w:lang w:val="en-US"/>
        </w:rPr>
        <w:t>gov</w:t>
      </w:r>
      <w:r w:rsidRPr="00EB4298">
        <w:t xml:space="preserve"> </w:t>
      </w:r>
      <w:r w:rsidRPr="00F77D2A">
        <w:rPr>
          <w:lang w:val="en-US"/>
        </w:rPr>
        <w:t>Identifier</w:t>
      </w:r>
      <w:r w:rsidRPr="00EB4298">
        <w:t xml:space="preserve">: </w:t>
      </w:r>
      <w:r w:rsidRPr="00F77D2A">
        <w:rPr>
          <w:lang w:val="en-US"/>
        </w:rPr>
        <w:t>NCT</w:t>
      </w:r>
      <w:r w:rsidRPr="00EB4298">
        <w:t>01761266</w:t>
      </w:r>
      <w:r>
        <w:t>)</w:t>
      </w:r>
      <w:r w:rsidRPr="00AA676B">
        <w:t xml:space="preserve">— </w:t>
      </w:r>
      <w:r>
        <w:t xml:space="preserve">регистрационном исследование </w:t>
      </w:r>
      <w:r w:rsidR="00F557DD">
        <w:rPr>
          <w:lang w:val="en-US"/>
        </w:rPr>
        <w:t>III</w:t>
      </w:r>
      <w:r>
        <w:t xml:space="preserve"> фазы.</w:t>
      </w:r>
    </w:p>
    <w:p w14:paraId="0DB1E855" w14:textId="332317A1" w:rsidR="001554FE" w:rsidRDefault="005876CC" w:rsidP="000B0620">
      <w:pPr>
        <w:ind w:firstLine="709"/>
        <w:rPr>
          <w:b/>
        </w:rPr>
      </w:pPr>
      <w:r>
        <w:t>Установлено</w:t>
      </w:r>
      <w:r w:rsidR="001554FE">
        <w:t xml:space="preserve">, что в обеих группах лечения в исследовании REFLECT медиана </w:t>
      </w:r>
      <w:r w:rsidR="00192114">
        <w:t>ОВ</w:t>
      </w:r>
      <w:r w:rsidR="001554FE">
        <w:t xml:space="preserve"> была примерно на 9 месяцев больше у субъектов, </w:t>
      </w:r>
      <w:r w:rsidR="00925501">
        <w:t xml:space="preserve">получавших </w:t>
      </w:r>
      <w:r w:rsidR="001554FE">
        <w:t xml:space="preserve">противораковую терапию после окончания исследования, чем у </w:t>
      </w:r>
      <w:r>
        <w:t>пациентов, прекративших терапию</w:t>
      </w:r>
      <w:r w:rsidR="001554FE">
        <w:t xml:space="preserve">. В группе ленватиниба медиана </w:t>
      </w:r>
      <w:r w:rsidR="0096588B">
        <w:t>ОВ</w:t>
      </w:r>
      <w:r w:rsidR="001554FE">
        <w:t xml:space="preserve"> составила 19,5 месяцев (95% ДИ: 15,7, 23,0) для субъектов, получавшие противораковую терапию после окончания исследования (43%) и 10,5 месяцев (95% ДИ: 8,6, 12,2) у </w:t>
      </w:r>
      <w:r>
        <w:t>пациентов, прекративших терапию</w:t>
      </w:r>
      <w:r w:rsidR="001554FE">
        <w:t xml:space="preserve">. В группе сорафениба медиана </w:t>
      </w:r>
      <w:r w:rsidR="0096588B">
        <w:t>ОВ</w:t>
      </w:r>
      <w:r w:rsidR="001554FE">
        <w:t xml:space="preserve"> составила 17,0 месяцев (95% ДИ: 14,2, 18,8) для субъектов, получивших противораковую терап</w:t>
      </w:r>
      <w:r w:rsidR="00D5518D">
        <w:t>ию после окончания исследования</w:t>
      </w:r>
      <w:r w:rsidR="001554FE">
        <w:t xml:space="preserve"> (51%) и 7,9 месяца (95% ДИ: 6,6, 9,7) у </w:t>
      </w:r>
      <w:r>
        <w:t>пациентов, прекративших терапию</w:t>
      </w:r>
      <w:r w:rsidR="001554FE">
        <w:t xml:space="preserve">. Средняя </w:t>
      </w:r>
      <w:r w:rsidR="0096588B">
        <w:t>ОВ</w:t>
      </w:r>
      <w:r w:rsidR="001554FE">
        <w:t xml:space="preserve"> была примерно на 2,5 месяца дольше в группе ленватиниба по сравнению с группой сорафениба в обеих подгруппах субъектов (с противораковой терапией после окончания исследования или без нее).</w:t>
      </w:r>
    </w:p>
    <w:p w14:paraId="7D2AAFCF" w14:textId="3EC5B22F" w:rsidR="001554FE" w:rsidRDefault="001554FE" w:rsidP="000B0620">
      <w:pPr>
        <w:ind w:firstLine="709"/>
      </w:pPr>
      <w:r w:rsidRPr="00D77518">
        <w:t xml:space="preserve">Эффективность ленватиниба в комбинации с пембролизумабом изучали в регистрационном исследовании </w:t>
      </w:r>
      <w:r w:rsidR="00817C84">
        <w:rPr>
          <w:lang w:val="en-US"/>
        </w:rPr>
        <w:t>III</w:t>
      </w:r>
      <w:r w:rsidRPr="00D77518">
        <w:t xml:space="preserve"> фазы у больных с </w:t>
      </w:r>
      <w:r w:rsidR="00140B11">
        <w:t>РЭ</w:t>
      </w:r>
      <w:r w:rsidRPr="00D77518">
        <w:t xml:space="preserve"> (MK-3475-775/E7080-G000-309, ClinicalTrials.gov Identifier: NCT03517449.). </w:t>
      </w:r>
    </w:p>
    <w:p w14:paraId="69A79B79" w14:textId="3859558F" w:rsidR="001554FE" w:rsidRDefault="001554FE" w:rsidP="000B0620">
      <w:pPr>
        <w:ind w:firstLine="709"/>
        <w:rPr>
          <w:b/>
        </w:rPr>
      </w:pPr>
      <w:r>
        <w:t>В ходе исследования было выяснено, что м</w:t>
      </w:r>
      <w:r w:rsidRPr="00B618F3">
        <w:t xml:space="preserve">едиана </w:t>
      </w:r>
      <w:r w:rsidR="0096588B">
        <w:t>ОВ</w:t>
      </w:r>
      <w:r w:rsidRPr="00B618F3">
        <w:t xml:space="preserve"> была выше при применении ленватиниба в сочетании с пембролизумабом, чем </w:t>
      </w:r>
      <w:r>
        <w:t>в группе сравнения</w:t>
      </w:r>
      <w:r w:rsidRPr="00B618F3">
        <w:t xml:space="preserve"> (популяция </w:t>
      </w:r>
      <w:r>
        <w:rPr>
          <w:lang w:val="en-US"/>
        </w:rPr>
        <w:t>ITT</w:t>
      </w:r>
      <w:r w:rsidRPr="00B618F3">
        <w:t>: 17,4 против 12,0 месяцев; отношение риска смерти 0,68; 95% ДИ от 0,56 до 0,84; P&lt;0,001; в целом: 18,3 против 11,4 месяцев; отношение рисков 0,62; 95% ДИ от 0,51 до 0,75; P&lt;0,001)</w:t>
      </w:r>
      <w:r>
        <w:t xml:space="preserve">. В общей сложности 121/411 (29%) пациентов, получавших ленватиниб и пембролизумаб, получили продолжение исследуемой терапии после прогрессирования заболевания, </w:t>
      </w:r>
      <w:r w:rsidR="005876CC">
        <w:t xml:space="preserve">что определялось </w:t>
      </w:r>
      <w:r>
        <w:t xml:space="preserve">по RECIST. Средняя продолжительность постпрогрессирующей терапии составила 2,8 месяца. Оценка состояния опухоли проводилась каждые 8 недель. </w:t>
      </w:r>
      <w:r w:rsidRPr="00B73AB9">
        <w:t xml:space="preserve">Комбинация ленватиниба и пембролизумаба привела к значительно более длительному выживанию без прогрессирования заболевания и </w:t>
      </w:r>
      <w:r w:rsidR="00B10A70">
        <w:t>ОВ</w:t>
      </w:r>
      <w:r w:rsidRPr="00B73AB9">
        <w:t xml:space="preserve"> по сравнению с</w:t>
      </w:r>
      <w:r>
        <w:t xml:space="preserve">о стандартной </w:t>
      </w:r>
      <w:r w:rsidRPr="00B73AB9">
        <w:t>химиотерапией у пациенто</w:t>
      </w:r>
      <w:r>
        <w:t>в</w:t>
      </w:r>
      <w:r w:rsidRPr="00B73AB9">
        <w:t xml:space="preserve"> с распространенным </w:t>
      </w:r>
      <w:r w:rsidR="00140B11">
        <w:t>РЭ</w:t>
      </w:r>
      <w:r>
        <w:t>.</w:t>
      </w:r>
    </w:p>
    <w:p w14:paraId="5E0453C9" w14:textId="6BD394BA" w:rsidR="001554FE" w:rsidRDefault="001554FE" w:rsidP="000B0620">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rsidR="00140B11">
        <w:t xml:space="preserve">ПКР </w:t>
      </w:r>
      <w:r>
        <w:t xml:space="preserve">без предшествующей системной терапии доказана </w:t>
      </w:r>
      <w:r w:rsidR="005876CC">
        <w:t xml:space="preserve">в </w:t>
      </w:r>
      <w:r>
        <w:t xml:space="preserve">регистрационном исследовании </w:t>
      </w:r>
      <w:r w:rsidR="0007225C">
        <w:rPr>
          <w:lang w:val="en-US"/>
        </w:rPr>
        <w:t>III</w:t>
      </w:r>
      <w:r w:rsidR="0007225C">
        <w:t xml:space="preserve"> </w:t>
      </w:r>
      <w:r>
        <w:t xml:space="preserve">фазы (E7080, </w:t>
      </w:r>
      <w:r w:rsidRPr="00843860">
        <w:rPr>
          <w:lang w:val="en-US"/>
        </w:rPr>
        <w:t>CLEAR</w:t>
      </w:r>
      <w:r>
        <w:t xml:space="preserve">. </w:t>
      </w:r>
      <w:r w:rsidRPr="00843860">
        <w:rPr>
          <w:lang w:val="en-US"/>
        </w:rPr>
        <w:t>ClinicalTrials</w:t>
      </w:r>
      <w:r w:rsidRPr="00593C83">
        <w:t>.</w:t>
      </w:r>
      <w:r w:rsidRPr="00843860">
        <w:rPr>
          <w:lang w:val="en-US"/>
        </w:rPr>
        <w:t>gov</w:t>
      </w:r>
      <w:r w:rsidRPr="00593C83">
        <w:t xml:space="preserve"> </w:t>
      </w:r>
      <w:r w:rsidRPr="00843860">
        <w:rPr>
          <w:lang w:val="en-US"/>
        </w:rPr>
        <w:t>Identifier</w:t>
      </w:r>
      <w:r w:rsidRPr="00593C83">
        <w:t xml:space="preserve">: </w:t>
      </w:r>
      <w:r w:rsidRPr="00843860">
        <w:rPr>
          <w:lang w:val="en-US"/>
        </w:rPr>
        <w:t>NCT</w:t>
      </w:r>
      <w:r w:rsidRPr="00593C83">
        <w:t>02811861</w:t>
      </w:r>
      <w:r>
        <w:t>)</w:t>
      </w:r>
      <w:r w:rsidRPr="00593C83">
        <w:t xml:space="preserve">. </w:t>
      </w:r>
    </w:p>
    <w:p w14:paraId="670F3643" w14:textId="1B1BB3E1" w:rsidR="001554FE" w:rsidRDefault="003D1C3D" w:rsidP="000B0620">
      <w:pPr>
        <w:ind w:firstLine="709"/>
      </w:pPr>
      <w:r w:rsidRPr="00E670E6">
        <w:lastRenderedPageBreak/>
        <w:t>ВБП</w:t>
      </w:r>
      <w:r w:rsidR="001554FE">
        <w:t xml:space="preserve"> заболевания была выше в группе ленватиниба плюс пембролизумаб, чем в группе сунитиниба (медиана 23,9 и 9,2 месяца; отношение рисков прогрессирования заболевания или смерти 0,39; 95% ДИ 0,32–0,49; </w:t>
      </w:r>
      <w:r w:rsidR="005876CC">
        <w:rPr>
          <w:lang w:val="en-US"/>
        </w:rPr>
        <w:t>p</w:t>
      </w:r>
      <w:r w:rsidR="001554FE">
        <w:t xml:space="preserve">&lt;0,001), дольше при приеме ленватиниба плюс эверолимус, чем при приеме сунитиниба (медиана 14,7 и 9,2 месяца; отношение рисков 0,65; 95% ДИ 0,53–0,80; </w:t>
      </w:r>
      <w:r w:rsidR="005876CC">
        <w:rPr>
          <w:lang w:val="en-US"/>
        </w:rPr>
        <w:t>p</w:t>
      </w:r>
      <w:r w:rsidR="001554FE">
        <w:t xml:space="preserve">&lt;0,001). </w:t>
      </w:r>
      <w:r>
        <w:t>ОВ</w:t>
      </w:r>
      <w:r w:rsidR="001554FE">
        <w:t xml:space="preserve"> была выше в группе ленватиниба плюс пембролизумаб, чем в группе сунитиниба (отношение рисков для смерти 0,66; 95% ДИ от 0,49 до 0,88; </w:t>
      </w:r>
      <w:r w:rsidR="005876CC">
        <w:rPr>
          <w:lang w:val="en-US"/>
        </w:rPr>
        <w:t>p</w:t>
      </w:r>
      <w:r w:rsidR="005876CC">
        <w:t xml:space="preserve"> </w:t>
      </w:r>
      <w:r w:rsidR="001554FE">
        <w:t xml:space="preserve">= 0,005), но не выше в группе ленватиниба плюс эверолимус по сравнению с сунитинибом (отношение рисков 1,15; 95% ДИ от 0,88 до 1,50; </w:t>
      </w:r>
      <w:r w:rsidR="005876CC">
        <w:rPr>
          <w:lang w:val="en-US"/>
        </w:rPr>
        <w:t>p</w:t>
      </w:r>
      <w:r w:rsidR="005876CC">
        <w:t xml:space="preserve"> </w:t>
      </w:r>
      <w:r w:rsidR="001554FE">
        <w:t xml:space="preserve">= 0,30). Таким образом, комбинация ленватиниба и пембролизумаба ассоциировалась со значительно большей </w:t>
      </w:r>
      <w:r w:rsidR="00140B11">
        <w:t>ВБП</w:t>
      </w:r>
      <w:r w:rsidR="001554FE">
        <w:t xml:space="preserve"> и </w:t>
      </w:r>
      <w:r>
        <w:t>ОВ</w:t>
      </w:r>
      <w:r w:rsidR="001554FE">
        <w:t>, чем лечени</w:t>
      </w:r>
      <w:r w:rsidR="005876CC">
        <w:t>е</w:t>
      </w:r>
      <w:r w:rsidR="001554FE">
        <w:t xml:space="preserve"> сунитинибом.</w:t>
      </w:r>
    </w:p>
    <w:p w14:paraId="4DA185ED" w14:textId="77777777" w:rsidR="001554FE" w:rsidRDefault="001554FE" w:rsidP="000B0620">
      <w:pPr>
        <w:ind w:firstLine="709"/>
      </w:pPr>
      <w:r>
        <w:t xml:space="preserve">При изучении безопасности был сделан вывод, что лечение ленватинибом сопровождается целым рядом побочных реакций. </w:t>
      </w:r>
    </w:p>
    <w:p w14:paraId="489BA9EB" w14:textId="587234FC" w:rsidR="001554FE" w:rsidRDefault="001554FE" w:rsidP="000B0620">
      <w:pPr>
        <w:ind w:firstLine="709"/>
      </w:pPr>
      <w:r>
        <w:t>По результатам клинических исследований у пациентов с РЩЖ</w:t>
      </w:r>
      <w:r w:rsidRPr="00EB52C8">
        <w:t xml:space="preserve"> </w:t>
      </w:r>
      <w:r>
        <w:t>н</w:t>
      </w:r>
      <w:r w:rsidRPr="00EB52C8">
        <w:t>аиболее серьезными побочными реакциями</w:t>
      </w:r>
      <w:r>
        <w:t xml:space="preserve"> </w:t>
      </w:r>
      <w:r w:rsidRPr="00EB52C8">
        <w:t>были почечная недостаточность (2,4%)</w:t>
      </w:r>
      <w:r>
        <w:t xml:space="preserve">, </w:t>
      </w:r>
      <w:r w:rsidRPr="00EB52C8">
        <w:t>артериальные тромбоэмболии (3,9%), сердечная недостаточность (0,7%), внутричерепные опухолевые кровоизлияния (0,7%),</w:t>
      </w:r>
      <w:r>
        <w:t xml:space="preserve"> </w:t>
      </w:r>
      <w:r w:rsidRPr="00EB52C8">
        <w:t>печеночная недостаточность (0,2%) и артериальные тромбоэмболии (</w:t>
      </w:r>
      <w:r w:rsidR="00691734">
        <w:t>нарушения мозгового кровообращения)</w:t>
      </w:r>
      <w:r w:rsidRPr="00EB52C8">
        <w:t xml:space="preserve"> (1,1%), транзиторная ишемическая атака (0,7%) и инфаркт миокарда (0,9%).</w:t>
      </w:r>
    </w:p>
    <w:p w14:paraId="16D26787" w14:textId="230D7EE3" w:rsidR="001554FE" w:rsidRDefault="001554FE" w:rsidP="000B0620">
      <w:pPr>
        <w:ind w:firstLine="709"/>
      </w:pPr>
      <w:r>
        <w:t>По результатам клинических исследований у пациентов с ГЦР н</w:t>
      </w:r>
      <w:r w:rsidRPr="00EB52C8">
        <w:t xml:space="preserve">аиболее </w:t>
      </w:r>
      <w:r>
        <w:t xml:space="preserve">серьезными побочными реакциями были печеночная недостаточность (2,8%), печеночная энцефалопатия (4,6%), кровотечение из варикозно расширенных вен пищевода (1,4%), кровоизлияние в мозг (0,6%), артериальное тромбоэмболические осложнения (2,0%), включая инфаркт миокарда (0,8%), инфаркт головного мозга (0,4%) и нарушения мозгового кровообращения (0,4%), явления почечной недостаточности (1,4%). </w:t>
      </w:r>
      <w:r w:rsidR="00691734">
        <w:t>Ч</w:t>
      </w:r>
      <w:r>
        <w:t>астота снижения количества нейтрофилов</w:t>
      </w:r>
      <w:r w:rsidR="00691734">
        <w:t>,</w:t>
      </w:r>
      <w:r w:rsidR="00691734" w:rsidRPr="00691734">
        <w:t xml:space="preserve"> </w:t>
      </w:r>
      <w:r w:rsidR="00691734">
        <w:t>которое не было связано с инфекцией, сепсисом или бактериальным перитонитом,</w:t>
      </w:r>
      <w:r>
        <w:t xml:space="preserve"> у пациентов с ГЦР (8,7%</w:t>
      </w:r>
      <w:r w:rsidR="00691734">
        <w:t>)</w:t>
      </w:r>
      <w:r>
        <w:t xml:space="preserve"> при приеме ленватиниба</w:t>
      </w:r>
      <w:r w:rsidR="00691734">
        <w:t xml:space="preserve"> была выше</w:t>
      </w:r>
      <w:r>
        <w:t>, чем при других типах опухолей, не являющихся ГЦР (1,4%).</w:t>
      </w:r>
    </w:p>
    <w:p w14:paraId="20DA60A4" w14:textId="33490BC5" w:rsidR="001554FE" w:rsidRDefault="001554FE" w:rsidP="000B0620">
      <w:pPr>
        <w:ind w:firstLine="709"/>
      </w:pPr>
      <w:r>
        <w:t>По результатам клинических исследований у пациентов с РЭ</w:t>
      </w:r>
      <w:r w:rsidRPr="00EB52C8">
        <w:t xml:space="preserve"> </w:t>
      </w:r>
      <w:r>
        <w:t>н</w:t>
      </w:r>
      <w:r w:rsidRPr="00EB52C8">
        <w:t xml:space="preserve">аиболее серьезными </w:t>
      </w:r>
      <w:r>
        <w:t>частыми</w:t>
      </w:r>
      <w:r w:rsidRPr="00EB52C8">
        <w:t xml:space="preserve"> побочными реакциями</w:t>
      </w:r>
      <w:r>
        <w:t xml:space="preserve"> </w:t>
      </w:r>
      <w:r w:rsidRPr="00EB52C8">
        <w:t>были</w:t>
      </w:r>
      <w:r>
        <w:t xml:space="preserve"> (возникающими у ≥5% пациентов) артериальная гипертензия (37,2%), снижение массы тела (9,1%), диарея (8,1%), повышение липазы (7,7%), снижение аппетит</w:t>
      </w:r>
      <w:r w:rsidR="00C345A5">
        <w:t>а</w:t>
      </w:r>
      <w:r>
        <w:t xml:space="preserve"> (6,4%), астения (6%), утомляемость (6%), гипокалиемия (5,7%), анемия (5,3%) и протеинурия (5,1%).</w:t>
      </w:r>
    </w:p>
    <w:p w14:paraId="74BA28B3" w14:textId="0A65B959" w:rsidR="001554FE" w:rsidRDefault="001554FE" w:rsidP="000B0620">
      <w:pPr>
        <w:ind w:firstLine="709"/>
        <w:rPr>
          <w:lang w:eastAsia="ru-RU"/>
        </w:rPr>
      </w:pPr>
      <w:r w:rsidRPr="00FC4968">
        <w:t xml:space="preserve">По результатам клинических исследований у пациентов с ПКР </w:t>
      </w:r>
      <w:r>
        <w:t>наиболее с</w:t>
      </w:r>
      <w:r w:rsidRPr="00FC4968">
        <w:rPr>
          <w:lang w:eastAsia="ru-RU"/>
        </w:rPr>
        <w:t>ерьезными побочными реакциями у ≥2% пациентов были геморрагические явления (5%), диарея (4%),</w:t>
      </w:r>
      <w:r>
        <w:rPr>
          <w:lang w:eastAsia="ru-RU"/>
        </w:rPr>
        <w:t xml:space="preserve"> </w:t>
      </w:r>
      <w:r w:rsidRPr="00FC4968">
        <w:rPr>
          <w:lang w:eastAsia="ru-RU"/>
        </w:rPr>
        <w:t>артериальная гипертензия (3%), инфаркт миокарда (3%), пневмонит (3%), рвота (3%), острая почечная недостаточность</w:t>
      </w:r>
      <w:r>
        <w:rPr>
          <w:lang w:eastAsia="ru-RU"/>
        </w:rPr>
        <w:t xml:space="preserve"> </w:t>
      </w:r>
      <w:r w:rsidRPr="00FC4968">
        <w:rPr>
          <w:lang w:eastAsia="ru-RU"/>
        </w:rPr>
        <w:t>(2%), надпочечниковая недостаточность (2%), одышка (2%) и пневмония (2%).</w:t>
      </w:r>
      <w:r w:rsidR="00140B11">
        <w:rPr>
          <w:lang w:eastAsia="ru-RU"/>
        </w:rPr>
        <w:t xml:space="preserve"> </w:t>
      </w:r>
      <w:r w:rsidRPr="00FC4968">
        <w:rPr>
          <w:lang w:eastAsia="ru-RU"/>
        </w:rPr>
        <w:t xml:space="preserve">Побочные реакции со смертельным исходом наблюдались у 4,3% пациентов, получавших </w:t>
      </w:r>
      <w:r w:rsidRPr="00FC4968">
        <w:t>ленватиниб</w:t>
      </w:r>
      <w:r>
        <w:t xml:space="preserve"> </w:t>
      </w:r>
      <w:r w:rsidRPr="00FC4968">
        <w:rPr>
          <w:lang w:eastAsia="ru-RU"/>
        </w:rPr>
        <w:t>и пембролизумаб</w:t>
      </w:r>
      <w:r>
        <w:rPr>
          <w:lang w:eastAsia="ru-RU"/>
        </w:rPr>
        <w:t xml:space="preserve">, это были </w:t>
      </w:r>
      <w:r w:rsidR="00691734">
        <w:rPr>
          <w:lang w:eastAsia="ru-RU"/>
        </w:rPr>
        <w:t>остановка сердца и дыхания</w:t>
      </w:r>
      <w:r w:rsidRPr="00FC4968">
        <w:rPr>
          <w:lang w:eastAsia="ru-RU"/>
        </w:rPr>
        <w:t xml:space="preserve"> (0,9%), сепсис (0,9%) и по одному случаю (0,3%) каждого из</w:t>
      </w:r>
      <w:r w:rsidR="00D5518D">
        <w:rPr>
          <w:lang w:eastAsia="ru-RU"/>
        </w:rPr>
        <w:t xml:space="preserve"> следующих:</w:t>
      </w:r>
      <w:r>
        <w:rPr>
          <w:lang w:eastAsia="ru-RU"/>
        </w:rPr>
        <w:t xml:space="preserve"> </w:t>
      </w:r>
      <w:r w:rsidRPr="00FC4968">
        <w:rPr>
          <w:lang w:eastAsia="ru-RU"/>
        </w:rPr>
        <w:t>аритмия, аутоиммунный гепатит, одышка, гипертонический криз, повышение уровня креатинина в крови,</w:t>
      </w:r>
      <w:r>
        <w:rPr>
          <w:lang w:eastAsia="ru-RU"/>
        </w:rPr>
        <w:t xml:space="preserve"> </w:t>
      </w:r>
      <w:r w:rsidRPr="00FC4968">
        <w:rPr>
          <w:lang w:eastAsia="ru-RU"/>
        </w:rPr>
        <w:t xml:space="preserve">синдром полиорганной </w:t>
      </w:r>
      <w:r w:rsidR="00691734">
        <w:rPr>
          <w:lang w:eastAsia="ru-RU"/>
        </w:rPr>
        <w:t>недостаточности</w:t>
      </w:r>
      <w:r w:rsidRPr="00FC4968">
        <w:rPr>
          <w:lang w:eastAsia="ru-RU"/>
        </w:rPr>
        <w:t>, миастенический синдром, миокардит, нефрит,</w:t>
      </w:r>
      <w:r>
        <w:rPr>
          <w:lang w:eastAsia="ru-RU"/>
        </w:rPr>
        <w:t xml:space="preserve"> </w:t>
      </w:r>
      <w:r w:rsidRPr="00FC4968">
        <w:rPr>
          <w:lang w:eastAsia="ru-RU"/>
        </w:rPr>
        <w:t>пневмонит, разрыв аневризмы, сепсис и субарахноидальное кровоизлияние.</w:t>
      </w:r>
    </w:p>
    <w:p w14:paraId="2619CDAC" w14:textId="5F9246A9" w:rsidR="001554FE" w:rsidRPr="00D5518D" w:rsidRDefault="001554FE" w:rsidP="000B0620">
      <w:pPr>
        <w:ind w:firstLine="709"/>
      </w:pPr>
      <w:r>
        <w:t xml:space="preserve">Ленватиниб является препаратом с управляемым профилем безопасности. </w:t>
      </w:r>
      <w:r w:rsidR="006C4EB9">
        <w:t>На случай развития</w:t>
      </w:r>
      <w:r>
        <w:t xml:space="preserve"> побочных реакций разработаны схемы </w:t>
      </w:r>
      <w:r w:rsidR="006C4EB9">
        <w:t>к</w:t>
      </w:r>
      <w:r w:rsidR="006C4EB9" w:rsidRPr="00F95846">
        <w:t>оррекци</w:t>
      </w:r>
      <w:r w:rsidR="006C4EB9">
        <w:t>и</w:t>
      </w:r>
      <w:r w:rsidR="006C4EB9" w:rsidRPr="00F95846">
        <w:t xml:space="preserve"> </w:t>
      </w:r>
      <w:r w:rsidRPr="00F95846">
        <w:t>дозы при нежелательных реакциях</w:t>
      </w:r>
      <w:r>
        <w:t xml:space="preserve"> для всех показаний препарата, а также разработаны режимы модификации дозы при различных состояниях (артериальная гипертензия, диарея, сердечная недос</w:t>
      </w:r>
      <w:r w:rsidR="00D5518D">
        <w:t>таточность, гепатотоксичность).</w:t>
      </w:r>
    </w:p>
    <w:p w14:paraId="0F508ADE" w14:textId="77777777" w:rsidR="00200EBA" w:rsidRDefault="00200EBA" w:rsidP="00200EBA">
      <w:pPr>
        <w:pStyle w:val="2"/>
        <w:spacing w:line="240" w:lineRule="auto"/>
        <w:rPr>
          <w:color w:val="000000" w:themeColor="text1"/>
          <w:szCs w:val="24"/>
        </w:rPr>
      </w:pPr>
      <w:bookmarkStart w:id="175" w:name="_Toc126059743"/>
      <w:bookmarkEnd w:id="174"/>
      <w:r w:rsidRPr="005E6358">
        <w:rPr>
          <w:color w:val="000000" w:themeColor="text1"/>
          <w:szCs w:val="24"/>
        </w:rPr>
        <w:lastRenderedPageBreak/>
        <w:t>4.1. Фармакокинетика у человека</w:t>
      </w:r>
      <w:bookmarkEnd w:id="175"/>
    </w:p>
    <w:p w14:paraId="1FEC32ED" w14:textId="77777777" w:rsidR="00200EBA" w:rsidRDefault="00200EBA" w:rsidP="00200EBA">
      <w:pPr>
        <w:ind w:firstLine="709"/>
      </w:pPr>
      <w:bookmarkStart w:id="176" w:name="_Hlk118204976"/>
      <w:r>
        <w:t>Фармакокинетические параметры ленватиниба изучались у здоровых взрослых добровольцев, у пациентов с печеночной недостаточностью, почечной недостаточностью и солидными опухолями.</w:t>
      </w:r>
    </w:p>
    <w:p w14:paraId="436A847D" w14:textId="04A0C560" w:rsidR="00200EBA" w:rsidRPr="00D5518D" w:rsidRDefault="00D5518D" w:rsidP="00D5518D">
      <w:pPr>
        <w:pStyle w:val="3"/>
        <w:spacing w:after="240"/>
        <w:rPr>
          <w:rFonts w:ascii="Times New Roman" w:hAnsi="Times New Roman"/>
          <w:bCs w:val="0"/>
          <w:szCs w:val="24"/>
        </w:rPr>
      </w:pPr>
      <w:bookmarkStart w:id="177" w:name="_Toc126059744"/>
      <w:r>
        <w:rPr>
          <w:rFonts w:ascii="Times New Roman" w:hAnsi="Times New Roman"/>
          <w:bCs w:val="0"/>
          <w:szCs w:val="24"/>
        </w:rPr>
        <w:t xml:space="preserve">4.1.1. </w:t>
      </w:r>
      <w:r w:rsidR="00200EBA" w:rsidRPr="00D5518D">
        <w:rPr>
          <w:rFonts w:ascii="Times New Roman" w:hAnsi="Times New Roman"/>
          <w:bCs w:val="0"/>
          <w:szCs w:val="24"/>
        </w:rPr>
        <w:t>Всасывание</w:t>
      </w:r>
      <w:bookmarkEnd w:id="177"/>
    </w:p>
    <w:p w14:paraId="686999CE" w14:textId="2523D1A9" w:rsidR="00200EBA" w:rsidRDefault="00200EBA" w:rsidP="00200EBA">
      <w:pPr>
        <w:ind w:firstLine="709"/>
      </w:pPr>
      <w:r w:rsidRPr="00087A74">
        <w:t>Ленватиниб, как в таблетках, так и в капсулах, быстро всасывался после перорального приема, время достижения максимальной концентрации препарата в плазме (</w:t>
      </w:r>
      <w:r w:rsidRPr="00087A74">
        <w:rPr>
          <w:lang w:val="en-US"/>
        </w:rPr>
        <w:t>T</w:t>
      </w:r>
      <w:r w:rsidRPr="00423D8F">
        <w:rPr>
          <w:vertAlign w:val="subscript"/>
        </w:rPr>
        <w:t>max</w:t>
      </w:r>
      <w:r w:rsidRPr="006931A4">
        <w:t xml:space="preserve">) от 1 до 4 часов. У здоровых добровольцев после однократного приема 24 мг ленватиниба </w:t>
      </w:r>
      <w:r w:rsidRPr="006931A4">
        <w:rPr>
          <w:lang w:val="en-US"/>
        </w:rPr>
        <w:t>C</w:t>
      </w:r>
      <w:r w:rsidRPr="00925501">
        <w:rPr>
          <w:vertAlign w:val="subscript"/>
        </w:rPr>
        <w:t>max</w:t>
      </w:r>
      <w:r w:rsidRPr="00925501">
        <w:t xml:space="preserve"> составляла 325 (105) нг/мл, </w:t>
      </w:r>
      <w:r w:rsidRPr="006C4EB9">
        <w:t>AUC</w:t>
      </w:r>
      <w:r w:rsidRPr="00087A74">
        <w:t xml:space="preserve"> </w:t>
      </w:r>
      <w:r w:rsidRPr="006C4EB9">
        <w:rPr>
          <w:vertAlign w:val="subscript"/>
        </w:rPr>
        <w:t>0-t</w:t>
      </w:r>
      <w:r w:rsidRPr="006C4EB9">
        <w:t xml:space="preserve"> </w:t>
      </w:r>
      <w:r w:rsidRPr="00087A74">
        <w:t>2990 (974) нг</w:t>
      </w:r>
      <w:r w:rsidR="006C4EB9" w:rsidRPr="00423D8F">
        <w:t>*</w:t>
      </w:r>
      <w:r w:rsidRPr="006931A4">
        <w:t xml:space="preserve">ч/мл, </w:t>
      </w:r>
      <w:r w:rsidRPr="006C4EB9">
        <w:t>AUC</w:t>
      </w:r>
      <w:r w:rsidRPr="006C4EB9">
        <w:rPr>
          <w:vertAlign w:val="subscript"/>
        </w:rPr>
        <w:t>0-</w:t>
      </w:r>
      <w:r w:rsidRPr="006C4EB9">
        <w:rPr>
          <w:rFonts w:hint="eastAsia"/>
          <w:vertAlign w:val="subscript"/>
        </w:rPr>
        <w:t>∞</w:t>
      </w:r>
      <w:r w:rsidRPr="006C4EB9">
        <w:t xml:space="preserve"> </w:t>
      </w:r>
      <w:r w:rsidRPr="00087A74">
        <w:t xml:space="preserve">3010 (974) </w:t>
      </w:r>
      <w:r w:rsidRPr="00423D8F">
        <w:t>нг</w:t>
      </w:r>
      <w:r w:rsidR="006C4EB9" w:rsidRPr="006931A4">
        <w:t>*</w:t>
      </w:r>
      <w:r w:rsidRPr="00925501">
        <w:t xml:space="preserve">ч/мл (исследование A001-005) </w:t>
      </w:r>
      <w:r w:rsidRPr="00087A74">
        <w:fldChar w:fldCharType="begin"/>
      </w:r>
      <w:r w:rsidRPr="006C4EB9">
        <w:instrText xml:space="preserve"> ADDIN ZOTERO_ITEM CSL_CITATION {"citationID":"aiDhyyOh","properties":{"formattedCitation":"[1]","plainCitation":"[1]","noteIndex":0},"citationItems":[{"id":2785,"uris":["http://zotero.org/users/5483459/items/SH4RWHMJ"],"itemData":{"id":2785,"type":"report","abstract":"The purpose of this multicenter, open-label, non-randomized, single, oral dose, sequential-cohort study was to determine pharmacokinetics and safety of lenvatinib (24 mg) administered to healthy subjects and to subjects with renal impairment.","genre":"Clinical trial registration","note":"submitted: July 22, 2014","number":"NCT02199379","publisher":"clinicaltrials.gov","source":"clinicaltrials.gov","title":"A Phase 1, Open-Label, Single-Dose, Pharmacokinetic and Safety Study of E7080 (24 mg) Administered to Subjects With Mild, Moderate, and Severe Renal Impairment and to Healthy Subjects","URL":"https://clinicaltrials.gov/ct2/show/NCT02199379","author":[{"literal":"Eisai Inc."}],"accessed":{"date-parts":[["2022",10,27]]},"issued":{"date-parts":[["2015",4,13]]}}}],"schema":"https://github.com/citation-style-language/schema/raw/master/csl-citation.json"} </w:instrText>
      </w:r>
      <w:r w:rsidRPr="000971D1">
        <w:fldChar w:fldCharType="separate"/>
      </w:r>
      <w:r w:rsidRPr="00087A74">
        <w:t>[1]</w:t>
      </w:r>
      <w:r w:rsidRPr="00087A74">
        <w:fldChar w:fldCharType="end"/>
      </w:r>
      <w:r w:rsidRPr="00087A74">
        <w:t xml:space="preserve">. При проведении популяционного фармакокинетического анализа </w:t>
      </w:r>
      <w:r w:rsidR="006C4EB9">
        <w:t>установлено,</w:t>
      </w:r>
      <w:r w:rsidRPr="00087A74">
        <w:t xml:space="preserve"> что  у здоровых добровольцев CL/F был на 15% выше по сравнению с пациентами</w:t>
      </w:r>
      <w:r>
        <w:t xml:space="preserve"> со злокачественными солидными опухолями </w:t>
      </w:r>
      <w:r>
        <w:fldChar w:fldCharType="begin"/>
      </w:r>
      <w:r>
        <w:instrText xml:space="preserve"> ADDIN ZOTERO_ITEM CSL_CITATION {"citationID":"Cgps9aJW","properties":{"formattedCitation":"[2,3]","plainCitation":"[2,3]","noteIndex":0},"citationItems":[{"id":2745,"uris":["http://zotero.org/users/5483459/items/95XEZDWJ"],"itemData":{"id":2745,"type":"document","title":"European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2015."},"label":"page"}],"schema":"https://github.com/citation-style-language/schema/raw/master/csl-citation.json"} </w:instrText>
      </w:r>
      <w:r>
        <w:fldChar w:fldCharType="separate"/>
      </w:r>
      <w:r w:rsidRPr="00286AC9">
        <w:t>[2,</w:t>
      </w:r>
      <w:r w:rsidR="001276D0" w:rsidRPr="001276D0">
        <w:t xml:space="preserve"> </w:t>
      </w:r>
      <w:r w:rsidRPr="00286AC9">
        <w:t>3]</w:t>
      </w:r>
      <w:r>
        <w:fldChar w:fldCharType="end"/>
      </w:r>
      <w:r>
        <w:t xml:space="preserve">. </w:t>
      </w:r>
    </w:p>
    <w:p w14:paraId="363E7157" w14:textId="3B897BAD" w:rsidR="00200EBA" w:rsidRPr="00D5518D" w:rsidRDefault="00D5518D" w:rsidP="00D5518D">
      <w:pPr>
        <w:pStyle w:val="3"/>
        <w:spacing w:after="240"/>
        <w:rPr>
          <w:rFonts w:ascii="Times New Roman" w:hAnsi="Times New Roman"/>
          <w:bCs w:val="0"/>
          <w:szCs w:val="24"/>
        </w:rPr>
      </w:pPr>
      <w:bookmarkStart w:id="178" w:name="_Toc52190578"/>
      <w:bookmarkStart w:id="179" w:name="_Toc126059745"/>
      <w:r w:rsidRPr="00095D49">
        <w:rPr>
          <w:rFonts w:ascii="Times New Roman" w:hAnsi="Times New Roman"/>
          <w:bCs w:val="0"/>
          <w:szCs w:val="24"/>
        </w:rPr>
        <w:t>4</w:t>
      </w:r>
      <w:r w:rsidRPr="009D7041">
        <w:rPr>
          <w:rFonts w:ascii="Times New Roman" w:hAnsi="Times New Roman"/>
          <w:bCs w:val="0"/>
          <w:szCs w:val="24"/>
        </w:rPr>
        <w:t>.</w:t>
      </w:r>
      <w:r>
        <w:rPr>
          <w:rFonts w:ascii="Times New Roman" w:hAnsi="Times New Roman"/>
          <w:bCs w:val="0"/>
          <w:szCs w:val="24"/>
        </w:rPr>
        <w:t>1.2</w:t>
      </w:r>
      <w:r w:rsidRPr="009D7041">
        <w:rPr>
          <w:rFonts w:ascii="Times New Roman" w:hAnsi="Times New Roman"/>
          <w:bCs w:val="0"/>
          <w:szCs w:val="24"/>
        </w:rPr>
        <w:t xml:space="preserve">. </w:t>
      </w:r>
      <w:r w:rsidR="00200EBA" w:rsidRPr="00D5518D">
        <w:rPr>
          <w:rFonts w:ascii="Times New Roman" w:hAnsi="Times New Roman"/>
          <w:bCs w:val="0"/>
          <w:szCs w:val="24"/>
        </w:rPr>
        <w:t>Распределение</w:t>
      </w:r>
      <w:bookmarkStart w:id="180" w:name="_Toc52190579"/>
      <w:bookmarkEnd w:id="178"/>
      <w:bookmarkEnd w:id="179"/>
    </w:p>
    <w:p w14:paraId="148EF9F7" w14:textId="648A8540" w:rsidR="00200EBA" w:rsidRPr="00F41B1D" w:rsidRDefault="00200EBA" w:rsidP="00200EBA">
      <w:pPr>
        <w:ind w:firstLine="709"/>
      </w:pPr>
      <w:r w:rsidRPr="00F41B1D">
        <w:t xml:space="preserve">В условиях </w:t>
      </w:r>
      <w:r w:rsidRPr="001C22AB">
        <w:rPr>
          <w:i/>
          <w:iCs/>
        </w:rPr>
        <w:t>і</w:t>
      </w:r>
      <w:r w:rsidRPr="001C22AB">
        <w:rPr>
          <w:i/>
          <w:iCs/>
          <w:lang w:val="en-US"/>
        </w:rPr>
        <w:t>n</w:t>
      </w:r>
      <w:r w:rsidRPr="001C22AB">
        <w:rPr>
          <w:i/>
          <w:iCs/>
        </w:rPr>
        <w:t xml:space="preserve"> vitro</w:t>
      </w:r>
      <w:r w:rsidRPr="00F41B1D">
        <w:t xml:space="preserve"> ленватиниб продемонстрировал высокую степень связывания с белками плазмы крови человека, которая варьировала от 98 до 99% (0,3-30 мкг/мл мезилата). Препарат связывался преимущественно с альбумином и в незначительной степени </w:t>
      </w:r>
      <w:r w:rsidR="00140B11" w:rsidRPr="00140B11">
        <w:t>‒</w:t>
      </w:r>
      <w:r w:rsidR="00140B11" w:rsidRPr="00140B11" w:rsidDel="00140B11">
        <w:t xml:space="preserve"> </w:t>
      </w:r>
      <w:r w:rsidRPr="00F41B1D">
        <w:t xml:space="preserve">с альфа-1-кислым гликопротеином и гамма-глобулином. Подобное связывание с белками плазмы (от 97 до 99%) без зависимости от концентраций ленватиниба (от 0,2 до 1,2 мкг/мл) наблюдалось в плазме </w:t>
      </w:r>
      <w:r>
        <w:t>при</w:t>
      </w:r>
      <w:r w:rsidRPr="00F41B1D">
        <w:t xml:space="preserve"> печеночной недостаточности, почечной недостаточности и </w:t>
      </w:r>
      <w:r>
        <w:t xml:space="preserve">у </w:t>
      </w:r>
      <w:r w:rsidRPr="00F41B1D">
        <w:t>здоровых субъектов.</w:t>
      </w:r>
    </w:p>
    <w:p w14:paraId="4C1826A9" w14:textId="77777777" w:rsidR="00200EBA" w:rsidRPr="009B44C5" w:rsidRDefault="00200EBA" w:rsidP="00200EBA">
      <w:pPr>
        <w:ind w:firstLine="709"/>
        <w:rPr>
          <w:b/>
          <w:bCs/>
        </w:rPr>
      </w:pPr>
      <w:r w:rsidRPr="00F41B1D">
        <w:t xml:space="preserve"> Соотношение концентрации ленватиниба </w:t>
      </w:r>
      <w:r w:rsidRPr="009F7E70">
        <w:rPr>
          <w:i/>
          <w:iCs/>
        </w:rPr>
        <w:t>і</w:t>
      </w:r>
      <w:r w:rsidRPr="009F7E70">
        <w:rPr>
          <w:i/>
          <w:iCs/>
          <w:lang w:val="en-US"/>
        </w:rPr>
        <w:t>n</w:t>
      </w:r>
      <w:r w:rsidRPr="009F7E70">
        <w:rPr>
          <w:i/>
          <w:iCs/>
        </w:rPr>
        <w:t xml:space="preserve"> vitro</w:t>
      </w:r>
      <w:r w:rsidRPr="00F41B1D">
        <w:t xml:space="preserve"> в крови и в плазме варьировало от 0,589 до 0,608 (0,1-10 мкг/мл мезилата)</w:t>
      </w:r>
      <w:r w:rsidRPr="009F7E70">
        <w:t xml:space="preserve"> </w:t>
      </w:r>
      <w:r>
        <w:fldChar w:fldCharType="begin"/>
      </w:r>
      <w:r>
        <w:instrText xml:space="preserve"> ADDIN ZOTERO_ITEM CSL_CITATION {"citationID":"FQ1OU26C","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rsidRPr="009B44C5">
        <w:t>.</w:t>
      </w:r>
    </w:p>
    <w:p w14:paraId="5590087F" w14:textId="26DAC15D" w:rsidR="00200EBA" w:rsidRPr="00F41B1D" w:rsidRDefault="00200EBA" w:rsidP="00200EBA">
      <w:pPr>
        <w:ind w:firstLine="709"/>
      </w:pPr>
      <w:r w:rsidRPr="00F41B1D">
        <w:t xml:space="preserve">Исследования </w:t>
      </w:r>
      <w:r w:rsidRPr="009D30E1">
        <w:rPr>
          <w:i/>
          <w:iCs/>
        </w:rPr>
        <w:t>і</w:t>
      </w:r>
      <w:r w:rsidRPr="009D30E1">
        <w:rPr>
          <w:i/>
          <w:iCs/>
          <w:lang w:val="en-US"/>
        </w:rPr>
        <w:t>n</w:t>
      </w:r>
      <w:r w:rsidRPr="009D30E1">
        <w:rPr>
          <w:i/>
          <w:iCs/>
        </w:rPr>
        <w:t xml:space="preserve"> vitro</w:t>
      </w:r>
      <w:r w:rsidRPr="00F41B1D">
        <w:t xml:space="preserve"> показали, что ленватиниб является субстратом Р-гликопротеина и </w:t>
      </w:r>
      <w:bookmarkStart w:id="181" w:name="_Hlk119278141"/>
      <w:r w:rsidRPr="00F41B1D">
        <w:t xml:space="preserve">BCRP </w:t>
      </w:r>
      <w:bookmarkEnd w:id="181"/>
      <w:r w:rsidRPr="00F41B1D">
        <w:t>и не является субстратом OAT1, ОАТЗ, OATP lB1, OATP1ВЗ, OCT1, OCT2, MATE1, MATE2-K или BSEP.</w:t>
      </w:r>
    </w:p>
    <w:p w14:paraId="11A2C795" w14:textId="77777777" w:rsidR="00200EBA" w:rsidRPr="00F41B1D" w:rsidRDefault="00200EBA" w:rsidP="00200EBA">
      <w:pPr>
        <w:ind w:firstLine="709"/>
      </w:pPr>
      <w:r w:rsidRPr="00F41B1D">
        <w:t>В цитозоле печени человека ленватиниб не ингибировал активность альдегидоксидазы.</w:t>
      </w:r>
    </w:p>
    <w:p w14:paraId="2CCF51A2" w14:textId="77777777" w:rsidR="00200EBA" w:rsidRDefault="00200EBA" w:rsidP="00200EBA">
      <w:pPr>
        <w:ind w:firstLine="709"/>
      </w:pPr>
      <w:r w:rsidRPr="00F41B1D">
        <w:t xml:space="preserve">У пациентов средний </w:t>
      </w:r>
      <w:bookmarkStart w:id="182" w:name="_Hlk119278173"/>
      <w:r w:rsidRPr="00F41B1D">
        <w:t>кажущийся объем распределения (Vz</w:t>
      </w:r>
      <w:r>
        <w:t>/</w:t>
      </w:r>
      <w:r w:rsidRPr="00F41B1D">
        <w:t xml:space="preserve">F) </w:t>
      </w:r>
      <w:bookmarkEnd w:id="182"/>
      <w:r w:rsidRPr="00F41B1D">
        <w:t xml:space="preserve">первой дозы варьировался от 50,5 до 92 л и в целом был постоянным для групп доз от 3,2 мг до 32 мг. </w:t>
      </w:r>
    </w:p>
    <w:p w14:paraId="287B77AA" w14:textId="4F02FE77" w:rsidR="00200EBA" w:rsidRPr="009B44C5" w:rsidRDefault="00200EBA" w:rsidP="00200EBA">
      <w:pPr>
        <w:ind w:firstLine="709"/>
        <w:rPr>
          <w:b/>
          <w:bCs/>
        </w:rPr>
      </w:pPr>
      <w:r w:rsidRPr="00F41B1D">
        <w:t xml:space="preserve">Аналогичный </w:t>
      </w:r>
      <w:bookmarkStart w:id="183" w:name="_Hlk119278199"/>
      <w:r w:rsidRPr="00F41B1D">
        <w:t xml:space="preserve">средний кажущийся объем распределения в </w:t>
      </w:r>
      <w:r w:rsidR="00012B14">
        <w:t>равновесном</w:t>
      </w:r>
      <w:r w:rsidR="00012B14" w:rsidRPr="00F41B1D">
        <w:t xml:space="preserve"> </w:t>
      </w:r>
      <w:r w:rsidRPr="00F41B1D">
        <w:t xml:space="preserve">состоянии (Vz / Fss) </w:t>
      </w:r>
      <w:bookmarkEnd w:id="183"/>
      <w:r w:rsidRPr="00F41B1D">
        <w:t>также в целом был постоянным и составлял от 43,2 л до 121 л</w:t>
      </w:r>
      <w:r w:rsidRPr="009B44C5">
        <w:t xml:space="preserve"> </w:t>
      </w:r>
      <w:r>
        <w:fldChar w:fldCharType="begin"/>
      </w:r>
      <w:r>
        <w:instrText xml:space="preserve"> ADDIN ZOTERO_ITEM CSL_CITATION {"citationID":"bDY0ofWZ","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rsidRPr="009B44C5">
        <w:t>.</w:t>
      </w:r>
    </w:p>
    <w:p w14:paraId="23AA76FF" w14:textId="77777777" w:rsidR="00200EBA" w:rsidRDefault="00200EBA" w:rsidP="00200EBA">
      <w:pPr>
        <w:pStyle w:val="3"/>
        <w:spacing w:after="240"/>
        <w:rPr>
          <w:rFonts w:ascii="Times New Roman" w:hAnsi="Times New Roman"/>
          <w:bCs w:val="0"/>
          <w:szCs w:val="24"/>
        </w:rPr>
      </w:pPr>
      <w:bookmarkStart w:id="184" w:name="_Toc126059746"/>
      <w:r w:rsidRPr="00095D49">
        <w:rPr>
          <w:rFonts w:ascii="Times New Roman" w:hAnsi="Times New Roman"/>
          <w:bCs w:val="0"/>
          <w:szCs w:val="24"/>
        </w:rPr>
        <w:t>4</w:t>
      </w:r>
      <w:r w:rsidRPr="009D7041">
        <w:rPr>
          <w:rFonts w:ascii="Times New Roman" w:hAnsi="Times New Roman"/>
          <w:bCs w:val="0"/>
          <w:szCs w:val="24"/>
        </w:rPr>
        <w:t>.</w:t>
      </w:r>
      <w:r>
        <w:rPr>
          <w:rFonts w:ascii="Times New Roman" w:hAnsi="Times New Roman"/>
          <w:bCs w:val="0"/>
          <w:szCs w:val="24"/>
        </w:rPr>
        <w:t>1.3</w:t>
      </w:r>
      <w:r w:rsidRPr="009D7041">
        <w:rPr>
          <w:rFonts w:ascii="Times New Roman" w:hAnsi="Times New Roman"/>
          <w:bCs w:val="0"/>
          <w:szCs w:val="24"/>
        </w:rPr>
        <w:t>. Метаболизм</w:t>
      </w:r>
      <w:bookmarkEnd w:id="180"/>
      <w:bookmarkEnd w:id="184"/>
    </w:p>
    <w:p w14:paraId="5DA3DDFD" w14:textId="7B0811B7" w:rsidR="00200EBA" w:rsidRDefault="00200EBA" w:rsidP="00200EBA">
      <w:pPr>
        <w:ind w:firstLine="709"/>
      </w:pPr>
      <w:r w:rsidRPr="000F12F5">
        <w:rPr>
          <w:i/>
          <w:iCs/>
        </w:rPr>
        <w:t>In vitro</w:t>
      </w:r>
      <w:r>
        <w:t xml:space="preserve"> было продемонстрировано, что цитохром Р450 3А4 является преобладающей (&gt;80%) изоформой, участвующей в Р450-опосредованнм метаболизм</w:t>
      </w:r>
      <w:r w:rsidR="00012B14">
        <w:t>е</w:t>
      </w:r>
      <w:r>
        <w:t xml:space="preserve"> ленватиниба. Однако данные </w:t>
      </w:r>
      <w:r w:rsidRPr="002801F9">
        <w:rPr>
          <w:i/>
          <w:iCs/>
        </w:rPr>
        <w:t>in vivo</w:t>
      </w:r>
      <w:r>
        <w:t xml:space="preserve"> показали, что не-P450-опосредованные пути способствовали значительной части общего метаболизма ленватиниба. В исследованиях </w:t>
      </w:r>
      <w:r w:rsidRPr="002801F9">
        <w:rPr>
          <w:i/>
          <w:iCs/>
        </w:rPr>
        <w:t>in vivo</w:t>
      </w:r>
      <w:r>
        <w:rPr>
          <w:i/>
          <w:iCs/>
        </w:rPr>
        <w:t xml:space="preserve"> </w:t>
      </w:r>
      <w:r w:rsidR="006C4EB9">
        <w:t>устанволено</w:t>
      </w:r>
      <w:r>
        <w:rPr>
          <w:i/>
          <w:iCs/>
        </w:rPr>
        <w:t xml:space="preserve">, </w:t>
      </w:r>
      <w:r w:rsidRPr="006C4B5A">
        <w:t xml:space="preserve">что </w:t>
      </w:r>
      <w:r>
        <w:t xml:space="preserve">индукторы и ингибиторы CYP 3A4 оказывали минимальное влияние на экспозицию ленватиниба. </w:t>
      </w:r>
    </w:p>
    <w:p w14:paraId="72882C71" w14:textId="710F1139" w:rsidR="00200EBA" w:rsidRPr="00FD32A7" w:rsidRDefault="00200EBA" w:rsidP="00200EBA">
      <w:pPr>
        <w:ind w:firstLine="709"/>
      </w:pPr>
      <w:bookmarkStart w:id="185" w:name="_Toc52190580"/>
      <w:r w:rsidRPr="00FD32A7">
        <w:t>В микросомах клеток печени человека была обнаружена деметилированная форма ленватиниба (M2), которая представляет собой основной метаболит препарата.</w:t>
      </w:r>
      <w:r>
        <w:t xml:space="preserve"> </w:t>
      </w:r>
      <w:r w:rsidRPr="00FD32A7">
        <w:lastRenderedPageBreak/>
        <w:t xml:space="preserve">Метаболиты M2’ и </w:t>
      </w:r>
      <w:r w:rsidR="006C4EB9" w:rsidRPr="00FD32A7">
        <w:t>М</w:t>
      </w:r>
      <w:r w:rsidR="006C4EB9">
        <w:t>3</w:t>
      </w:r>
      <w:r w:rsidR="006C4EB9" w:rsidRPr="00FD32A7">
        <w:t xml:space="preserve">’ </w:t>
      </w:r>
      <w:r w:rsidRPr="00FD32A7">
        <w:t>(обнаруженные в каловых массах человека) образуются из M2 и ленватиниба</w:t>
      </w:r>
      <w:r>
        <w:t xml:space="preserve"> </w:t>
      </w:r>
      <w:r w:rsidRPr="00FD32A7">
        <w:t>при участии альдегидоксидазы.</w:t>
      </w:r>
    </w:p>
    <w:p w14:paraId="6D1DDCB7" w14:textId="604AC62E" w:rsidR="00200EBA" w:rsidRPr="00FD32A7" w:rsidRDefault="00200EBA" w:rsidP="00200EBA">
      <w:pPr>
        <w:ind w:firstLine="709"/>
      </w:pPr>
      <w:r w:rsidRPr="00FD32A7">
        <w:t xml:space="preserve">По данным радиохроматографического исследования образцов плазмы крови, собранных за период до 24 часов после приема ленватиниба, неизмененный ленватиниб генерировал 97% радиоактивности, тогда как метаболит M2 </w:t>
      </w:r>
      <w:r w:rsidR="00A04906" w:rsidRPr="00A04906">
        <w:t>‒</w:t>
      </w:r>
      <w:r w:rsidRPr="00FD32A7">
        <w:t xml:space="preserve"> лишь 2,5%. Анализ AUC</w:t>
      </w:r>
      <w:r w:rsidRPr="005E16FD">
        <w:rPr>
          <w:vertAlign w:val="subscript"/>
        </w:rPr>
        <w:t>0</w:t>
      </w:r>
      <w:r w:rsidR="00D04754" w:rsidRPr="00106884">
        <w:rPr>
          <w:vertAlign w:val="subscript"/>
        </w:rPr>
        <w:t>-∞</w:t>
      </w:r>
      <w:r w:rsidRPr="00FD32A7">
        <w:t xml:space="preserve"> показал, что радиоактивность ленватиниба составляла 60 и 64% от общей радиоактивности плазмы и цельной крови, соответственно.</w:t>
      </w:r>
    </w:p>
    <w:p w14:paraId="2DA94773" w14:textId="48968AB9" w:rsidR="00200EBA" w:rsidRPr="00FD32A7" w:rsidRDefault="00200EBA" w:rsidP="00200EBA">
      <w:pPr>
        <w:ind w:firstLine="709"/>
      </w:pPr>
      <w:r w:rsidRPr="00FD32A7">
        <w:t>Исследования баланса массы и экскреции ленватиниба показали, что препарат подвергается активному метаболизму в организме человека. Основные установленные пути метаболизма препарата у человека включают: окисление, опосредуемое альдегидоксидазой, деметилирование при участии изофермента С</w:t>
      </w:r>
      <w:r w:rsidR="001276D0">
        <w:rPr>
          <w:lang w:val="en-US"/>
        </w:rPr>
        <w:t>YP</w:t>
      </w:r>
      <w:r w:rsidR="001276D0" w:rsidRPr="001276D0">
        <w:t>3</w:t>
      </w:r>
      <w:r w:rsidRPr="00FD32A7">
        <w:t>А4, конъюгацию глутатион</w:t>
      </w:r>
      <w:r>
        <w:t>а</w:t>
      </w:r>
      <w:r w:rsidRPr="00FD32A7">
        <w:t xml:space="preserve"> с удалением О-арильной группы (хлорфенильного остатка) и комбинации</w:t>
      </w:r>
      <w:r>
        <w:t xml:space="preserve"> </w:t>
      </w:r>
      <w:r w:rsidRPr="00FD32A7">
        <w:t xml:space="preserve">этих механизмов с дальнейшей биотрансформацией (включая глюкуронирование, гидролиз глутатионовой группы, разрушение цистеинового остатка, а также внутримолекулярную перегруппировку конъюгатов цистеинилглицина и цистеина с последующей димеризацией). Данные пути метаболизма </w:t>
      </w:r>
      <w:r w:rsidRPr="007703D3">
        <w:rPr>
          <w:i/>
          <w:iCs/>
        </w:rPr>
        <w:t>і</w:t>
      </w:r>
      <w:r w:rsidRPr="007703D3">
        <w:rPr>
          <w:i/>
          <w:iCs/>
          <w:lang w:val="en-US"/>
        </w:rPr>
        <w:t>n</w:t>
      </w:r>
      <w:r w:rsidRPr="007703D3">
        <w:rPr>
          <w:i/>
          <w:iCs/>
        </w:rPr>
        <w:t xml:space="preserve"> vivo</w:t>
      </w:r>
      <w:r w:rsidRPr="00FD32A7">
        <w:t xml:space="preserve"> согласуются с результатами исследований </w:t>
      </w:r>
      <w:r w:rsidRPr="007703D3">
        <w:rPr>
          <w:i/>
          <w:iCs/>
        </w:rPr>
        <w:t>in vitro</w:t>
      </w:r>
      <w:r w:rsidRPr="00FD32A7">
        <w:t xml:space="preserve"> с использованием биоматериалов человека</w:t>
      </w:r>
      <w:r w:rsidRPr="00CC00EF">
        <w:t xml:space="preserve"> </w:t>
      </w:r>
      <w:r>
        <w:fldChar w:fldCharType="begin"/>
      </w:r>
      <w:r>
        <w:instrText xml:space="preserve"> ADDIN ZOTERO_ITEM CSL_CITATION {"citationID":"N1XMX9A7","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rsidRPr="00FD32A7">
        <w:t>.</w:t>
      </w:r>
    </w:p>
    <w:p w14:paraId="5226E111" w14:textId="77777777" w:rsidR="00200EBA" w:rsidRDefault="00200EBA" w:rsidP="00200EBA">
      <w:pPr>
        <w:pStyle w:val="3"/>
        <w:spacing w:after="240"/>
        <w:rPr>
          <w:rFonts w:ascii="Times New Roman" w:hAnsi="Times New Roman"/>
          <w:bCs w:val="0"/>
          <w:szCs w:val="24"/>
        </w:rPr>
      </w:pPr>
      <w:bookmarkStart w:id="186" w:name="_Toc126059747"/>
      <w:r>
        <w:rPr>
          <w:rFonts w:ascii="Times New Roman" w:hAnsi="Times New Roman"/>
          <w:bCs w:val="0"/>
          <w:szCs w:val="24"/>
        </w:rPr>
        <w:t>4</w:t>
      </w:r>
      <w:r w:rsidRPr="009505C5">
        <w:rPr>
          <w:rFonts w:ascii="Times New Roman" w:hAnsi="Times New Roman"/>
          <w:bCs w:val="0"/>
          <w:szCs w:val="24"/>
        </w:rPr>
        <w:t>.</w:t>
      </w:r>
      <w:r>
        <w:rPr>
          <w:rFonts w:ascii="Times New Roman" w:hAnsi="Times New Roman"/>
          <w:bCs w:val="0"/>
          <w:szCs w:val="24"/>
        </w:rPr>
        <w:t>1.4</w:t>
      </w:r>
      <w:r w:rsidRPr="009505C5">
        <w:rPr>
          <w:rFonts w:ascii="Times New Roman" w:hAnsi="Times New Roman"/>
          <w:bCs w:val="0"/>
          <w:szCs w:val="24"/>
        </w:rPr>
        <w:t>. Выведение</w:t>
      </w:r>
      <w:bookmarkEnd w:id="185"/>
      <w:bookmarkEnd w:id="186"/>
    </w:p>
    <w:p w14:paraId="38951E4C" w14:textId="77777777" w:rsidR="00200EBA" w:rsidRDefault="00200EBA" w:rsidP="00200EBA">
      <w:pPr>
        <w:ind w:firstLine="709"/>
      </w:pPr>
      <w:r>
        <w:t xml:space="preserve">После достижения </w:t>
      </w:r>
      <w:r>
        <w:rPr>
          <w:lang w:val="en-US"/>
        </w:rPr>
        <w:t>C</w:t>
      </w:r>
      <w:r w:rsidRPr="007E6DF5">
        <w:rPr>
          <w:vertAlign w:val="subscript"/>
        </w:rPr>
        <w:t>max</w:t>
      </w:r>
      <w:r>
        <w:t>, концентрация ленватиниба в плазме крови снижается биэкспоненциально. Период полувыведения ленватиниба в фазе элиминации составляет примерно 28 часов.</w:t>
      </w:r>
    </w:p>
    <w:p w14:paraId="4BB80A46" w14:textId="4CA26AC4" w:rsidR="00200EBA" w:rsidRPr="00CC00EF" w:rsidRDefault="00200EBA" w:rsidP="00200EBA">
      <w:pPr>
        <w:ind w:firstLine="709"/>
      </w:pPr>
      <w:r>
        <w:t xml:space="preserve">После введения 6 пациентам с солидными опухолями радиоактивно-меченного ленватиниба, приблизительно 2/3 от введенной дозы выводилось через кишечник и 1/4 </w:t>
      </w:r>
      <w:r w:rsidR="00700832" w:rsidRPr="00700832">
        <w:t>‒</w:t>
      </w:r>
      <w:r>
        <w:t xml:space="preserve"> через почки. Преобладающим метаболитом в экскретах являлся метаболит M2 (5% от дозы), вторым по значимости являлся ленватиниб (2,5%)</w:t>
      </w:r>
      <w:r w:rsidRPr="00FC718F">
        <w:t xml:space="preserve"> </w:t>
      </w:r>
      <w:r>
        <w:fldChar w:fldCharType="begin"/>
      </w:r>
      <w:r>
        <w:instrText xml:space="preserve"> ADDIN ZOTERO_ITEM CSL_CITATION {"citationID":"zWmoQTIF","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6E6EEFE6" w14:textId="77777777" w:rsidR="00200EBA" w:rsidRDefault="00200EBA" w:rsidP="00200EBA">
      <w:pPr>
        <w:pStyle w:val="3"/>
        <w:spacing w:after="240"/>
        <w:rPr>
          <w:rFonts w:ascii="Times New Roman" w:hAnsi="Times New Roman"/>
          <w:bCs w:val="0"/>
          <w:szCs w:val="24"/>
        </w:rPr>
      </w:pPr>
      <w:bookmarkStart w:id="187" w:name="_Toc83655951"/>
      <w:bookmarkStart w:id="188" w:name="_Toc126059748"/>
      <w:bookmarkEnd w:id="176"/>
      <w:r>
        <w:rPr>
          <w:rFonts w:ascii="Times New Roman" w:hAnsi="Times New Roman"/>
          <w:bCs w:val="0"/>
          <w:szCs w:val="24"/>
        </w:rPr>
        <w:t>4.1.</w:t>
      </w:r>
      <w:r w:rsidRPr="00E75618">
        <w:rPr>
          <w:rFonts w:ascii="Times New Roman" w:hAnsi="Times New Roman"/>
          <w:bCs w:val="0"/>
          <w:szCs w:val="24"/>
        </w:rPr>
        <w:t>5. Линейность фармакокинетики</w:t>
      </w:r>
      <w:bookmarkEnd w:id="187"/>
      <w:bookmarkEnd w:id="188"/>
    </w:p>
    <w:p w14:paraId="30F64DE8" w14:textId="77777777" w:rsidR="00200EBA" w:rsidRPr="00FC718F" w:rsidRDefault="00200EBA" w:rsidP="00200EBA">
      <w:pPr>
        <w:ind w:firstLine="709"/>
      </w:pPr>
      <w:bookmarkStart w:id="189" w:name="_Toc52190581"/>
      <w:r w:rsidRPr="00FC718F">
        <w:t>У пациентов с солидными опухолями, получавших однократные и многократные дозы ленватиниба один раз в сутки, показатели системной экспозиции препарата (</w:t>
      </w:r>
      <w:r w:rsidRPr="006D14BE">
        <w:t>C</w:t>
      </w:r>
      <w:r w:rsidRPr="006D14BE">
        <w:rPr>
          <w:vertAlign w:val="subscript"/>
        </w:rPr>
        <w:t>max</w:t>
      </w:r>
      <w:r w:rsidRPr="006D14BE">
        <w:t xml:space="preserve"> и AUC</w:t>
      </w:r>
      <w:r w:rsidRPr="00FC718F">
        <w:t>) возрастали прямо пропорционально повышению его дозы от 3,2 до 32 мг один раз в сутки.</w:t>
      </w:r>
    </w:p>
    <w:p w14:paraId="44B4B879" w14:textId="4BA00D22" w:rsidR="00200EBA" w:rsidRPr="006A4F12" w:rsidRDefault="00200EBA" w:rsidP="006A4F12">
      <w:pPr>
        <w:ind w:firstLine="709"/>
      </w:pPr>
      <w:r w:rsidRPr="00FC718F">
        <w:t xml:space="preserve">Ленватиниб продемонстрировал минимальную способность к </w:t>
      </w:r>
      <w:r>
        <w:t>кумуляции</w:t>
      </w:r>
      <w:r w:rsidRPr="00FC718F">
        <w:t xml:space="preserve"> в организме в равновесном состоянии. В указанном диапазоне доз </w:t>
      </w:r>
      <w:r>
        <w:t xml:space="preserve">средние </w:t>
      </w:r>
      <w:bookmarkStart w:id="190" w:name="_Hlk118205322"/>
      <w:r>
        <w:t>значения</w:t>
      </w:r>
      <w:r w:rsidRPr="00FC718F">
        <w:t xml:space="preserve"> индекса накопления (</w:t>
      </w:r>
      <w:r w:rsidRPr="003C779E">
        <w:t>Rac</w:t>
      </w:r>
      <w:r w:rsidRPr="00FC718F">
        <w:t>)</w:t>
      </w:r>
      <w:bookmarkEnd w:id="190"/>
      <w:r w:rsidRPr="00FC718F">
        <w:t xml:space="preserve"> </w:t>
      </w:r>
      <w:r w:rsidR="00B61BB9" w:rsidRPr="00FC718F">
        <w:t>варьирова</w:t>
      </w:r>
      <w:r w:rsidR="00B61BB9">
        <w:t>или</w:t>
      </w:r>
      <w:r w:rsidR="00B61BB9" w:rsidRPr="00FC718F">
        <w:t xml:space="preserve"> </w:t>
      </w:r>
      <w:r w:rsidRPr="00FC718F">
        <w:t>от 0,96 (20 мг) до 1,54 (6,4 мг). У пациентов с ГЦР с высоким баллом по шкале Чайлд</w:t>
      </w:r>
      <w:r w:rsidR="00307E89" w:rsidRPr="00307E89">
        <w:t>‒</w:t>
      </w:r>
      <w:r w:rsidRPr="00FC718F">
        <w:t xml:space="preserve">Пью (7-8), получавших ленватиниб в дозе 8 мг, </w:t>
      </w:r>
      <w:r>
        <w:t xml:space="preserve">средние значения </w:t>
      </w:r>
      <w:r w:rsidRPr="00FC718F">
        <w:t xml:space="preserve"> индекса накопления</w:t>
      </w:r>
      <w:r>
        <w:t xml:space="preserve"> составили</w:t>
      </w:r>
      <w:r w:rsidRPr="00FC718F">
        <w:t xml:space="preserve"> 1,49</w:t>
      </w:r>
      <w:r>
        <w:t xml:space="preserve"> </w:t>
      </w:r>
      <w:r>
        <w:fldChar w:fldCharType="begin"/>
      </w:r>
      <w:r>
        <w:instrText xml:space="preserve"> ADDIN ZOTERO_ITEM CSL_CITATION {"citationID":"o7eBAllD","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6415D3CB" w14:textId="77777777" w:rsidR="00200EBA" w:rsidRPr="00E75618" w:rsidRDefault="00200EBA" w:rsidP="00200EBA">
      <w:pPr>
        <w:pStyle w:val="3"/>
        <w:spacing w:after="240"/>
        <w:rPr>
          <w:rFonts w:ascii="Times New Roman" w:hAnsi="Times New Roman"/>
          <w:bCs w:val="0"/>
          <w:szCs w:val="24"/>
        </w:rPr>
      </w:pPr>
      <w:bookmarkStart w:id="191" w:name="_Toc126059749"/>
      <w:r w:rsidRPr="00E75618">
        <w:rPr>
          <w:rFonts w:ascii="Times New Roman" w:hAnsi="Times New Roman"/>
          <w:bCs w:val="0"/>
          <w:szCs w:val="24"/>
        </w:rPr>
        <w:t>4.</w:t>
      </w:r>
      <w:r>
        <w:rPr>
          <w:rFonts w:ascii="Times New Roman" w:hAnsi="Times New Roman"/>
          <w:bCs w:val="0"/>
          <w:szCs w:val="24"/>
        </w:rPr>
        <w:t>1.6</w:t>
      </w:r>
      <w:r w:rsidRPr="00E75618">
        <w:rPr>
          <w:rFonts w:ascii="Times New Roman" w:hAnsi="Times New Roman"/>
          <w:bCs w:val="0"/>
          <w:szCs w:val="24"/>
        </w:rPr>
        <w:t>. Фармакокинетика у особых групп пациентов</w:t>
      </w:r>
      <w:bookmarkEnd w:id="189"/>
      <w:bookmarkEnd w:id="191"/>
    </w:p>
    <w:p w14:paraId="346B0AC8" w14:textId="77777777" w:rsidR="00200EBA" w:rsidRPr="00E75618" w:rsidRDefault="00200EBA" w:rsidP="00200EBA">
      <w:pPr>
        <w:pStyle w:val="4"/>
        <w:spacing w:after="240"/>
        <w:rPr>
          <w:rFonts w:ascii="Times New Roman" w:hAnsi="Times New Roman"/>
          <w:color w:val="000000" w:themeColor="text1"/>
          <w:sz w:val="24"/>
          <w:szCs w:val="24"/>
        </w:rPr>
      </w:pPr>
      <w:bookmarkStart w:id="192" w:name="_Toc52190582"/>
      <w:bookmarkStart w:id="193" w:name="_Toc126059750"/>
      <w:r w:rsidRPr="00E75618">
        <w:rPr>
          <w:rFonts w:ascii="Times New Roman" w:hAnsi="Times New Roman"/>
          <w:color w:val="000000" w:themeColor="text1"/>
          <w:sz w:val="24"/>
          <w:szCs w:val="24"/>
        </w:rPr>
        <w:t>4.</w:t>
      </w:r>
      <w:r>
        <w:rPr>
          <w:rFonts w:ascii="Times New Roman" w:hAnsi="Times New Roman"/>
          <w:color w:val="000000" w:themeColor="text1"/>
          <w:sz w:val="24"/>
          <w:szCs w:val="24"/>
        </w:rPr>
        <w:t>1.6</w:t>
      </w:r>
      <w:r w:rsidRPr="00E75618">
        <w:rPr>
          <w:rFonts w:ascii="Times New Roman" w:hAnsi="Times New Roman"/>
          <w:color w:val="000000" w:themeColor="text1"/>
          <w:sz w:val="24"/>
          <w:szCs w:val="24"/>
        </w:rPr>
        <w:t>.1. В</w:t>
      </w:r>
      <w:r>
        <w:rPr>
          <w:rFonts w:ascii="Times New Roman" w:hAnsi="Times New Roman"/>
          <w:color w:val="000000" w:themeColor="text1"/>
          <w:sz w:val="24"/>
          <w:szCs w:val="24"/>
        </w:rPr>
        <w:t>лияние в</w:t>
      </w:r>
      <w:r w:rsidRPr="00E75618">
        <w:rPr>
          <w:rFonts w:ascii="Times New Roman" w:hAnsi="Times New Roman"/>
          <w:color w:val="000000" w:themeColor="text1"/>
          <w:sz w:val="24"/>
          <w:szCs w:val="24"/>
        </w:rPr>
        <w:t>озраст</w:t>
      </w:r>
      <w:r>
        <w:rPr>
          <w:rFonts w:ascii="Times New Roman" w:hAnsi="Times New Roman"/>
          <w:color w:val="000000" w:themeColor="text1"/>
          <w:sz w:val="24"/>
          <w:szCs w:val="24"/>
        </w:rPr>
        <w:t>а</w:t>
      </w:r>
      <w:r w:rsidRPr="00E75618">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массы тела, </w:t>
      </w:r>
      <w:r w:rsidRPr="00E75618">
        <w:rPr>
          <w:rFonts w:ascii="Times New Roman" w:hAnsi="Times New Roman"/>
          <w:color w:val="000000" w:themeColor="text1"/>
          <w:sz w:val="24"/>
          <w:szCs w:val="24"/>
        </w:rPr>
        <w:t>пол</w:t>
      </w:r>
      <w:r>
        <w:rPr>
          <w:rFonts w:ascii="Times New Roman" w:hAnsi="Times New Roman"/>
          <w:color w:val="000000" w:themeColor="text1"/>
          <w:sz w:val="24"/>
          <w:szCs w:val="24"/>
        </w:rPr>
        <w:t>а</w:t>
      </w:r>
      <w:r w:rsidRPr="00E75618">
        <w:rPr>
          <w:rFonts w:ascii="Times New Roman" w:hAnsi="Times New Roman"/>
          <w:color w:val="000000" w:themeColor="text1"/>
          <w:sz w:val="24"/>
          <w:szCs w:val="24"/>
        </w:rPr>
        <w:t xml:space="preserve"> и рас</w:t>
      </w:r>
      <w:bookmarkEnd w:id="192"/>
      <w:r>
        <w:rPr>
          <w:rFonts w:ascii="Times New Roman" w:hAnsi="Times New Roman"/>
          <w:color w:val="000000" w:themeColor="text1"/>
          <w:sz w:val="24"/>
          <w:szCs w:val="24"/>
        </w:rPr>
        <w:t>ы</w:t>
      </w:r>
      <w:bookmarkEnd w:id="193"/>
    </w:p>
    <w:p w14:paraId="0989740D" w14:textId="77777777" w:rsidR="00200EBA" w:rsidRDefault="00200EBA" w:rsidP="00200EBA">
      <w:pPr>
        <w:pStyle w:val="affb"/>
        <w:spacing w:line="240" w:lineRule="auto"/>
        <w:rPr>
          <w:rStyle w:val="ac"/>
        </w:rPr>
      </w:pPr>
      <w:bookmarkStart w:id="194" w:name="_Toc52190583"/>
      <w:r w:rsidRPr="00282493">
        <w:rPr>
          <w:rStyle w:val="ac"/>
        </w:rPr>
        <w:t xml:space="preserve">Влияние пола </w:t>
      </w:r>
    </w:p>
    <w:p w14:paraId="7935BE95" w14:textId="77777777" w:rsidR="00200EBA" w:rsidRPr="00E17A0A" w:rsidRDefault="00200EBA" w:rsidP="001276D0">
      <w:pPr>
        <w:ind w:firstLine="709"/>
        <w:rPr>
          <w:rStyle w:val="ac"/>
          <w:b w:val="0"/>
          <w:bCs w:val="0"/>
        </w:rPr>
      </w:pPr>
      <w:r w:rsidRPr="00E17A0A">
        <w:rPr>
          <w:rStyle w:val="ac"/>
          <w:b w:val="0"/>
          <w:bCs w:val="0"/>
        </w:rPr>
        <w:t>По результатам популяционного фармакокинетического анализа у пациентов, получавших ленватиниб в дозах до 24 мг один раз в сутки, возраст, пол, масса тела не оказали значительного влияния на клиренс ленватиниба</w:t>
      </w:r>
      <w:r>
        <w:rPr>
          <w:rStyle w:val="ac"/>
          <w:b w:val="0"/>
          <w:bCs w:val="0"/>
        </w:rPr>
        <w:t xml:space="preserve"> </w:t>
      </w:r>
      <w:r>
        <w:fldChar w:fldCharType="begin"/>
      </w:r>
      <w:r>
        <w:instrText xml:space="preserve"> ADDIN ZOTERO_ITEM CSL_CITATION {"citationID":"arSxh8Ur","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1DDD4C3F" w14:textId="77777777" w:rsidR="00200EBA" w:rsidRDefault="00200EBA" w:rsidP="00200EBA">
      <w:pPr>
        <w:pStyle w:val="affb"/>
        <w:spacing w:line="240" w:lineRule="auto"/>
        <w:rPr>
          <w:rStyle w:val="ac"/>
        </w:rPr>
      </w:pPr>
      <w:r w:rsidRPr="00470A4F">
        <w:rPr>
          <w:rStyle w:val="ac"/>
        </w:rPr>
        <w:lastRenderedPageBreak/>
        <w:t xml:space="preserve">Влияние расы </w:t>
      </w:r>
    </w:p>
    <w:p w14:paraId="4709570A" w14:textId="31BC60E7" w:rsidR="00200EBA" w:rsidRPr="00B0304F" w:rsidRDefault="00200EBA" w:rsidP="001276D0">
      <w:pPr>
        <w:ind w:firstLine="709"/>
        <w:rPr>
          <w:rStyle w:val="ac"/>
          <w:b w:val="0"/>
          <w:bCs w:val="0"/>
        </w:rPr>
      </w:pPr>
      <w:r w:rsidRPr="00B0304F">
        <w:rPr>
          <w:rStyle w:val="ac"/>
          <w:b w:val="0"/>
          <w:bCs w:val="0"/>
        </w:rPr>
        <w:t>По результатам популяционного фармакокинетического анализа у пациентов, получавших ленватиниб в дозах до 24 мг один раз в сутки, расовая принадлежность (японцы по сравнению с другими, европеоиды по сравнению с другими) не оказали значительного влияни</w:t>
      </w:r>
      <w:r w:rsidR="006A4F12">
        <w:rPr>
          <w:rStyle w:val="ac"/>
          <w:b w:val="0"/>
          <w:bCs w:val="0"/>
        </w:rPr>
        <w:t>я на клиренс ленватиниба [2–5].</w:t>
      </w:r>
    </w:p>
    <w:p w14:paraId="4C5CEB08" w14:textId="77777777" w:rsidR="00200EBA" w:rsidRDefault="00200EBA" w:rsidP="00200EBA">
      <w:pPr>
        <w:pStyle w:val="4"/>
        <w:spacing w:after="240"/>
        <w:rPr>
          <w:rFonts w:ascii="Times New Roman" w:hAnsi="Times New Roman"/>
          <w:color w:val="000000" w:themeColor="text1"/>
          <w:sz w:val="24"/>
          <w:szCs w:val="24"/>
        </w:rPr>
      </w:pPr>
      <w:bookmarkStart w:id="195" w:name="_Toc126059751"/>
      <w:r w:rsidRPr="00F42555">
        <w:rPr>
          <w:rFonts w:ascii="Times New Roman" w:hAnsi="Times New Roman"/>
          <w:color w:val="000000" w:themeColor="text1"/>
          <w:sz w:val="24"/>
          <w:szCs w:val="24"/>
        </w:rPr>
        <w:t>4.</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.2. Почечная недостаточность</w:t>
      </w:r>
      <w:bookmarkEnd w:id="194"/>
      <w:bookmarkEnd w:id="195"/>
    </w:p>
    <w:p w14:paraId="23B167ED" w14:textId="5AA55297" w:rsidR="00200EBA" w:rsidRDefault="00200EBA" w:rsidP="00200EBA">
      <w:pPr>
        <w:ind w:firstLine="709"/>
      </w:pPr>
      <w:r>
        <w:t>Фармакокинетика ленватиниба изучалась у 6 пациентов с легкой, средней и тяжелой степенью почечной недостаточности, которые получали препарат в однократн</w:t>
      </w:r>
      <w:r w:rsidR="000638C1">
        <w:t>ы</w:t>
      </w:r>
      <w:r>
        <w:t>х дозах по 24 мг. Группа сравнения включала 8 здоровых добровольцев со сходными демографическими показателями. Исследования ленватиниба у пациентов с хроническими заболеваниями почек в терминальной стадии не проводились.</w:t>
      </w:r>
    </w:p>
    <w:p w14:paraId="67ECB6A7" w14:textId="7C0EE9BD" w:rsidR="00200EBA" w:rsidRDefault="00200EBA" w:rsidP="00200EBA">
      <w:pPr>
        <w:ind w:firstLine="709"/>
      </w:pPr>
      <w:r>
        <w:t xml:space="preserve">Уровень экспозиции ленватиниба на основе показателя </w:t>
      </w:r>
      <w:r w:rsidRPr="004B12A1">
        <w:t>AUC</w:t>
      </w:r>
      <w:r>
        <w:t xml:space="preserve"> </w:t>
      </w:r>
      <w:r w:rsidRPr="004B12A1">
        <w:rPr>
          <w:vertAlign w:val="subscript"/>
        </w:rPr>
        <w:t>0-inf</w:t>
      </w:r>
      <w:r>
        <w:t xml:space="preserve"> для пациентов с легкой, средней или тяжелой степенью почечной недостаточности составил 101%, 90% и 122%, соответственно, по сравнению с пациентами с нормальной функцией почек.</w:t>
      </w:r>
    </w:p>
    <w:p w14:paraId="3F0A93FD" w14:textId="03E8E92B" w:rsidR="00200EBA" w:rsidRDefault="00200EBA" w:rsidP="006A4F12">
      <w:pPr>
        <w:ind w:firstLine="709"/>
      </w:pPr>
      <w:r>
        <w:t xml:space="preserve">Было установлено, что связывание с белками плазмы у пациентов с почечной недостаточностью и здоровых добровольцев были сходными, зависимости от концентрации не наблюдалось </w:t>
      </w:r>
      <w:r>
        <w:fldChar w:fldCharType="begin"/>
      </w:r>
      <w:r>
        <w:instrText xml:space="preserve"> ADDIN ZOTERO_ITEM CSL_CITATION {"citationID":"kOqrJziw","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13DC36E4" w14:textId="77777777" w:rsidR="00200EBA" w:rsidRDefault="00200EBA" w:rsidP="00200EBA">
      <w:pPr>
        <w:pStyle w:val="4"/>
        <w:spacing w:before="120" w:after="120"/>
        <w:rPr>
          <w:rFonts w:ascii="Times New Roman" w:hAnsi="Times New Roman"/>
          <w:color w:val="000000" w:themeColor="text1"/>
          <w:sz w:val="24"/>
          <w:szCs w:val="24"/>
        </w:rPr>
      </w:pPr>
      <w:bookmarkStart w:id="196" w:name="_Toc52190584"/>
      <w:bookmarkStart w:id="197" w:name="_Toc126059752"/>
      <w:r>
        <w:rPr>
          <w:rFonts w:ascii="Times New Roman" w:hAnsi="Times New Roman"/>
          <w:color w:val="000000" w:themeColor="text1"/>
          <w:sz w:val="24"/>
          <w:szCs w:val="24"/>
        </w:rPr>
        <w:t>4</w:t>
      </w:r>
      <w:r w:rsidRPr="00F42555">
        <w:rPr>
          <w:rFonts w:ascii="Times New Roman" w:hAnsi="Times New Roman"/>
          <w:color w:val="000000" w:themeColor="text1"/>
          <w:sz w:val="24"/>
          <w:szCs w:val="24"/>
        </w:rPr>
        <w:t>.</w:t>
      </w:r>
      <w:r>
        <w:rPr>
          <w:rFonts w:ascii="Times New Roman" w:hAnsi="Times New Roman"/>
          <w:color w:val="000000" w:themeColor="text1"/>
          <w:sz w:val="24"/>
          <w:szCs w:val="24"/>
        </w:rPr>
        <w:t>1.6</w:t>
      </w:r>
      <w:r w:rsidRPr="00F42555">
        <w:rPr>
          <w:rFonts w:ascii="Times New Roman" w:hAnsi="Times New Roman"/>
          <w:color w:val="000000" w:themeColor="text1"/>
          <w:sz w:val="24"/>
          <w:szCs w:val="24"/>
        </w:rPr>
        <w:t>.3. Печеночная недостаточность</w:t>
      </w:r>
      <w:bookmarkEnd w:id="196"/>
      <w:bookmarkEnd w:id="197"/>
    </w:p>
    <w:p w14:paraId="0232847A" w14:textId="77777777" w:rsidR="00200EBA" w:rsidRDefault="00200EBA" w:rsidP="00200EBA">
      <w:pPr>
        <w:ind w:firstLine="709"/>
      </w:pPr>
      <w:r>
        <w:t>Фармакокинетика ленватиниба изучалась у 6 пациентов с легкой и средней степенью тяжести печеночной недостаточности (класс А и В по шкале Чайлд-Пью), которые получали препарат в однократной дозе по 10 мг. У 6 пациентов с тяжелой печеночной недостаточностью (класс С по шкале Чайлд-Пью) препарат применялся в дозе 5 мг. Контрольная группа включала 8 здоровых добровольцев со сходными демографическими показателями, которые получали ленватиниб в дозе 10 мг.</w:t>
      </w:r>
    </w:p>
    <w:p w14:paraId="6710DFE9" w14:textId="79561ED9" w:rsidR="00200EBA" w:rsidRDefault="00200EBA" w:rsidP="006A4F12">
      <w:pPr>
        <w:ind w:firstLine="709"/>
      </w:pPr>
      <w:r>
        <w:t xml:space="preserve">Уровень экспозиции ленватиниба, на основе скорректированных по дозе показателей </w:t>
      </w:r>
      <w:r w:rsidRPr="004B12A1">
        <w:t>AUC</w:t>
      </w:r>
      <w:r w:rsidRPr="004B12A1">
        <w:rPr>
          <w:vertAlign w:val="subscript"/>
        </w:rPr>
        <w:t xml:space="preserve">0-t </w:t>
      </w:r>
      <w:r>
        <w:t>и</w:t>
      </w:r>
      <w:r w:rsidRPr="004B12A1">
        <w:t xml:space="preserve"> AUC</w:t>
      </w:r>
      <w:r w:rsidRPr="004B12A1">
        <w:rPr>
          <w:vertAlign w:val="subscript"/>
        </w:rPr>
        <w:t>0-inf</w:t>
      </w:r>
      <w:r>
        <w:t xml:space="preserve"> у пациентов с легкой, средней и тяжелой степенью печеночной недостаточности составлял приблизительно 119</w:t>
      </w:r>
      <w:r w:rsidR="007B271B">
        <w:t>,</w:t>
      </w:r>
      <w:r>
        <w:t xml:space="preserve"> </w:t>
      </w:r>
      <w:r w:rsidR="007B271B">
        <w:rPr>
          <w:iCs/>
        </w:rPr>
        <w:t>107</w:t>
      </w:r>
      <w:r>
        <w:t xml:space="preserve"> и 180% (соответственно) от уровня его экспозиции у пациентов с нормальной функцией печени. Было установлено, что связывание с белками плазмы у пациентов с печеночной недостаточностью и здоровых добровольцев было сходным, зависимости от концентрации не наблюдалось. </w:t>
      </w:r>
    </w:p>
    <w:p w14:paraId="0D6AD234" w14:textId="3B7BC620" w:rsidR="00200EBA" w:rsidRDefault="00200EBA" w:rsidP="006A4F12">
      <w:pPr>
        <w:ind w:firstLine="709"/>
      </w:pPr>
      <w:r>
        <w:t xml:space="preserve">Медиана периода полувыведения препарата имела сопоставимые значения у пациентов с легкой, умеренной и тяжелой степенью печеночной недостаточности и варьировала от 26 до 31 часов и была аналогичной у здоровых добровольцев. </w:t>
      </w:r>
      <w:r w:rsidR="00951B6E">
        <w:t xml:space="preserve">Доля </w:t>
      </w:r>
      <w:r>
        <w:t xml:space="preserve">дозы ленватиниба, </w:t>
      </w:r>
      <w:r w:rsidR="00951B6E">
        <w:t xml:space="preserve">выводившаяся </w:t>
      </w:r>
      <w:r>
        <w:t xml:space="preserve">почками, была низкой во всех когортах пациентов (менее 2,16%) </w:t>
      </w:r>
      <w:r>
        <w:fldChar w:fldCharType="begin"/>
      </w:r>
      <w:r>
        <w:instrText xml:space="preserve"> ADDIN ZOTERO_ITEM CSL_CITATION {"citationID":"jJOcp6r8","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5BB7CCA5" w14:textId="77777777" w:rsidR="00435B3D" w:rsidRPr="00CC00EF" w:rsidRDefault="00435B3D" w:rsidP="006A4F12">
      <w:pPr>
        <w:ind w:firstLine="709"/>
      </w:pPr>
    </w:p>
    <w:p w14:paraId="560ED63A" w14:textId="77777777" w:rsidR="00200EBA" w:rsidRDefault="00200EBA" w:rsidP="00E36A78">
      <w:pPr>
        <w:rPr>
          <w:b/>
          <w:bCs/>
        </w:rPr>
      </w:pPr>
      <w:r w:rsidRPr="00AB20DF">
        <w:rPr>
          <w:b/>
          <w:bCs/>
        </w:rPr>
        <w:t>4</w:t>
      </w:r>
      <w:r w:rsidRPr="00620389">
        <w:rPr>
          <w:b/>
          <w:bCs/>
        </w:rPr>
        <w:t>.</w:t>
      </w:r>
      <w:r>
        <w:rPr>
          <w:b/>
          <w:bCs/>
        </w:rPr>
        <w:t>1.7</w:t>
      </w:r>
      <w:r w:rsidRPr="00620389">
        <w:rPr>
          <w:b/>
          <w:bCs/>
        </w:rPr>
        <w:t xml:space="preserve">. </w:t>
      </w:r>
      <w:r w:rsidRPr="00A06148">
        <w:rPr>
          <w:b/>
        </w:rPr>
        <w:t>Фармакокине</w:t>
      </w:r>
      <w:r>
        <w:rPr>
          <w:b/>
          <w:bCs/>
        </w:rPr>
        <w:t>тические лекарственные взаимодействия</w:t>
      </w:r>
    </w:p>
    <w:p w14:paraId="6FFDB5D4" w14:textId="77777777" w:rsidR="006A4F12" w:rsidRDefault="006A4F12" w:rsidP="006A4F12">
      <w:pPr>
        <w:rPr>
          <w:b/>
          <w:bCs/>
        </w:rPr>
      </w:pPr>
    </w:p>
    <w:p w14:paraId="123D57E6" w14:textId="1421DC3D" w:rsidR="00200EBA" w:rsidRPr="008077D3" w:rsidRDefault="00200EBA" w:rsidP="006A4F12">
      <w:pPr>
        <w:rPr>
          <w:b/>
          <w:bCs/>
        </w:rPr>
      </w:pPr>
      <w:r w:rsidRPr="008077D3">
        <w:rPr>
          <w:b/>
          <w:bCs/>
        </w:rPr>
        <w:t>Ингибиторы или индукторы изофермента С</w:t>
      </w:r>
      <w:r w:rsidR="001276D0">
        <w:rPr>
          <w:b/>
          <w:bCs/>
          <w:lang w:val="en-US"/>
        </w:rPr>
        <w:t>YP</w:t>
      </w:r>
      <w:r w:rsidR="001276D0" w:rsidRPr="001276D0">
        <w:rPr>
          <w:b/>
          <w:bCs/>
        </w:rPr>
        <w:t>3</w:t>
      </w:r>
      <w:r w:rsidRPr="008077D3">
        <w:rPr>
          <w:b/>
          <w:bCs/>
        </w:rPr>
        <w:t>А4, Р-гликопротеина и BCRP</w:t>
      </w:r>
    </w:p>
    <w:p w14:paraId="08F7E6CB" w14:textId="77777777" w:rsidR="006A4F12" w:rsidRDefault="006A4F12" w:rsidP="006A4F12">
      <w:pPr>
        <w:ind w:firstLine="567"/>
      </w:pPr>
    </w:p>
    <w:p w14:paraId="5661CA73" w14:textId="1BEA5785" w:rsidR="00200EBA" w:rsidRDefault="00200EBA" w:rsidP="001276D0">
      <w:pPr>
        <w:ind w:firstLine="709"/>
      </w:pPr>
      <w:r w:rsidRPr="008077D3">
        <w:t xml:space="preserve">Ленватиниб может применяться вне зависимости от приема ингибиторов изофермента </w:t>
      </w:r>
      <w:r w:rsidR="001276D0">
        <w:rPr>
          <w:lang w:val="en-US"/>
        </w:rPr>
        <w:t>CYP</w:t>
      </w:r>
      <w:r w:rsidR="001276D0" w:rsidRPr="001276D0">
        <w:t>3</w:t>
      </w:r>
      <w:r w:rsidRPr="008077D3">
        <w:t xml:space="preserve">А4, Р-гликопротеина и белка резистентности рака молочной железы BCRP. У здоровых добровольцев кетоконазол (400 мг в течение 18 дней) </w:t>
      </w:r>
      <w:r w:rsidR="00951B6E">
        <w:t xml:space="preserve">способствовал </w:t>
      </w:r>
      <w:r w:rsidR="00951B6E" w:rsidRPr="008077D3">
        <w:t>увелич</w:t>
      </w:r>
      <w:r w:rsidR="00951B6E">
        <w:t>ению</w:t>
      </w:r>
      <w:r w:rsidR="00951B6E" w:rsidRPr="008077D3">
        <w:t xml:space="preserve"> </w:t>
      </w:r>
      <w:r w:rsidRPr="004B12A1">
        <w:t>AUC</w:t>
      </w:r>
      <w:r w:rsidRPr="004B12A1">
        <w:rPr>
          <w:vertAlign w:val="subscript"/>
        </w:rPr>
        <w:t>0-inf</w:t>
      </w:r>
      <w:r>
        <w:t xml:space="preserve"> и </w:t>
      </w:r>
      <w:r w:rsidRPr="004B12A1">
        <w:t>AUC</w:t>
      </w:r>
      <w:r w:rsidR="001276D0">
        <w:rPr>
          <w:vertAlign w:val="subscript"/>
        </w:rPr>
        <w:t>0-t</w:t>
      </w:r>
      <w:r w:rsidR="00B75AE1">
        <w:rPr>
          <w:vertAlign w:val="subscript"/>
        </w:rPr>
        <w:t xml:space="preserve"> </w:t>
      </w:r>
      <w:r w:rsidR="00B75AE1">
        <w:t>на 15%</w:t>
      </w:r>
      <w:r w:rsidR="001276D0" w:rsidRPr="001276D0">
        <w:t>,</w:t>
      </w:r>
      <w:r>
        <w:rPr>
          <w:vertAlign w:val="subscript"/>
        </w:rPr>
        <w:t xml:space="preserve"> </w:t>
      </w:r>
      <w:r w:rsidRPr="008077D3">
        <w:t xml:space="preserve">тогда как </w:t>
      </w:r>
      <w:r>
        <w:rPr>
          <w:lang w:val="en-US"/>
        </w:rPr>
        <w:t>C</w:t>
      </w:r>
      <w:r w:rsidRPr="00087F73">
        <w:rPr>
          <w:vertAlign w:val="subscript"/>
          <w:lang w:val="en-US"/>
        </w:rPr>
        <w:t>max</w:t>
      </w:r>
      <w:r w:rsidR="00700832">
        <w:rPr>
          <w:vertAlign w:val="subscript"/>
        </w:rPr>
        <w:t xml:space="preserve"> </w:t>
      </w:r>
      <w:r w:rsidRPr="008077D3">
        <w:t xml:space="preserve">увеличивалась на 19%. Это подтверждается популяционным фармакокинетическим анализом, который показал, что </w:t>
      </w:r>
      <w:r w:rsidRPr="008077D3">
        <w:lastRenderedPageBreak/>
        <w:t xml:space="preserve">ингибиторы изофермента </w:t>
      </w:r>
      <w:r w:rsidR="001276D0">
        <w:rPr>
          <w:lang w:val="en-US"/>
        </w:rPr>
        <w:t>CYP</w:t>
      </w:r>
      <w:r w:rsidR="001276D0" w:rsidRPr="001276D0">
        <w:t>3</w:t>
      </w:r>
      <w:r w:rsidR="001276D0" w:rsidRPr="008077D3">
        <w:t>А4</w:t>
      </w:r>
      <w:r w:rsidRPr="008077D3">
        <w:t xml:space="preserve"> </w:t>
      </w:r>
      <w:r>
        <w:t>с</w:t>
      </w:r>
      <w:r w:rsidR="008F6759">
        <w:t>н</w:t>
      </w:r>
      <w:r>
        <w:t>ижают</w:t>
      </w:r>
      <w:r w:rsidRPr="008077D3">
        <w:t xml:space="preserve"> Cl</w:t>
      </w:r>
      <w:r w:rsidRPr="00087F73">
        <w:rPr>
          <w:vertAlign w:val="subscript"/>
        </w:rPr>
        <w:t>/F</w:t>
      </w:r>
      <w:r w:rsidRPr="008077D3">
        <w:t xml:space="preserve"> на 7,8%</w:t>
      </w:r>
      <w:r>
        <w:t xml:space="preserve"> (и</w:t>
      </w:r>
      <w:r w:rsidRPr="008077D3">
        <w:t>сследование E7080-A001-004</w:t>
      </w:r>
      <w:r>
        <w:t xml:space="preserve">) </w:t>
      </w:r>
      <w:r>
        <w:fldChar w:fldCharType="begin"/>
      </w:r>
      <w:r>
        <w:instrText xml:space="preserve"> ADDIN ZOTERO_ITEM CSL_CITATION {"citationID":"AkJ8EJVr","properties":{"formattedCitation":"[6]","plainCitation":"[6]","noteIndex":0},"citationItems":[{"id":2786,"uris":["http://zotero.org/users/5483459/items/25RUBM7Y"],"itemData":{"id":2786,"type":"webpage","abstract":"A Pharmacokinetic Study to Assess the Influence of Simultaneous CYP3A4 and P-glycoprotein Inhibition on E7080 Pharmacokinetics Following Single Dose Oral Administration of 5 mg E7080 to Healthy Volunteers - Full Text View.","language":"en","title":"A Pharmacokinetic Study to Assess the Influence of Simultaneous CYP3A4 and P-glycoprotein Inhibition on E7080 Pharmacokinetics Following Single Dose Oral Administration of 5 mg E7080 to Healthy Volunteers - Full Text View - ClinicalTrials.gov","URL":"https://clinicaltrials.gov/ct2/show/NCT02198170","accessed":{"date-parts":[["2022",10,30]]}}}],"schema":"https://github.com/citation-style-language/schema/raw/master/csl-citation.json"} </w:instrText>
      </w:r>
      <w:r>
        <w:fldChar w:fldCharType="separate"/>
      </w:r>
      <w:r w:rsidRPr="00573E9D">
        <w:t>[6]</w:t>
      </w:r>
      <w:r>
        <w:fldChar w:fldCharType="end"/>
      </w:r>
      <w:r>
        <w:t>.</w:t>
      </w:r>
    </w:p>
    <w:p w14:paraId="00A08AF4" w14:textId="11F1DA40" w:rsidR="00200EBA" w:rsidRDefault="00200EBA" w:rsidP="001276D0">
      <w:pPr>
        <w:ind w:firstLine="709"/>
      </w:pPr>
      <w:r w:rsidRPr="00573E9D">
        <w:t xml:space="preserve">Ленватиниб может применяться без коррекции дозы с индукторами изофермента </w:t>
      </w:r>
      <w:r w:rsidR="001276D0">
        <w:rPr>
          <w:lang w:val="en-US"/>
        </w:rPr>
        <w:t>CYP</w:t>
      </w:r>
      <w:r w:rsidR="001276D0" w:rsidRPr="001276D0">
        <w:t>3</w:t>
      </w:r>
      <w:r w:rsidR="001276D0" w:rsidRPr="008077D3">
        <w:t>А4</w:t>
      </w:r>
      <w:r w:rsidRPr="00573E9D">
        <w:t xml:space="preserve"> и Р-гликопротеина</w:t>
      </w:r>
      <w:r w:rsidR="00B75AE1">
        <w:t>, что подтверждается</w:t>
      </w:r>
      <w:r w:rsidRPr="00573E9D">
        <w:t xml:space="preserve"> </w:t>
      </w:r>
      <w:r w:rsidR="00B75AE1">
        <w:t>данными</w:t>
      </w:r>
      <w:r w:rsidRPr="00573E9D">
        <w:t xml:space="preserve"> </w:t>
      </w:r>
      <w:r w:rsidR="00B75AE1" w:rsidRPr="00573E9D">
        <w:t>исследовани</w:t>
      </w:r>
      <w:r w:rsidR="00B75AE1">
        <w:t>я</w:t>
      </w:r>
      <w:r w:rsidRPr="00573E9D">
        <w:t>, в котором здоровым добровольцам вводил</w:t>
      </w:r>
      <w:r>
        <w:t>а</w:t>
      </w:r>
      <w:r w:rsidRPr="00573E9D">
        <w:t xml:space="preserve">сь многократные дозы рифампицина (600 мг в течение 21 дня) </w:t>
      </w:r>
      <w:r>
        <w:t xml:space="preserve">совместно с однократной дозой </w:t>
      </w:r>
      <w:r w:rsidRPr="00573E9D">
        <w:t xml:space="preserve">ленватиниба (24 мг в </w:t>
      </w:r>
      <w:r>
        <w:t>д</w:t>
      </w:r>
      <w:r w:rsidRPr="00573E9D">
        <w:t xml:space="preserve">ень 15). </w:t>
      </w:r>
      <w:r w:rsidRPr="004B12A1">
        <w:t>AUC</w:t>
      </w:r>
      <w:r w:rsidRPr="004B12A1">
        <w:rPr>
          <w:vertAlign w:val="subscript"/>
        </w:rPr>
        <w:t>0</w:t>
      </w:r>
      <w:r w:rsidR="00804D62" w:rsidRPr="00106884">
        <w:rPr>
          <w:vertAlign w:val="subscript"/>
        </w:rPr>
        <w:t>-∞</w:t>
      </w:r>
      <w:r>
        <w:t xml:space="preserve"> и </w:t>
      </w:r>
      <w:r w:rsidRPr="004B12A1">
        <w:t>AUC</w:t>
      </w:r>
      <w:r w:rsidRPr="004B12A1">
        <w:rPr>
          <w:vertAlign w:val="subscript"/>
        </w:rPr>
        <w:t xml:space="preserve">0-t </w:t>
      </w:r>
      <w:r w:rsidR="001276D0" w:rsidRPr="001276D0">
        <w:t xml:space="preserve"> </w:t>
      </w:r>
      <w:r w:rsidRPr="00573E9D">
        <w:t>ленватиниба</w:t>
      </w:r>
      <w:r>
        <w:rPr>
          <w:vertAlign w:val="subscript"/>
        </w:rPr>
        <w:t xml:space="preserve"> </w:t>
      </w:r>
      <w:r w:rsidRPr="00573E9D">
        <w:t>увеличивалась</w:t>
      </w:r>
      <w:r>
        <w:rPr>
          <w:vertAlign w:val="subscript"/>
        </w:rPr>
        <w:t xml:space="preserve"> </w:t>
      </w:r>
      <w:r w:rsidRPr="00573E9D">
        <w:t>примерно на 18%, в то время как C</w:t>
      </w:r>
      <w:r w:rsidRPr="00573E9D">
        <w:rPr>
          <w:vertAlign w:val="subscript"/>
        </w:rPr>
        <w:t>max</w:t>
      </w:r>
      <w:r>
        <w:t xml:space="preserve"> </w:t>
      </w:r>
      <w:r w:rsidRPr="00573E9D">
        <w:t xml:space="preserve">не изменилась. </w:t>
      </w:r>
    </w:p>
    <w:p w14:paraId="29FF58B5" w14:textId="77777777" w:rsidR="00200EBA" w:rsidRPr="008077D3" w:rsidRDefault="00200EBA" w:rsidP="001276D0">
      <w:pPr>
        <w:ind w:firstLine="709"/>
      </w:pPr>
      <w:r w:rsidRPr="008077D3">
        <w:t xml:space="preserve">Одновременное применение темозоломида с ленватинибом (24 мг </w:t>
      </w:r>
      <w:r>
        <w:t>раз в день</w:t>
      </w:r>
      <w:r w:rsidRPr="008077D3">
        <w:t>) не влияло на фармакокинетические параметры ленватиниба.</w:t>
      </w:r>
    </w:p>
    <w:p w14:paraId="43FAD5B9" w14:textId="77777777" w:rsidR="00200EBA" w:rsidRDefault="00200EBA" w:rsidP="001276D0">
      <w:pPr>
        <w:ind w:firstLine="709"/>
      </w:pPr>
      <w:r w:rsidRPr="008077D3">
        <w:t xml:space="preserve">Одновременное применение ленватиниба, карбоплатина и паклитаксела не оказывает существенного влияния на фармакокинетические параметры </w:t>
      </w:r>
      <w:r>
        <w:t xml:space="preserve">всех изучаемых препаратов. </w:t>
      </w:r>
    </w:p>
    <w:p w14:paraId="08E5E181" w14:textId="135E6092" w:rsidR="00200EBA" w:rsidRDefault="00200EBA" w:rsidP="001276D0">
      <w:pPr>
        <w:ind w:firstLine="709"/>
      </w:pPr>
      <w:r>
        <w:t xml:space="preserve">На основании предоставленных данных лекарственного взаимодействия ленватиниба с другими </w:t>
      </w:r>
      <w:r w:rsidR="000638C1">
        <w:t>п</w:t>
      </w:r>
      <w:r>
        <w:t xml:space="preserve">ротивоопухолевыми препаратами не ожидается </w:t>
      </w:r>
      <w:r>
        <w:fldChar w:fldCharType="begin"/>
      </w:r>
      <w:r>
        <w:instrText xml:space="preserve"> ADDIN ZOTERO_ITEM CSL_CITATION {"citationID":"dySwuS1i","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7608D200" w14:textId="77777777" w:rsidR="00200EBA" w:rsidRPr="007256C8" w:rsidRDefault="00200EBA" w:rsidP="00200EBA">
      <w:pPr>
        <w:rPr>
          <w:b/>
          <w:bCs/>
          <w:iCs/>
        </w:rPr>
      </w:pPr>
    </w:p>
    <w:p w14:paraId="4B6D366C" w14:textId="7A6F1C65" w:rsidR="00200EBA" w:rsidRPr="00E56B9C" w:rsidRDefault="00200EBA" w:rsidP="00200EBA">
      <w:pPr>
        <w:rPr>
          <w:b/>
          <w:bCs/>
        </w:rPr>
      </w:pPr>
      <w:r w:rsidRPr="00E56B9C">
        <w:rPr>
          <w:b/>
          <w:bCs/>
        </w:rPr>
        <w:t xml:space="preserve">Субстраты изофермента </w:t>
      </w:r>
      <w:r w:rsidR="001276D0">
        <w:rPr>
          <w:b/>
          <w:bCs/>
          <w:lang w:val="en-US"/>
        </w:rPr>
        <w:t>CYP</w:t>
      </w:r>
      <w:r w:rsidR="001276D0" w:rsidRPr="001276D0">
        <w:rPr>
          <w:b/>
          <w:bCs/>
        </w:rPr>
        <w:t>3</w:t>
      </w:r>
      <w:r w:rsidRPr="00E56B9C">
        <w:rPr>
          <w:b/>
          <w:bCs/>
        </w:rPr>
        <w:t>А4</w:t>
      </w:r>
    </w:p>
    <w:p w14:paraId="37CDA0C8" w14:textId="77777777" w:rsidR="00200EBA" w:rsidRPr="00E56B9C" w:rsidRDefault="00200EBA" w:rsidP="00200EBA">
      <w:pPr>
        <w:rPr>
          <w:b/>
          <w:bCs/>
        </w:rPr>
      </w:pPr>
    </w:p>
    <w:p w14:paraId="669DE06F" w14:textId="0B5BF744" w:rsidR="00200EBA" w:rsidRPr="007256C8" w:rsidRDefault="00200EBA" w:rsidP="001276D0">
      <w:pPr>
        <w:ind w:firstLine="709"/>
      </w:pPr>
      <w:r w:rsidRPr="007256C8">
        <w:t>Клиническое исследование лекарственного взаимодействия у пациентов с онкологи</w:t>
      </w:r>
      <w:r>
        <w:t>ческими заболеваниями</w:t>
      </w:r>
      <w:r w:rsidRPr="007256C8">
        <w:t xml:space="preserve"> показало, что концентрации мидазолама в плазме (чувствительный субстрат </w:t>
      </w:r>
      <w:r w:rsidR="001276D0">
        <w:rPr>
          <w:lang w:val="en-US"/>
        </w:rPr>
        <w:t>CYP</w:t>
      </w:r>
      <w:r w:rsidR="001276D0" w:rsidRPr="001276D0">
        <w:t>3</w:t>
      </w:r>
      <w:r w:rsidRPr="007256C8">
        <w:t xml:space="preserve">А4 и Р-гликопротеина) не изменялись в присутствии ленватиниба. Кроме того, у пациентов с ПKP фармакокинетика эверолимуса не подвергалась значительному влиянию одновременного приема ленватиниба. Значительного лекарственного взаимодействия между ленватинибом и другими субстратами </w:t>
      </w:r>
      <w:r w:rsidR="001276D0">
        <w:rPr>
          <w:lang w:val="en-US"/>
        </w:rPr>
        <w:t>CYP</w:t>
      </w:r>
      <w:r w:rsidR="001276D0" w:rsidRPr="001276D0">
        <w:t>3</w:t>
      </w:r>
      <w:r w:rsidRPr="007256C8">
        <w:t>А4 / Р-гликопротеина не ожидается.</w:t>
      </w:r>
    </w:p>
    <w:p w14:paraId="51B802FA" w14:textId="66706D57" w:rsidR="00200EBA" w:rsidRDefault="00200EBA" w:rsidP="001276D0">
      <w:pPr>
        <w:ind w:firstLine="709"/>
      </w:pPr>
      <w:r w:rsidRPr="007256C8">
        <w:t xml:space="preserve">Основываясь на </w:t>
      </w:r>
      <w:r w:rsidR="00CD764C">
        <w:t>данных</w:t>
      </w:r>
      <w:r w:rsidRPr="007256C8">
        <w:t xml:space="preserve"> физиологически обоснованной фармакокинетической модели, разработанной для ленватиниба, значительного риска лекарственного взаимодействия между ленватинибом и мидазоламом (субстрат </w:t>
      </w:r>
      <w:r w:rsidR="001276D0">
        <w:rPr>
          <w:lang w:val="en-US"/>
        </w:rPr>
        <w:t>CYP</w:t>
      </w:r>
      <w:r w:rsidR="001276D0" w:rsidRPr="001276D0">
        <w:t>3</w:t>
      </w:r>
      <w:r w:rsidRPr="007256C8">
        <w:t>А4) или репаглинидом (субстрат CYP2C8) в дозе 24 мг ленватиниба не прогнозируется. Это также было подтверждено в клиническом исследовании, определяющем влияние ленватиниба на мидазолам у субъектов с распространенными солидными опухолями</w:t>
      </w:r>
      <w:r>
        <w:t xml:space="preserve"> </w:t>
      </w:r>
      <w:r>
        <w:fldChar w:fldCharType="begin"/>
      </w:r>
      <w:r>
        <w:instrText xml:space="preserve"> ADDIN ZOTERO_ITEM CSL_CITATION {"citationID":"Pp9SuWKK","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2DCDA174" w14:textId="77777777" w:rsidR="00200EBA" w:rsidRPr="007256C8" w:rsidRDefault="00200EBA" w:rsidP="00200EBA"/>
    <w:p w14:paraId="44B7BC47" w14:textId="77777777" w:rsidR="00200EBA" w:rsidRPr="00996F3C" w:rsidRDefault="00200EBA" w:rsidP="00200EBA">
      <w:pPr>
        <w:rPr>
          <w:b/>
          <w:bCs/>
          <w:iCs/>
        </w:rPr>
      </w:pPr>
      <w:r w:rsidRPr="00996F3C">
        <w:rPr>
          <w:b/>
          <w:bCs/>
        </w:rPr>
        <w:t>Субстраты Р-гликопротеина и BCRP</w:t>
      </w:r>
    </w:p>
    <w:p w14:paraId="15708EA5" w14:textId="77777777" w:rsidR="006A4F12" w:rsidRDefault="006A4F12" w:rsidP="00200EBA">
      <w:pPr>
        <w:ind w:firstLine="709"/>
      </w:pPr>
    </w:p>
    <w:p w14:paraId="57BEC12A" w14:textId="3EF9EFC8" w:rsidR="00200EBA" w:rsidRDefault="00200EBA" w:rsidP="00200EBA">
      <w:pPr>
        <w:ind w:firstLine="709"/>
      </w:pPr>
      <w:r w:rsidRPr="007256C8">
        <w:t>Ленватиниб показал минимальную ингибирующую способность в отношении транспортной активности, опосредованной Р-гликопротеином и BCRP. Аналогично, не было обнаружено индукции экспрессии мРНК Р-гликопротеина</w:t>
      </w:r>
      <w:r>
        <w:t xml:space="preserve"> </w:t>
      </w:r>
      <w:r>
        <w:fldChar w:fldCharType="begin"/>
      </w:r>
      <w:r>
        <w:instrText xml:space="preserve"> ADDIN ZOTERO_ITEM CSL_CITATION {"citationID":"99ekkpTy","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4C054C23" w14:textId="77777777" w:rsidR="00200EBA" w:rsidRPr="007256C8" w:rsidRDefault="00200EBA" w:rsidP="00200EBA">
      <w:pPr>
        <w:rPr>
          <w:b/>
          <w:bCs/>
          <w:iCs/>
        </w:rPr>
      </w:pPr>
    </w:p>
    <w:p w14:paraId="0246B96E" w14:textId="77777777" w:rsidR="00200EBA" w:rsidRDefault="00200EBA" w:rsidP="00200EBA">
      <w:pPr>
        <w:rPr>
          <w:b/>
          <w:bCs/>
        </w:rPr>
      </w:pPr>
      <w:r w:rsidRPr="00F77386">
        <w:rPr>
          <w:b/>
          <w:bCs/>
        </w:rPr>
        <w:t>Субстраты OAT, OCT, OATP, BSEP, МАТЕ и а</w:t>
      </w:r>
      <w:r>
        <w:rPr>
          <w:b/>
          <w:bCs/>
        </w:rPr>
        <w:t>л</w:t>
      </w:r>
      <w:r w:rsidRPr="00F77386">
        <w:rPr>
          <w:b/>
          <w:bCs/>
        </w:rPr>
        <w:t>ьдегидоксидазы</w:t>
      </w:r>
      <w:r>
        <w:rPr>
          <w:b/>
          <w:bCs/>
        </w:rPr>
        <w:t xml:space="preserve"> </w:t>
      </w:r>
    </w:p>
    <w:p w14:paraId="6E4454D9" w14:textId="77777777" w:rsidR="00200EBA" w:rsidRPr="00F77386" w:rsidRDefault="00200EBA" w:rsidP="00200EBA">
      <w:pPr>
        <w:rPr>
          <w:b/>
          <w:bCs/>
          <w:iCs/>
        </w:rPr>
      </w:pPr>
    </w:p>
    <w:p w14:paraId="4E780943" w14:textId="4982299D" w:rsidR="00200EBA" w:rsidRDefault="00200EBA" w:rsidP="00200EBA">
      <w:pPr>
        <w:ind w:firstLine="709"/>
      </w:pPr>
      <w:r w:rsidRPr="007256C8">
        <w:t>Ленватиниб проявлял ингибирующую активность на переносчики органических анионов OAT1, ОАТЗ, переносчики органических катионов OCT1, OCT2, белок-переносчик органических анионов OATP</w:t>
      </w:r>
      <w:r w:rsidR="006F27E5">
        <w:t>1</w:t>
      </w:r>
      <w:r w:rsidRPr="007256C8">
        <w:t>B1 и BSEP, но проявлял минимальную либо отсутствующую ингибирующую активность на OATP1ВЗ и белок множественной резистентности и выведения токсинов 2 (MATE2)-К. Ленватиниб слабо ингибирует MATE1. В цитозоле печени человека ленватиниб не ингибирует активность альдегидоксидазы</w:t>
      </w:r>
      <w:r>
        <w:t xml:space="preserve"> </w:t>
      </w:r>
      <w:r>
        <w:fldChar w:fldCharType="begin"/>
      </w:r>
      <w:r>
        <w:instrText xml:space="preserve"> ADDIN ZOTERO_ITEM CSL_CITATION {"citationID":"SF87E3fZ","properties":{"formattedCitation":"[2\\uc0\\u8211{}5]","plainCitation":"[2–5]","noteIndex":0},"citationItems":[{"id":2657,"uris":["http://zotero.org/users/5483459/items/FNN248PV"],"itemData":{"id":2657,"type":"document","title":"Министерство здравоохранения Российской Федерации. Инструкция по медицинскому применению  для препарата Ленвима®. Версия от 29.03.2022. Регистрационное удостоверение ЛП-003398 от 29.12.2015.  Эйсай Юроп Лимитед. Соединенное Королевство."},"label":"page"},{"id":2745,"uris":["http://zotero.org/users/5483459/items/95XEZDWJ"],"itemData":{"id":2745,"type":"document","title":"European  Medicines Agency. SUMMARY OF PRODUCT CHARACTERISTICS. LENVIMA 4 mg, 10 mg hard capsules.26.11.2021"},"label":"page"},{"id":2784,"uris":["http://zotero.org/users/5483459/items/Z3WVRZQB"],"itemData":{"id":2784,"type":"document","title":"European  Medicines Agency. Assessment report Lenvima International non-proprietary name: lenvatinib Procedure No. EMEA/H/C/003727/0000.26 March 2015."},"label":"page"},{"id":2752,"uris":["http://zotero.org/users/5483459/items/DEKD639A"],"itemData":{"id":2752,"type":"document","title":"U.S. Food and Drug Administration. Drug Approval Package.LENVIMA (lenvatinib) Capsules Company:  Eisai, Inc. MEDICAL REVIEW(S) .Application No.:  206947 Approval Date: 2/13/2015."},"label":"page"}],"schema":"https://github.com/citation-style-language/schema/raw/master/csl-citation.json"} </w:instrText>
      </w:r>
      <w:r>
        <w:fldChar w:fldCharType="separate"/>
      </w:r>
      <w:r w:rsidRPr="009B44C5">
        <w:t>[2–5]</w:t>
      </w:r>
      <w:r>
        <w:fldChar w:fldCharType="end"/>
      </w:r>
      <w:r>
        <w:t>.</w:t>
      </w:r>
    </w:p>
    <w:p w14:paraId="21834C05" w14:textId="77777777" w:rsidR="001276D0" w:rsidRPr="007256C8" w:rsidRDefault="001276D0" w:rsidP="00200EBA">
      <w:pPr>
        <w:ind w:firstLine="709"/>
        <w:rPr>
          <w:b/>
          <w:bCs/>
          <w:iCs/>
        </w:rPr>
      </w:pPr>
    </w:p>
    <w:p w14:paraId="10F4D484" w14:textId="77777777" w:rsidR="00E36A78" w:rsidRDefault="00200EBA" w:rsidP="00E36A78">
      <w:pPr>
        <w:rPr>
          <w:b/>
          <w:bCs/>
          <w:iCs/>
        </w:rPr>
        <w:sectPr w:rsidR="00E36A78" w:rsidSect="00AB01E2">
          <w:pgSz w:w="11906" w:h="16838"/>
          <w:pgMar w:top="1134" w:right="849" w:bottom="1134" w:left="1701" w:header="708" w:footer="709" w:gutter="0"/>
          <w:cols w:space="708"/>
          <w:docGrid w:linePitch="360"/>
        </w:sectPr>
      </w:pPr>
      <w:r w:rsidRPr="007256C8">
        <w:rPr>
          <w:b/>
          <w:bCs/>
          <w:iCs/>
        </w:rPr>
        <w:t xml:space="preserve"> </w:t>
      </w:r>
    </w:p>
    <w:p w14:paraId="6E0826A1" w14:textId="7B268CCF" w:rsidR="00200EBA" w:rsidRDefault="00200EBA" w:rsidP="00E36A78">
      <w:pPr>
        <w:pStyle w:val="2"/>
        <w:spacing w:before="0" w:after="0" w:line="240" w:lineRule="auto"/>
      </w:pPr>
      <w:bookmarkStart w:id="198" w:name="_Toc126059753"/>
      <w:r w:rsidRPr="00143CD4">
        <w:lastRenderedPageBreak/>
        <w:t>4.2. Фармакодинамика у человека</w:t>
      </w:r>
      <w:bookmarkEnd w:id="198"/>
    </w:p>
    <w:p w14:paraId="7E29724B" w14:textId="77777777" w:rsidR="00E36A78" w:rsidRPr="00E36A78" w:rsidRDefault="00E36A78" w:rsidP="00E36A78"/>
    <w:p w14:paraId="49BEDFC8" w14:textId="77777777" w:rsidR="00200EBA" w:rsidRDefault="00200EBA" w:rsidP="00E36A78">
      <w:pPr>
        <w:pStyle w:val="111"/>
        <w:spacing w:before="0" w:after="0"/>
      </w:pPr>
      <w:bookmarkStart w:id="199" w:name="_Toc76119875"/>
      <w:bookmarkStart w:id="200" w:name="_Toc90285299"/>
      <w:bookmarkStart w:id="201" w:name="_Toc126059754"/>
      <w:r>
        <w:t>4.2.1. Ф</w:t>
      </w:r>
      <w:r w:rsidRPr="00BC1CB6">
        <w:t>армакодинамика и механизм действия</w:t>
      </w:r>
      <w:bookmarkEnd w:id="199"/>
      <w:bookmarkEnd w:id="200"/>
      <w:bookmarkEnd w:id="201"/>
      <w:r>
        <w:t xml:space="preserve"> </w:t>
      </w:r>
    </w:p>
    <w:p w14:paraId="2A2502E6" w14:textId="77777777" w:rsidR="001276D0" w:rsidRDefault="001276D0" w:rsidP="001276D0">
      <w:pPr>
        <w:ind w:firstLine="709"/>
      </w:pPr>
    </w:p>
    <w:p w14:paraId="3A9BC7B6" w14:textId="4A834CC5" w:rsidR="00200EBA" w:rsidRPr="007E0388" w:rsidRDefault="00200EBA" w:rsidP="001276D0">
      <w:pPr>
        <w:ind w:firstLine="709"/>
        <w:rPr>
          <w:i/>
          <w:iCs/>
        </w:rPr>
      </w:pPr>
      <w:r w:rsidRPr="007E0388">
        <w:t xml:space="preserve">Ленватиниб является мультикиназным ингибитором, который показал антиангиогенную активность </w:t>
      </w:r>
      <w:r w:rsidRPr="00593C83">
        <w:rPr>
          <w:i/>
          <w:iCs/>
        </w:rPr>
        <w:t>і</w:t>
      </w:r>
      <w:r w:rsidRPr="00593C83">
        <w:rPr>
          <w:i/>
          <w:iCs/>
          <w:lang w:val="en-US"/>
        </w:rPr>
        <w:t>n</w:t>
      </w:r>
      <w:r w:rsidRPr="00593C83">
        <w:rPr>
          <w:i/>
          <w:iCs/>
        </w:rPr>
        <w:t xml:space="preserve"> vitro</w:t>
      </w:r>
      <w:r w:rsidRPr="007E0388">
        <w:t xml:space="preserve"> и </w:t>
      </w:r>
      <w:r w:rsidRPr="00593C83">
        <w:rPr>
          <w:i/>
          <w:iCs/>
        </w:rPr>
        <w:t>in vivo</w:t>
      </w:r>
      <w:r w:rsidRPr="007E0388">
        <w:t xml:space="preserve">, а также прямое торможение роста опухоли в моделях </w:t>
      </w:r>
      <w:r w:rsidRPr="007E0388">
        <w:rPr>
          <w:i/>
          <w:iCs/>
        </w:rPr>
        <w:t>in vitro.</w:t>
      </w:r>
    </w:p>
    <w:p w14:paraId="0549529C" w14:textId="09ED72FE" w:rsidR="00200EBA" w:rsidRPr="00536FEC" w:rsidRDefault="00200EBA" w:rsidP="001276D0">
      <w:pPr>
        <w:ind w:firstLine="709"/>
      </w:pPr>
      <w:bookmarkStart w:id="202" w:name="_Hlk118206644"/>
      <w:bookmarkStart w:id="203" w:name="_Hlk118149591"/>
      <w:bookmarkStart w:id="204" w:name="_Hlk118149808"/>
      <w:r w:rsidRPr="00536FEC">
        <w:t>ТК</w:t>
      </w:r>
      <w:bookmarkEnd w:id="202"/>
      <w:r w:rsidRPr="00536FEC">
        <w:t xml:space="preserve"> являются ключевыми регуляторами клеточной функции и составляют большую и функционально разнообразную группу </w:t>
      </w:r>
      <w:r w:rsidR="00CD764C">
        <w:t>ферментов</w:t>
      </w:r>
      <w:r w:rsidRPr="00536FEC">
        <w:t>, имеющих общий консервативный киназный домен. Добавляя фосфатную группу из АТФ к остатку тирозина на своем субстрате (ах), ТК изменяют активность субстрата, локализацию и взаимодействие со многими другими белками</w:t>
      </w:r>
      <w:r w:rsidR="001276D0" w:rsidRPr="001276D0">
        <w:t>.</w:t>
      </w:r>
      <w:r w:rsidRPr="00536FEC">
        <w:t xml:space="preserve"> Они тесно вовлечены во многие клеточные процессы, такие как ангиогенез и контроль клеточного цикла </w:t>
      </w:r>
      <w:bookmarkEnd w:id="203"/>
      <w:r>
        <w:fldChar w:fldCharType="begin"/>
      </w:r>
      <w:r>
        <w:instrText xml:space="preserve"> ADDIN ZOTERO_ITEM CSL_CITATION {"citationID":"XM7SRqZQ","properties":{"formattedCitation":"[7,8]","plainCitation":"[7,8]","noteIndex":0},"citationItems":[{"id":2820,"uris":["http://zotero.org/users/5483459/items/TIDN32EX"],"itemData":{"id":2820,"type":"article-journal","abstract":"Cell division in mammalian cells is driven by protein kinases that regulate progression through the various phases of the cell cycle. Cyclin-dependent kinases (Cdks) regulate cell cycle commitment, DNA synthesis and the onset of mitosis. Kinases of the Aurora, Polo and Nek families participate in the centrosome cycle and modulate spindle function. Additional kinases such as Bub1, BubR1 and Mps1 regulate the spindle assembly checkpoint. It has been well established that misregulation of Cdks is one of the most frequent alterations in human cancer. Recent evidence indicates that mutations involving mitotic kinases are also linked to tumor development. These findings suggest novel strategies to use cell cycle kinases as targets for therapeutic intervention.","container-title":"Current Opinion in Genetics &amp; Development","DOI":"10.1016/j.gde.2006.12.008","ISSN":"0959-437X","issue":"1","journalAbbreviation":"Curr Opin Genet Dev","language":"eng","note":"PMID: 17208431","page":"60-65","source":"PubMed","title":"Cell cycle kinases in cancer","volume":"17","author":[{"family":"Malumbres","given":"Marcos"},{"family":"Barbacid","given":"Mariano"}],"issued":{"date-parts":[["2007",2]]}},"label":"page"},{"id":2818,"uris":["http://zotero.org/users/5483459/items/9E3QCISE"],"itemData":{"id":2818,"type":"article-journal","abstract":"Mitogen-activated protein (MAP) kinase kinase (MAPKK) activates MAP kinase in a signal transduction pathway that mediates cellular responses to growth and differentiation factors. Oncogenes such as ras, src, raf, and mos have been proposed to transform cells by prolonging the activated state of MAPKK and of components downstream in the signaling pathway. To test this hypothesis, constitutively active MAPKK mutants were designed that had basal activities up to 400 times greater than that of the unphosphorylated wild-type kinase. Expression of these mutants in mammalian cells activated AP-1-regulated transcription. The cells formed transformed foci, grew efficiently in soft agar, and were highly tumorigenic in nude mice. These findings indicate that constitutive activation of MAPKK is sufficient to promote cell transformation.","container-title":"Science (New York, N.Y.)","DOI":"10.1126/science.8052857","ISSN":"0036-8075","issue":"5174","journalAbbreviation":"Science","language":"eng","note":"PMID: 8052857","page":"966-970","source":"PubMed","title":"Transformation of mammalian cells by constitutively active MAP kinase kinase","volume":"265","author":[{"family":"Mansour","given":"S. J."},{"family":"Matten","given":"W. T."},{"family":"Hermann","given":"A. S."},{"family":"Candia","given":"J. M."},{"family":"Rong","given":"S."},{"family":"Fukasawa","given":"K."},{"family":"Vande Woude","given":"G. F."},{"family":"Ahn","given":"N. G."}],"issued":{"date-parts":[["1994",8,12]]}},"label":"page"}],"schema":"https://github.com/citation-style-language/schema/raw/master/csl-citation.json"} </w:instrText>
      </w:r>
      <w:r>
        <w:fldChar w:fldCharType="separate"/>
      </w:r>
      <w:r w:rsidRPr="00460086">
        <w:t>[7,</w:t>
      </w:r>
      <w:r w:rsidR="001276D0" w:rsidRPr="000971D1">
        <w:t xml:space="preserve"> </w:t>
      </w:r>
      <w:r w:rsidRPr="00460086">
        <w:t>8]</w:t>
      </w:r>
      <w:r>
        <w:fldChar w:fldCharType="end"/>
      </w:r>
      <w:r>
        <w:t xml:space="preserve">. </w:t>
      </w:r>
      <w:r w:rsidRPr="00536FEC">
        <w:t xml:space="preserve">ТК являются критическими компонентами клеточного сигнального пути, и их активность строго регулируется. Аберрантная активность ТК была связана со многими болезненными состояниями, включая рак; поэтому </w:t>
      </w:r>
      <w:bookmarkStart w:id="205" w:name="_Hlk118206680"/>
      <w:r w:rsidRPr="00536FEC">
        <w:t>ингибиторы тирозинкиназы (ИТК),</w:t>
      </w:r>
      <w:bookmarkEnd w:id="205"/>
      <w:r w:rsidRPr="00536FEC">
        <w:t xml:space="preserve"> возможно, лучше всего изучены при раке. Начиная с успеха иматиниба в лечении хронического миелоидного лейкоза, ИТК последовательно тестируются и внедряются в лечение больных раком с заметным улучшением </w:t>
      </w:r>
      <w:r>
        <w:t xml:space="preserve">лечения </w:t>
      </w:r>
      <w:r w:rsidRPr="00536FEC">
        <w:t>исход</w:t>
      </w:r>
      <w:r>
        <w:t>ов</w:t>
      </w:r>
      <w:r w:rsidRPr="00536FEC">
        <w:t xml:space="preserve"> рака </w:t>
      </w:r>
      <w:r>
        <w:fldChar w:fldCharType="begin"/>
      </w:r>
      <w:r>
        <w:instrText xml:space="preserve"> ADDIN ZOTERO_ITEM CSL_CITATION {"citationID":"FvxcI0hQ","properties":{"formattedCitation":"[9,10]","plainCitation":"[9,10]","noteIndex":0},"citationItems":[{"id":2793,"uris":["http://zotero.org/users/5483459/items/YVPINS69"],"itemData":{"id":2793,"type":"article-journal","abstract":"The phosphorylation of a protein can alter its behaviour in almost every conceivable way. These include modulation of its intrinsic biological activity, subcellular location, half-life and docking with other proteins. 'Multisite phosphorylation can enable several such effects to operate in the same protein. It can also determine the extent and duration of a response and is the key to signal integration.","container-title":"Trends in Biochemical Sciences","DOI":"10.1016/s0968-0004(00)01712-6","ISSN":"0968-0004","issue":"12","journalAbbreviation":"Trends Biochem Sci","language":"eng","note":"PMID: 11116185","page":"596-601","source":"PubMed","title":"The regulation of protein function by multisite phosphorylation--a 25 year update","volume":"25","author":[{"family":"Cohen","given":"P."}],"issued":{"date-parts":[["2000",12]]}},"label":"page"},{"id":2795,"uris":["http://zotero.org/users/5483459/items/2YMTTY3S"],"itemData":{"id":2795,"type":"article-journal","abstract":"The explosion of scientific interest in protein kinase-mediated signaling networks has led to the infusion of new chemical methods and their applications related to the analysis of phosphorylation pathways. We highlight some of these chemical biology approaches across three areas. First, we discuss the development of chemical tools to modulate the activity of protein kinases to explore kinase mechanisms and their contributions to phosphorylation events and cellular processes. Second, we describe chemical techniques developed in the past few years to dissect the structural and functional effects of phosphate modifications at specific sites in proteins. Third, we cover newly developed molecular imaging approaches to elucidate the spatiotemporal aspects of phosphorylation cascades in live cells. Exciting advances in our understanding of protein phosphorylation have been obtained with these chemical biology approaches, but continuing opportunities for technological innovation remain.","container-title":"Annual Review of Biochemistry","DOI":"10.1146/annurev.biochem.78.070907.103047","ISSN":"1545-4509","journalAbbreviation":"Annu Rev Biochem","language":"eng","note":"PMID: 19489734\nPMCID: PMC3074175","page":"797-825","source":"PubMed","title":"The chemical biology of protein phosphorylation","volume":"78","author":[{"family":"Tarrant","given":"Mary Katherine"},{"family":"Cole","given":"Philip A."}],"issued":{"date-parts":[["2009"]]}},"label":"page"}],"schema":"https://github.com/citation-style-language/schema/raw/master/csl-citation.json"} </w:instrText>
      </w:r>
      <w:r>
        <w:fldChar w:fldCharType="separate"/>
      </w:r>
      <w:r w:rsidRPr="00460086">
        <w:t>[9,</w:t>
      </w:r>
      <w:r w:rsidR="001276D0" w:rsidRPr="000971D1">
        <w:t xml:space="preserve"> </w:t>
      </w:r>
      <w:r w:rsidRPr="00460086">
        <w:t>10]</w:t>
      </w:r>
      <w:r>
        <w:fldChar w:fldCharType="end"/>
      </w:r>
      <w:r>
        <w:t xml:space="preserve">. </w:t>
      </w:r>
    </w:p>
    <w:p w14:paraId="68F2D4B4" w14:textId="527AB084" w:rsidR="00200EBA" w:rsidRPr="00536FEC" w:rsidRDefault="00200EBA" w:rsidP="001276D0">
      <w:pPr>
        <w:ind w:firstLine="709"/>
      </w:pPr>
      <w:r w:rsidRPr="00536FEC">
        <w:t>Впервые о ленватинибе сообщалось в 2008 г. как о многоцелевом ИТК, способном ингибировать несколько киназ в наномольной концентрации (IC</w:t>
      </w:r>
      <w:r w:rsidRPr="007D4E23">
        <w:rPr>
          <w:vertAlign w:val="subscript"/>
        </w:rPr>
        <w:t>50</w:t>
      </w:r>
      <w:r w:rsidRPr="00536FEC">
        <w:t xml:space="preserve"> 4–100 нМ) </w:t>
      </w:r>
      <w:r>
        <w:fldChar w:fldCharType="begin"/>
      </w:r>
      <w:r>
        <w:instrText xml:space="preserve"> ADDIN ZOTERO_ITEM CSL_CITATION {"citationID":"0lkYh6co","properties":{"formattedCitation":"[11]","plainCitation":"[11]","noteIndex":0},"citationItems":[{"id":2798,"uris":["http://zotero.org/users/5483459/items/WTMCY7BG"],"itemData":{"id":2798,"type":"article-journal","abstract":"E7080 is an orally active inhibitor of multiple receptor tyrosine kinases including VEGF, FGF and SCF receptors. In this study, we show the inhibitory activity of E7080 against SCF-induced angiogenesis in vitro and tumor growth of SCF-producing human small cell lung carcinoma H146 cells in vivo. E7080 inhibits SCF-driven tube formation of HUVEC, which express SCF receptor, KIT at the IC(50) value of 5.2 nM and it was almost identical for VEGF-driven one (IC(50) = 5.1 nM). To assess the role of SCF/KIT signaling in tumor angiogenesis, we evaluated the effect of imatinib, a selective KIT kinase inhibitor, on tumor growth of H146 cells in nude mice. Imatinib did not show the potent antitumor activity in vitro (IC(50) = 2,200 nM), because H146 cells did not express KIT. However, oral administration of imatinib at 160 mg/kg clearly slowed tumor growth of H146 cells in nude mice, accompanied by decreased microvessel density. Oral administration of E7080 inhibited tumor growth of H146 cells at doses of 30 and 100 mg/kg in a dose-dependent manner and caused tumor regression at 100 mg/kg. While anti-VEGF antibody also slowed tumor growth, it did not cause tumor regression. These results indicate that KIT signaling has a role in tumor angiogenesis of SCF-producing H146 cells, and E7080 causes regression of H146 tumors as a result of antiangiogenic activity mediated by inhibition of both KIT and VEGF receptor signaling. E7080 may provide therapeutic benefits in the treatment of SCF-producing tumors.","container-title":"International Journal of Cancer","DOI":"10.1002/ijc.23131","ISSN":"1097-0215","issue":"3","journalAbbreviation":"Int J Cancer","language":"eng","note":"PMID: 17943726","page":"664-671","source":"PubMed","title":"E7080, a novel inhibitor that targets multiple kinases, has potent antitumor activities against stem cell factor producing human small cell lung cancer H146, based on angiogenesis inhibition","volume":"122","author":[{"family":"Matsui","given":"Junji"},{"family":"Yamamoto","given":"Yuji"},{"family":"Funahashi","given":"Yasuhiro"},{"family":"Tsuruoka","given":"Akihiko"},{"family":"Watanabe","given":"Tatsuo"},{"family":"Wakabayashi","given":"Toshiaki"},{"family":"Uenaka","given":"Toshimitsu"},{"family":"Asada","given":"Makoto"}],"issued":{"date-parts":[["2008",2,1]]}}}],"schema":"https://github.com/citation-style-language/schema/raw/master/csl-citation.json"} </w:instrText>
      </w:r>
      <w:r>
        <w:fldChar w:fldCharType="separate"/>
      </w:r>
      <w:r w:rsidRPr="00460086">
        <w:t>[11]</w:t>
      </w:r>
      <w:r>
        <w:fldChar w:fldCharType="end"/>
      </w:r>
      <w:r>
        <w:t>. Т</w:t>
      </w:r>
      <w:r w:rsidRPr="00536FEC">
        <w:t xml:space="preserve">естирование на модели рака молочной железы показало, что он подавляет метастазирование рака молочной железы в лимфатические узлы и легкие путем </w:t>
      </w:r>
      <w:r>
        <w:t xml:space="preserve">воздействия </w:t>
      </w:r>
      <w:r w:rsidRPr="00536FEC">
        <w:t xml:space="preserve"> на VEGFR во время ангиогенеза и лимфангиогенеза </w:t>
      </w:r>
      <w:r>
        <w:fldChar w:fldCharType="begin"/>
      </w:r>
      <w:r>
        <w:instrText xml:space="preserve"> ADDIN ZOTERO_ITEM CSL_CITATION {"citationID":"ewgLw7y7","properties":{"formattedCitation":"[12]","plainCitation":"[12]","noteIndex":0},"citationItems":[{"id":2770,"uris":["http://zotero.org/users/5483459/items/933BCTC5"],"itemData":{"id":2770,"type":"article-journal","abstract":"PURPOSE: Vascular endothelial growth factor (VEGF)-C/VEGF-receptor 3 (VEGF-R3) signal plays a significant role in lymphangiogenesis and tumor metastasis based on its effects on lymphatic vessels. However, little is known about the effect of inhibiting VEGF-R3 on lymphangiogenesis and lymph node metastases using a small-molecule kinase inhibitor.\nEXPERIMENTAL DESIGN: We evaluated the effect of E7080, a potent inhibitor of both VEGF-R2 and VEGF-R3 kinase, and bevacizumab on lymphangiogenesis and angiogenesis in a mammary fat pad xenograft model of human breast cancer using MDA-MB-231 cells that express excessive amounts of VEGF-C. Lymphangiogenesis was determined by lymphatic vessel density (LVD) and angiogenesis by microvessel density (MVD).\nRESULTS: In contrast to MDA-MB-435 cells, which expressed a similar amount of VEGF to MDA-MB-231 cells with an undetectable amount of VEGF-C, only MDA-MB-231 exhibited lymphangiogenesis in the primary tumor. E7080 but not bevacizumab significantly decreased LVD within the MDA-MB-231 tumor. E7080 and bevacizumab decreased MVD in both the MDA-MB-231 and MDA-MB-435 models. E7080 significantly suppressed regional lymph nodes and distant lung metastases of MDA-MB-231, whereas bevacizumab significantly inhibited only lung metastases. E7080 also decreased both MVD and LVD within the metastatic nodules at lymph nodes after resection of the primary tumor.\nCONCLUSIONS: Inhibition of VEGF-R3 kinase with E7080 effectively decreased LVD within MDA-MB-231 tumors, which express VEGF-C. Simultaneous inhibition of both VEGF-R2 and VEGF-R3 kinases by E7080 may be a promising new strategy to control regional lymph node and distant lung metastases.","container-title":"Clinical Cancer Research: An Official Journal of the American Association for Cancer Research","DOI":"10.1158/1078-0432.CCR-07-5270","ISSN":"1078-0432","issue":"17","journalAbbreviation":"Clin Cancer Res","language":"eng","note":"PMID: 18765537","page":"5459-5465","source":"PubMed","title":"Multi-kinase inhibitor E7080 suppresses lymph node and lung metastases of human mammary breast tumor MDA-MB-231 via inhibition of vascular endothelial growth factor-receptor (VEGF-R) 2 and VEGF-R3 kinase","volume":"14","author":[{"family":"Matsui","given":"Junji"},{"family":"Funahashi","given":"Yasuhiro"},{"family":"Uenaka","given":"Toshimitsu"},{"family":"Watanabe","given":"Tatsuo"},{"family":"Tsuruoka","given":"Akihiko"},{"family":"Asada","given":"Makoto"}],"issued":{"date-parts":[["2008",9,1]]}}}],"schema":"https://github.com/citation-style-language/schema/raw/master/csl-citation.json"} </w:instrText>
      </w:r>
      <w:r>
        <w:fldChar w:fldCharType="separate"/>
      </w:r>
      <w:r w:rsidRPr="00460086">
        <w:t>[12]</w:t>
      </w:r>
      <w:r>
        <w:fldChar w:fldCharType="end"/>
      </w:r>
      <w:r>
        <w:t xml:space="preserve">. </w:t>
      </w:r>
    </w:p>
    <w:bookmarkEnd w:id="204"/>
    <w:p w14:paraId="46D6F9C6" w14:textId="77777777" w:rsidR="00200EBA" w:rsidRDefault="00200EBA" w:rsidP="001276D0">
      <w:pPr>
        <w:ind w:firstLine="709"/>
      </w:pPr>
      <w:r w:rsidRPr="00536FEC">
        <w:t xml:space="preserve">Ленватиниб действует как ингибитор многих </w:t>
      </w:r>
      <w:r>
        <w:t>тирозинкиназных рецепторов</w:t>
      </w:r>
      <w:r w:rsidRPr="00536FEC">
        <w:t>. Анализируемые значения IC</w:t>
      </w:r>
      <w:r w:rsidRPr="00AB2FCE">
        <w:rPr>
          <w:vertAlign w:val="subscript"/>
        </w:rPr>
        <w:t>50</w:t>
      </w:r>
      <w:r w:rsidRPr="00536FEC">
        <w:t xml:space="preserve"> для киназ VEGF1–3 варьировались от 2,3 до 4,7 нМ, рецептора фактора роста фибробластов (FGFR) 1–4, 27–61 нМ, тромбоцитарного фактора роста (PDGFR) α, β 29–39 нМ и v- Набор Харди-Цукермана 4, гомолог вирусного онкогена саркомы кошек (KIT) 85 нМ. Напротив, ленватиниб не ингибировал рецептор эпидермального фактора роста (EGFR; IC50 6500 нМ) или другие киназы, такие как Src или циклинзависимая киназа 4 (все &gt;10000 нМ) </w:t>
      </w:r>
      <w:r>
        <w:fldChar w:fldCharType="begin"/>
      </w:r>
      <w:r>
        <w:instrText xml:space="preserve"> ADDIN ZOTERO_ITEM CSL_CITATION {"citationID":"qdsOzWCd","properties":{"formattedCitation":"[11,13]","plainCitation":"[11,13]","noteIndex":0},"citationItems":[{"id":2798,"uris":["http://zotero.org/users/5483459/items/WTMCY7BG"],"itemData":{"id":2798,"type":"article-journal","abstract":"E7080 is an orally active inhibitor of multiple receptor tyrosine kinases including VEGF, FGF and SCF receptors. In this study, we show the inhibitory activity of E7080 against SCF-induced angiogenesis in vitro and tumor growth of SCF-producing human small cell lung carcinoma H146 cells in vivo. E7080 inhibits SCF-driven tube formation of HUVEC, which express SCF receptor, KIT at the IC(50) value of 5.2 nM and it was almost identical for VEGF-driven one (IC(50) = 5.1 nM). To assess the role of SCF/KIT signaling in tumor angiogenesis, we evaluated the effect of imatinib, a selective KIT kinase inhibitor, on tumor growth of H146 cells in nude mice. Imatinib did not show the potent antitumor activity in vitro (IC(50) = 2,200 nM), because H146 cells did not express KIT. However, oral administration of imatinib at 160 mg/kg clearly slowed tumor growth of H146 cells in nude mice, accompanied by decreased microvessel density. Oral administration of E7080 inhibited tumor growth of H146 cells at doses of 30 and 100 mg/kg in a dose-dependent manner and caused tumor regression at 100 mg/kg. While anti-VEGF antibody also slowed tumor growth, it did not cause tumor regression. These results indicate that KIT signaling has a role in tumor angiogenesis of SCF-producing H146 cells, and E7080 causes regression of H146 tumors as a result of antiangiogenic activity mediated by inhibition of both KIT and VEGF receptor signaling. E7080 may provide therapeutic benefits in the treatment of SCF-producing tumors.","container-title":"International Journal of Cancer","DOI":"10.1002/ijc.23131","ISSN":"1097-0215","issue":"3","journalAbbreviation":"Int J Cancer","language":"eng","note":"PMID: 17943726","page":"664-671","source":"PubMed","title":"E7080, a novel inhibitor that targets multiple kinases, has potent antitumor activities against stem cell factor producing human small cell lung cancer H146, based on angiogenesis inhibition","volume":"122","author":[{"family":"Matsui","given":"Junji"},{"family":"Yamamoto","given":"Yuji"},{"family":"Funahashi","given":"Yasuhiro"},{"family":"Tsuruoka","given":"Akihiko"},{"family":"Watanabe","given":"Tatsuo"},{"family":"Wakabayashi","given":"Toshiaki"},{"family":"Uenaka","given":"Toshimitsu"},{"family":"Asada","given":"Makoto"}],"issued":{"date-parts":[["2008",2,1]]}},"label":"page"},{"id":2808,"uris":["http://zotero.org/users/5483459/items/UXXK8JHM"],"itemData":{"id":2808,"type":"article-journal","abstract":"Lenvatinib is a multikinase inhibitor that targets vascular endothelial growth factor (VEGF) receptors 1-3, fibroblast growth factor receptors 1-4, platelet-derived growth factor receptor-alpha, and RET and KIT proto-oncogenes. Lenvatinib is approved for the treatment of radioiodine-refractory differentiated thyroid cancer in the United States (US), European Union (EU), Canada, Japan, and Switzerland. It is also approved in combination with everolimus for the treatment of advanced renal cell carcinoma following ≥1 VEGF-targeted treatment in the US and EU. In addition, lenvatinib is under investigation for the treatment of hepatocellular carcinoma. As lenvatinib becomes more widely available, a better understanding of its pharmacokinetic profile has become increasingly important. Following oral administration, lenvatinib is absorbed rapidly and is metabolized extensively prior to excretion. This metabolism is mediated by multiple pathways, and several metabolites of lenvatinib have been identified. The effect of food intake on lenvatinib exposure has also been studied and was found to not significantly influence overall exposure to the drug. Exposure to lenvatinib is increased in patients with severe hepatic impairment, indicating that dose reduction must be considered for those patients. The findings summarized here indicate that the clinical pharmacokinetic and pharmacodynamic profile for lenvatinib are predictable, with a dose-independent absorption and elimination profile that supports once-daily administration, and has minimal effects due to mild or moderate renal or hepatic impairment or drug interactions.","container-title":"European Journal of Drug Metabolism and Pharmacokinetics","DOI":"10.1007/s13318-017-0403-4","ISSN":"2107-0180","issue":"6","journalAbbreviation":"Eur J Drug Metab Pharmacokinet","language":"eng","note":"PMID: 28236116","page":"903-914","source":"PubMed","title":"Clinical Pharmacokinetic and Pharmacodynamic Profile of Lenvatinib, an Orally Active, Small-Molecule, Multitargeted Tyrosine Kinase Inhibitor","volume":"42","author":[{"family":"Hussein","given":"Ziad"},{"family":"Mizuo","given":"Hitoshi"},{"family":"Hayato","given":"Seiichi"},{"family":"Namiki","given":"Masayuki"},{"family":"Shumaker","given":"Robert"}],"issued":{"date-parts":[["2017",12]]}},"label":"page"}],"schema":"https://github.com/citation-style-language/schema/raw/master/csl-citation.json"} </w:instrText>
      </w:r>
      <w:r>
        <w:fldChar w:fldCharType="separate"/>
      </w:r>
      <w:r w:rsidRPr="00E87827">
        <w:t>[11,13]</w:t>
      </w:r>
      <w:r>
        <w:fldChar w:fldCharType="end"/>
      </w:r>
      <w:r>
        <w:t xml:space="preserve">. </w:t>
      </w:r>
    </w:p>
    <w:p w14:paraId="623BC8CB" w14:textId="0E461661" w:rsidR="00200EBA" w:rsidRPr="00DE5EDB" w:rsidRDefault="00200EBA" w:rsidP="001276D0">
      <w:pPr>
        <w:ind w:firstLine="709"/>
      </w:pPr>
      <w:r>
        <w:t xml:space="preserve">Во многих исследованиях сообщалось об анализе фармакодинамических свойств ленватиниба после приема препарата больными раком. В исследовании </w:t>
      </w:r>
      <w:r w:rsidR="006F27E5">
        <w:rPr>
          <w:lang w:val="en-US"/>
        </w:rPr>
        <w:t>I</w:t>
      </w:r>
      <w:r>
        <w:t xml:space="preserve"> фазы у пациентов с немелкоклеточным раком легкого стадии IIIB/IV оценивали фармакокинетические и фармакодинамические свойства ленватиниба в комбинированной терапии с приемом дважды в день карбоплатины и паклитаксела. Уровни ангиогенных белков плазмы и цитокины (FGF-2, гранулоцитарный колониестимулирующий фактор </w:t>
      </w:r>
      <w:r w:rsidR="00264240">
        <w:t>(</w:t>
      </w:r>
      <w:r>
        <w:t>G-CSF]</w:t>
      </w:r>
      <w:r w:rsidR="00264240">
        <w:t>)</w:t>
      </w:r>
      <w:r>
        <w:t xml:space="preserve">, фактор роста гепатоцитов </w:t>
      </w:r>
      <w:r w:rsidR="00264240">
        <w:t>(</w:t>
      </w:r>
      <w:r w:rsidR="008C2F3F" w:rsidRPr="00EA1702">
        <w:rPr>
          <w:shd w:val="clear" w:color="auto" w:fill="FFFFFF"/>
        </w:rPr>
        <w:t>Hepatocyte growth factor</w:t>
      </w:r>
      <w:r w:rsidR="008C2F3F">
        <w:rPr>
          <w:shd w:val="clear" w:color="auto" w:fill="FFFFFF"/>
        </w:rPr>
        <w:t xml:space="preserve">, </w:t>
      </w:r>
      <w:r>
        <w:t>HGF</w:t>
      </w:r>
      <w:r w:rsidR="00264240">
        <w:t>)</w:t>
      </w:r>
      <w:r>
        <w:t xml:space="preserve">, интерлейкина </w:t>
      </w:r>
      <w:r w:rsidR="00264240">
        <w:t>(</w:t>
      </w:r>
      <w:r w:rsidR="00264240" w:rsidRPr="00264240">
        <w:t>Interleukins</w:t>
      </w:r>
      <w:r w:rsidR="00264240">
        <w:t xml:space="preserve">, </w:t>
      </w:r>
      <w:r>
        <w:t>IL</w:t>
      </w:r>
      <w:r w:rsidR="00264240">
        <w:t>)</w:t>
      </w:r>
      <w:r>
        <w:t xml:space="preserve">-8, PDGF-B, </w:t>
      </w:r>
      <w:r w:rsidR="00264240">
        <w:t>фактор стволовых клеток (</w:t>
      </w:r>
      <w:r>
        <w:t>SCF</w:t>
      </w:r>
      <w:r w:rsidR="00264240">
        <w:t>)</w:t>
      </w:r>
      <w:r>
        <w:t xml:space="preserve">, </w:t>
      </w:r>
      <w:r w:rsidR="00264240">
        <w:rPr>
          <w:shd w:val="clear" w:color="auto" w:fill="FFFFFF"/>
        </w:rPr>
        <w:t>фактор стромальных клеток (</w:t>
      </w:r>
      <w:r>
        <w:t>SDF</w:t>
      </w:r>
      <w:r w:rsidR="00264240">
        <w:t>)</w:t>
      </w:r>
      <w:r>
        <w:t xml:space="preserve">1a и VEGF) оценивали в начале исследования и периодически во время первого 28-дневного цикла (1, 8 и 22 дни) комбинированного </w:t>
      </w:r>
      <w:r w:rsidR="00CD764C">
        <w:t>лечения</w:t>
      </w:r>
      <w:r>
        <w:t xml:space="preserve">. Значительное увеличение VEGF по сравнению с исходным уровнем отмечалось на 8 и 22 день. Значительное увеличение IL-8 и SDF1a в сравнении с исходным уровнем наблюдалось на </w:t>
      </w:r>
      <w:r w:rsidR="00CD764C">
        <w:t xml:space="preserve">8 </w:t>
      </w:r>
      <w:r>
        <w:t xml:space="preserve">день. HGF был значительно увеличен на 22 день, тогда как </w:t>
      </w:r>
      <w:r w:rsidR="00B576F0">
        <w:t>P</w:t>
      </w:r>
      <w:r>
        <w:t xml:space="preserve">DGF-B значительно снизился на 22-й день. </w:t>
      </w:r>
      <w:r w:rsidR="00CD764C">
        <w:t>Установлено</w:t>
      </w:r>
      <w:r w:rsidRPr="00DE5EDB">
        <w:t xml:space="preserve">, что пациенты, имеющие более высокий уровень SDF1, имели более длительную ВБП, в то время как связанное с лечением увеличение </w:t>
      </w:r>
      <w:r w:rsidR="00E71782">
        <w:t>гранулоцитарного колониестимулирующего</w:t>
      </w:r>
      <w:r w:rsidR="00E71782" w:rsidRPr="00E71782">
        <w:t xml:space="preserve"> фактор</w:t>
      </w:r>
      <w:r w:rsidR="00E71782">
        <w:t>а</w:t>
      </w:r>
      <w:r w:rsidR="00E71782" w:rsidRPr="00E71782" w:rsidDel="00E71782">
        <w:t xml:space="preserve"> </w:t>
      </w:r>
      <w:r w:rsidRPr="00DE5EDB">
        <w:t xml:space="preserve">было связано с более короткой ВБП </w:t>
      </w:r>
      <w:r w:rsidRPr="00DE5EDB">
        <w:fldChar w:fldCharType="begin"/>
      </w:r>
      <w:r w:rsidRPr="00DE5EDB">
        <w:instrText xml:space="preserve"> ADDIN ZOTERO_ITEM CSL_CITATION {"citationID":"EnhF758x","properties":{"formattedCitation":"[14]","plainCitation":"[14]","noteIndex":0},"citationItems":[{"id":2822,"uris":["http://zotero.org/users/5483459/items/3GNBHHQY"],"itemData":{"id":2822,"type":"article-journal","abstract":"BACKGROUND: This dose-finding study evaluated lenvatinib, an oral multitargeted receptor tyrosine kinase inhibitor, in combination with carboplatin/paclitaxel in chemotherapy-naïve non-small-cell lung cancer (NSCLC) patients.\nPATIENTS AND METHODS: Patients received lenvatinib twice daily (BID) with carboplatin (area under the curve 6 mg ml(-1) min(-1), day 1)/paclitaxel (200 mg m(-2), day 1) every 3 weeks. The initial dose of lenvatinib was 6 mg BID. The primary end point was maximum tolerated dose (MTD) of lenvatinib. At the MTD, the cohort was expanded by 16 patients. Safety, pharmacokinetics, pharmacodynamics, and antitumor effects were evaluated.\nRESULTS: Twenty-eight patients were treated. At 6 mg BID, dose-limiting toxicities (DLTs) included febrile neutropenia/gingival infection (n=2). No DLTs occurred with 4 mg BID, the recommended MTD for the expansion. Common grade 3/4 toxicities included neutropenia, leukopenia, hypertension, and thrombocytopenia. The combination had no significant impact on individual drug pharmacokinetics. Response rate and median progression-free survival were 68% and 9.0 months, respectively, with 4 mg BID. In the plasma biomarker analysis, stromal cell-derived factor 1α, stem cell factor, and granulocyte colony-stimulating factor correlated with antitumor activity.\nCONCLUSION: The MTD for lenvatinib with carboplatin/paclitaxel is 4 mg BID in advanced NSCLC patients. This regimen demonstrated manageable tolerability and encouraging antitumor activity.","container-title":"British Journal of Cancer","DOI":"10.1038/bjc.2013.374","ISSN":"1532-1827","issue":"3","journalAbbreviation":"Br J Cancer","language":"eng","note":"PMID: 23860537\nPMCID: PMC3738144","page":"538-544","source":"PubMed","title":"Phase 1 study of lenvatinib combined with carboplatin and paclitaxel in patients with non-small-cell lung cancer","volume":"109","author":[{"family":"Nishio","given":"M."},{"family":"Horai","given":"T."},{"family":"Horiike","given":"A."},{"family":"Nokihara","given":"H."},{"family":"Yamamoto","given":"N."},{"family":"Takahashi","given":"T."},{"family":"Murakami","given":"H."},{"family":"Yamamoto","given":"N."},{"family":"Koizumi","given":"F."},{"family":"Nishio","given":"K."},{"family":"Yusa","given":"W."},{"family":"Koyama","given":"N."},{"family":"Tamura","given":"T."}],"issued":{"date-parts":[["2013",8,6]]}}}],"schema":"https://github.com/citation-style-language/schema/raw/master/csl-citation.json"} </w:instrText>
      </w:r>
      <w:r w:rsidRPr="00DE5EDB">
        <w:fldChar w:fldCharType="separate"/>
      </w:r>
      <w:r w:rsidRPr="00DE5EDB">
        <w:t>[14]</w:t>
      </w:r>
      <w:r w:rsidRPr="00DE5EDB">
        <w:fldChar w:fldCharType="end"/>
      </w:r>
      <w:r w:rsidRPr="00DE5EDB">
        <w:t xml:space="preserve">. </w:t>
      </w:r>
    </w:p>
    <w:p w14:paraId="2A92F53B" w14:textId="13BFD9F1" w:rsidR="00200EBA" w:rsidRDefault="00200EBA" w:rsidP="001276D0">
      <w:pPr>
        <w:ind w:firstLine="709"/>
      </w:pPr>
      <w:r>
        <w:lastRenderedPageBreak/>
        <w:t xml:space="preserve">В исследовании </w:t>
      </w:r>
      <w:r w:rsidR="006F27E5">
        <w:rPr>
          <w:lang w:val="en-US"/>
        </w:rPr>
        <w:t>I</w:t>
      </w:r>
      <w:r w:rsidR="006F27E5" w:rsidRPr="00D050C7">
        <w:t xml:space="preserve"> </w:t>
      </w:r>
      <w:r>
        <w:t xml:space="preserve">фазы эскалации дозы ленватиниба оценивали </w:t>
      </w:r>
      <w:r w:rsidR="005B40C6">
        <w:t xml:space="preserve">корреляцию </w:t>
      </w:r>
      <w:r>
        <w:t>между фармакодинамическими биомаркерами и клинически</w:t>
      </w:r>
      <w:r w:rsidR="0042284D">
        <w:t>м</w:t>
      </w:r>
      <w:r>
        <w:t xml:space="preserve"> исходом в лечении рака у пациентов. Плазменные фармакодинамические биомаркеры, измеренные в этом исследовании включали ангиогенные белки IL-6, IL-8 и IL-10, </w:t>
      </w:r>
      <w:r w:rsidRPr="00767CDD">
        <w:rPr>
          <w:lang w:val="en-US"/>
        </w:rPr>
        <w:t>VEGF</w:t>
      </w:r>
      <w:r w:rsidRPr="00A271B6">
        <w:t xml:space="preserve">, </w:t>
      </w:r>
      <w:r w:rsidRPr="00767CDD">
        <w:rPr>
          <w:lang w:val="en-US"/>
        </w:rPr>
        <w:t>PDGF</w:t>
      </w:r>
      <w:r w:rsidRPr="00A271B6">
        <w:t xml:space="preserve">, </w:t>
      </w:r>
      <w:r w:rsidRPr="00767CDD">
        <w:rPr>
          <w:lang w:val="en-US"/>
        </w:rPr>
        <w:t>HGF</w:t>
      </w:r>
      <w:r w:rsidRPr="00A271B6">
        <w:t xml:space="preserve">, </w:t>
      </w:r>
      <w:r w:rsidRPr="00767CDD">
        <w:rPr>
          <w:lang w:val="en-US"/>
        </w:rPr>
        <w:t>SCF</w:t>
      </w:r>
      <w:r w:rsidRPr="00A271B6">
        <w:t xml:space="preserve"> </w:t>
      </w:r>
      <w:r>
        <w:t>и</w:t>
      </w:r>
      <w:r w:rsidRPr="00A271B6">
        <w:t xml:space="preserve"> </w:t>
      </w:r>
      <w:r w:rsidRPr="00767CDD">
        <w:rPr>
          <w:lang w:val="en-US"/>
        </w:rPr>
        <w:t>SDF</w:t>
      </w:r>
      <w:r w:rsidRPr="00A271B6">
        <w:t>1</w:t>
      </w:r>
      <w:r w:rsidRPr="00767CDD">
        <w:rPr>
          <w:lang w:val="en-US"/>
        </w:rPr>
        <w:t>a</w:t>
      </w:r>
      <w:r w:rsidR="004D196D">
        <w:t>,</w:t>
      </w:r>
      <w:r w:rsidRPr="00A271B6">
        <w:t xml:space="preserve"> </w:t>
      </w:r>
      <w:r w:rsidR="004D196D">
        <w:t xml:space="preserve">растворимый </w:t>
      </w:r>
      <w:r>
        <w:t xml:space="preserve">VEGFR1 (sVEGFR1) и sVEGFR2. Ленватиниб назначали перорально 2 раза в сутки в течение 3 недель (2 недели лечения, затем 1 неделя без лечения). Образцы крови собирали в 1-й день (исходный уровень), 8 и 15 цикла 1 и дни 1, 8 и 15 цикл 2. </w:t>
      </w:r>
      <w:r w:rsidR="005B40C6">
        <w:t>Установлено</w:t>
      </w:r>
      <w:r>
        <w:t>, что повышение экспозиции ленватиниба было значительно связан</w:t>
      </w:r>
      <w:r w:rsidR="0042284D">
        <w:t>о</w:t>
      </w:r>
      <w:r>
        <w:t xml:space="preserve"> с повышенным уровнем VEGF и SDF1a, а снижение уровня sVEGFR2 коррелировало с уменьшением размера опухоли. Максимальное уменьшение опухоли также коррелировало с повышенным уровнем SDF1a </w:t>
      </w:r>
      <w:r>
        <w:fldChar w:fldCharType="begin"/>
      </w:r>
      <w:r>
        <w:instrText xml:space="preserve"> ADDIN ZOTERO_ITEM CSL_CITATION {"citationID":"XMSWy8BP","properties":{"formattedCitation":"[15]","plainCitation":"[15]","noteIndex":0},"citationItems":[{"id":2831,"uris":["http://zotero.org/users/5483459/items/5VPVJ346"],"itemData":{"id":2831,"type":"article-journal","abstract":"BACKGROUND: Lenvatinib (E7080), an oral multi-kinase inhibitor, has inhibitory action on tumor cell proliferation and tumor angiogenesis in preclinical models. We evaluated correlations between pharmacodynamic (PD) biomarkers with patient clinical outcomes in a lenvatinib phase 1 dose-escalation study.\nMETHODS: Plasma angiogenic proteins were evaluated as potential PD biomarkers of response to lenvatinib in a dose-escalation phase 1 study. Lenvatinib was administered to 27 patients by twice-daily dosing in 3-week cycles; 2 weeks of treatment followed by 1 week of rest until discontinuation. Blood samples for plasma proteins were collected on days 1 (baseline), 8, and 15 of cycle 1, and days 1, 8, and 15 of cycle 2. Selected clinical outcomes, including tumor shrinkage and adverse events (AEs), were used for correlative analyses of pharmacokinetic parameters and PD biomarkers.\nRESULTS: Tumor shrinkage and changes in PD biomarkers (increased vascular endothelial growth factor [VEGF] and stromal cell-derived factor 1 alpha [SDF1α] levels and decreased soluble VEGF receptor 2 [sVEGFR2] levels) significantly correlated with increasing lenvatinib exposure. Observed changes in levels of VEGF, SDF1α, and sVEGFR2 were maintained on day 15 of cycle 1, but returned to baseline during the 1-week rest period, and similar changes were induced by reinstitution of treatment in cycle 2. The worst grades of hypertension, proteinuria, and fatigue were associated with changes in VEGF and HGF at day 8 of cycle 1. Maximum tumor shrinkage was correlated with increased SDF1α levels. Decreased sVEGFR2 level was also correlated with tumor shrinkage and frequency of hypertension, proteinuria, and fatigue. Tumor shrinkage significantly correlated with the worst grade of proteinuria, but not with hypertension or fatigue.\nCONCLUSION: PD biomarker changes observed in plasma angiogenic proteins are correlated with lenvatinib-induced tumor shrinkage and AEs. Our findings warrant further assessment of plasma proteins associated with angiogenesis as potential biomarkers of lenvatinib activity.\nTRIAL REGISTRATION: ClinicalTrial.gov: NCT00280397 (January 20, 2006).","container-title":"BMC cancer","DOI":"10.1186/1471-2407-14-530","ISSN":"1471-2407","journalAbbreviation":"BMC Cancer","language":"eng","note":"PMID: 25047123\nPMCID: PMC4223557","page":"530","source":"PubMed","title":"Pharmacodynamic change in plasma angiogenic proteins: a dose-escalation phase 1 study of the multi-kinase inhibitor lenvatinib","title-short":"Pharmacodynamic change in plasma angiogenic proteins","volume":"14","author":[{"family":"Koyama","given":"Noriyuki"},{"family":"Saito","given":"Kenichi"},{"family":"Nishioka","given":"Yuki"},{"family":"Yusa","given":"Wataru"},{"family":"Yamamoto","given":"Noboru"},{"family":"Yamada","given":"Yasuhide"},{"family":"Nokihara","given":"Hiroshi"},{"family":"Koizumi","given":"Fumiaki"},{"family":"Nishio","given":"Kazuto"},{"family":"Tamura","given":"Tomohide"}],"issued":{"date-parts":[["2014",7,21]]}}}],"schema":"https://github.com/citation-style-language/schema/raw/master/csl-citation.json"} </w:instrText>
      </w:r>
      <w:r>
        <w:fldChar w:fldCharType="separate"/>
      </w:r>
      <w:r w:rsidRPr="003212FA">
        <w:t>[15]</w:t>
      </w:r>
      <w:r>
        <w:fldChar w:fldCharType="end"/>
      </w:r>
      <w:r>
        <w:t xml:space="preserve">. </w:t>
      </w:r>
    </w:p>
    <w:p w14:paraId="62D697F9" w14:textId="39F6AE6C" w:rsidR="00200EBA" w:rsidRDefault="00200EBA" w:rsidP="001276D0">
      <w:pPr>
        <w:ind w:firstLine="709"/>
      </w:pPr>
      <w:r>
        <w:t xml:space="preserve">В исследовании </w:t>
      </w:r>
      <w:r w:rsidR="00CB00D1">
        <w:rPr>
          <w:lang w:val="en-US"/>
        </w:rPr>
        <w:t>I</w:t>
      </w:r>
      <w:r w:rsidR="00CB00D1">
        <w:t xml:space="preserve"> </w:t>
      </w:r>
      <w:r>
        <w:t xml:space="preserve">фазы оценивали фармакодинамику ленватиниба при эскалации дозы в течение 28-дневных циклов у больных меланомой. Образцы сыворотки были протестированы на связанные с ангиогенезом маркеры (PDGF-гомодимер BB [PDGF-BB], растворимый Tie-2, ангиопоэтин-1, растворимый E-селектин и растворимый c-KIT) и связанные с апоптозом маркеры (цитохром С и неоантиген М30). Высокий исходный уровень цитохрома С и более высокое отношение М30 в цикле 1, в день 8 к исходному уровню коррелировало с уменьшением размера опухоли. Снижение отношения ангиопоэтина-1 коррелировало с </w:t>
      </w:r>
      <w:bookmarkStart w:id="206" w:name="_Hlk118207274"/>
      <w:r w:rsidRPr="002161C8">
        <w:t>ВБП</w:t>
      </w:r>
      <w:r>
        <w:t xml:space="preserve"> </w:t>
      </w:r>
      <w:bookmarkEnd w:id="206"/>
      <w:r>
        <w:fldChar w:fldCharType="begin"/>
      </w:r>
      <w:r>
        <w:instrText xml:space="preserve"> ADDIN ZOTERO_ITEM CSL_CITATION {"citationID":"klur5Dz4","properties":{"formattedCitation":"[16]","plainCitation":"[16]","noteIndex":0},"citationItems":[{"id":2825,"uris":["http://zotero.org/users/5483459/items/J6LAAFAH"],"itemData":{"id":2825,"type":"article-journal","abstract":"PURPOSE: This \"3+3\" phase I study evaluated the safety, biologic, and clinical activity of lenvatinib, an oral multikinase inhibitor, in patients with solid tumors.\nEXPERIMENTAL DESIGN: Ascending doses of lenvatinib were administered per os twice daily in 28-day cycles. Safety and response were assessed for all patients. Angiogenic and apoptotic factors were tested as possible biomarkers in an expanded melanoma cohort.\nRESULTS: Seventy-seven patients were treated in 3 cohorts: 18 with intermittent twice-daily dosing (7 days on, 7 days off) of 0.1-3.2 mg; 33 with twice-daily dosing of 3.2-12 mg; and 26 with twice-daily dosing of 10 mg (expanded melanoma cohort). Maximum tolerated dose was established at 10 mg per os twice daily. Prominent drug-related toxicities included hypertension (43%), fatigue (42%), proteinuria (39%), and nausea (25%); dose-limiting toxicities included hypertension, fatigue, and proteinuria. Twelve patients (15.6%) achieved partial response (PR, n = 9) or unconfirmed PR (uPR, n = 3), and 19 (24.7%) achieved stable disease (SD) ≥23 weeks. Total PR/uPR/SD ≥23 weeks was 40.3% (n = 31). Responses (PR/uPR) by disease were as follows: melanoma, 5 of 29 patients (includes 1 patient with NRAS mutation); thyroid, 3 of 6 patients; pancreatic, 1 of 2 patients; lung, 1 of 1 patients; renal, 1 of 1 patients; endometrial, 1 of 4 patients; and ovarian, 1 of 5 patients. AUC(0-24) and C(max) increased dose proportionally. In multivariate Cox proportional hazard model analyses, increased baseline systolic blood pressure and decreased angiopoietin-1 ratio (2 hours:baseline) were associated with longer progression-free survival (PFS) in the expanded melanoma cohort (P = 0.041 and P = 0.03, respectively).\nCONCLUSIONS: The toxicity profile, pharmacokinetics, and antitumor activity of lenvatinib are encouraging. Decreases in the angiopoietin-1 ratio correlated with longer PFS in melanoma patients.","container-title":"Clinical Cancer Research: An Official Journal of the American Association for Cancer Research","DOI":"10.1158/1078-0432.CCR-14-3063","ISSN":"1557-3265","issue":"21","journalAbbreviation":"Clin Cancer Res","language":"eng","note":"PMID: 26169970\nPMCID: PMC4840931","page":"4801-4810","source":"PubMed","title":"Phase I Dose-Escalation Study of the Multikinase Inhibitor Lenvatinib in Patients with Advanced Solid Tumors and in an Expanded Cohort of Patients with Melanoma","volume":"21","author":[{"family":"Hong","given":"David S."},{"family":"Kurzrock","given":"Razelle"},{"family":"Wheler","given":"Jennifer J."},{"family":"Naing","given":"Aung"},{"family":"Falchook","given":"Gerald S."},{"family":"Fu","given":"Siqing"},{"family":"Kim","given":"Kevin B."},{"family":"Davies","given":"Michael A."},{"family":"Nguyen","given":"Ly M."},{"family":"George","given":"Goldy C."},{"family":"Xu","given":"Lucy"},{"family":"Shumaker","given":"Robert"},{"family":"Ren","given":"Min"},{"family":"Mink","given":"Jennifer"},{"family":"Bedell","given":"Cynthia"},{"family":"Andresen","given":"Corina"},{"family":"Sachdev","given":"Pallavi"},{"family":"O'Brien","given":"James P."},{"family":"Nemunaitis","given":"John"}],"issued":{"date-parts":[["2015",11,1]]}}}],"schema":"https://github.com/citation-style-language/schema/raw/master/csl-citation.json"} </w:instrText>
      </w:r>
      <w:r>
        <w:fldChar w:fldCharType="separate"/>
      </w:r>
      <w:r w:rsidRPr="003212FA">
        <w:t>[16]</w:t>
      </w:r>
      <w:r>
        <w:fldChar w:fldCharType="end"/>
      </w:r>
      <w:r>
        <w:t>.</w:t>
      </w:r>
    </w:p>
    <w:p w14:paraId="5D91067E" w14:textId="77777777" w:rsidR="00200EBA" w:rsidRDefault="00200EBA" w:rsidP="00200EBA">
      <w:pPr>
        <w:spacing w:before="240" w:after="240"/>
        <w:outlineLvl w:val="2"/>
        <w:rPr>
          <w:b/>
          <w:bCs/>
        </w:rPr>
      </w:pPr>
      <w:bookmarkStart w:id="207" w:name="_Toc126059755"/>
      <w:r>
        <w:rPr>
          <w:b/>
          <w:bCs/>
        </w:rPr>
        <w:t xml:space="preserve">4.2.3. </w:t>
      </w:r>
      <w:r>
        <w:rPr>
          <w:b/>
        </w:rPr>
        <w:t xml:space="preserve">Фармакодинамические </w:t>
      </w:r>
      <w:r>
        <w:rPr>
          <w:b/>
          <w:bCs/>
        </w:rPr>
        <w:t>лекарственные взаимодействия</w:t>
      </w:r>
      <w:bookmarkEnd w:id="207"/>
    </w:p>
    <w:p w14:paraId="1FB30437" w14:textId="7387967D" w:rsidR="00200EBA" w:rsidRDefault="00200EBA" w:rsidP="006A4F12">
      <w:pPr>
        <w:ind w:firstLine="851"/>
      </w:pPr>
      <w:r w:rsidRPr="00133838">
        <w:t>Артериальная гипертензия является побочной реакцией, наблюдаемой при применении препаратов, направленных</w:t>
      </w:r>
      <w:r>
        <w:t xml:space="preserve"> на </w:t>
      </w:r>
      <w:r w:rsidRPr="00133838">
        <w:t>сигнальны</w:t>
      </w:r>
      <w:r>
        <w:t>е</w:t>
      </w:r>
      <w:r w:rsidRPr="00133838">
        <w:t xml:space="preserve"> пут</w:t>
      </w:r>
      <w:r>
        <w:t>и</w:t>
      </w:r>
      <w:r w:rsidRPr="00133838">
        <w:t xml:space="preserve"> VEGF и примерно у 40% пациентов с метастатическим</w:t>
      </w:r>
      <w:r>
        <w:t xml:space="preserve"> </w:t>
      </w:r>
      <w:r w:rsidRPr="00133838">
        <w:t>почечно-клеточн</w:t>
      </w:r>
      <w:r>
        <w:t>ым</w:t>
      </w:r>
      <w:r w:rsidRPr="00133838">
        <w:t xml:space="preserve"> рак</w:t>
      </w:r>
      <w:r>
        <w:t>ом</w:t>
      </w:r>
      <w:r w:rsidRPr="00133838">
        <w:t xml:space="preserve"> развилась гипертензия, когда ленватиниб сочетался с эверолимусом</w:t>
      </w:r>
      <w:r>
        <w:t xml:space="preserve"> </w:t>
      </w:r>
      <w:r>
        <w:fldChar w:fldCharType="begin"/>
      </w:r>
      <w:r>
        <w:instrText xml:space="preserve"> ADDIN ZOTERO_ITEM CSL_CITATION {"citationID":"4IDe7z03","properties":{"formattedCitation":"[17,18]","plainCitation":"[17,18]","noteIndex":0},"citationItems":[{"id":2834,"uris":["http://zotero.org/users/5483459/items/ARJMUP9T"],"itemData":{"id":2834,"type":"article-journal","abstract":"Multikinase inhibitors (MKI) and mammalian target of rapamycin (mTOR) inhibitors prolong progression-free (PFS) and overall survival (OS) in the treatment of metastatic renal cell carcinoma (mRCC) by reducing angiogenesis and tumor growth. In this regard, the MKI lenvatinib and the mTOR inhibitor everolimus proved effective when applied alone, but more effective when they were administered combined. Recently, both drugs were included in clinical trials, resulting in international clinical guidelines for the treatment of mRCC. In May 2016, lenvatinib was approved by the American Food and Drug Administration (FDA) for the use in combination with everolimus, as treatment of advanced renal cell carcinoma following one prior antiangiogenic therapy. A major problem of treating mRCC with lenvatinib and everolimus is the serious adverse event (AE) of arterial hypertension. During the treatment with everolimus and lenvatinib combined, 42% of the patients developed hypertension, while 10% of the patients treated with everolimus alone and 48% of the of the lenvatinib only treated patients developed hypertension. Lenvatinib carries warnings and precautions for hypertension, cardiac failure, and other adverse events. Therefore, careful monitoring of the patients is necessary.","container-title":"International Journal of Molecular Sciences","DOI":"10.3390/ijms18081736","ISSN":"1422-0067","issue":"8","journalAbbreviation":"Int J Mol Sci","language":"eng","note":"PMID: 28796163\nPMCID: PMC5578126","page":"E1736","source":"PubMed","title":"Hypertension Caused by Lenvatinib and Everolimus in the Treatment of Metastatic Renal Cell Carcinoma","volume":"18","author":[{"family":"Bendtsen","given":"Mathias Alrø Fichtner"},{"family":"Grimm","given":"Daniela"},{"family":"Bauer","given":"Johann"},{"family":"Wehland","given":"Markus"},{"family":"Wise","given":"Petra"},{"family":"Magnusson","given":"Nils E."},{"family":"Infanger","given":"Manfred"},{"family":"Krüger","given":"Marcus"}],"issued":{"date-parts":[["2017",8,10]]}},"label":"page"},{"id":2840,"uris":["http://zotero.org/users/5483459/items/YCZZ7P6E"],"itemData":{"id":2840,"type":"article-journal","abstract":"Lenvatinib is a non-selective tyrosine kinase inhibitor (TKI) with high in vitro potency against vascular endothelial growth factor receptors. Although this drug is used to treat several cancer types, it is the most effective TKI used in patients with thyroid cancer. Lenvatinib is well tolerated and the most common adverse drug reactions can be adequately managed by dose adjustment. Particularly, blood pressure and cardiac function monitoring, as well as antihypertensive treatment optimization, may be required in patients treated with lenvatinib. Dose reduction should be taken into account in patients with body weight &lt;60 kg or severe hepatic failure. No significant change in lenvatinib pharmacokinetics has been observed with other patient-related factors and very few data are available on lenvatinib pharmacogenetics. Lenvatinib can be administered orally regardless of food and no clinically relevant drug-drug interactions have been reported.","container-title":"Critical Reviews in Oncology/Hematology","DOI":"10.1016/j.critrevonc.2021.103366","ISSN":"1879-0461","journalAbbreviation":"Crit Rev Oncol Hematol","language":"eng","note":"PMID: 34051303","page":"103366","source":"PubMed","title":"Clinical pharmacology and drug-drug interactions of lenvatinib in thyroid cancer","volume":"163","author":[{"family":"Fogli","given":"Stefano"},{"family":"Gianfilippo","given":"Giulia"},{"family":"Cucchiara","given":"Federico"},{"family":"Del Re","given":"Marzia"},{"family":"Valerio","given":"Laura"},{"family":"Elisei","given":"Rossella"},{"family":"Danesi","given":"Romano"}],"issued":{"date-parts":[["2021",7]]}},"label":"page"}],"schema":"https://github.com/citation-style-language/schema/raw/master/csl-citation.json"} </w:instrText>
      </w:r>
      <w:r>
        <w:fldChar w:fldCharType="separate"/>
      </w:r>
      <w:r w:rsidRPr="00DA56DD">
        <w:t>[17,</w:t>
      </w:r>
      <w:r w:rsidR="007047F7" w:rsidRPr="000971D1">
        <w:t xml:space="preserve"> </w:t>
      </w:r>
      <w:r w:rsidRPr="00DA56DD">
        <w:t>18]</w:t>
      </w:r>
      <w:r>
        <w:fldChar w:fldCharType="end"/>
      </w:r>
      <w:r>
        <w:t xml:space="preserve">. </w:t>
      </w:r>
      <w:r w:rsidRPr="00133838">
        <w:t>Это может происходить из-за ингибирования сигнального каскада VEGF</w:t>
      </w:r>
      <w:r>
        <w:t>, снижения</w:t>
      </w:r>
      <w:r w:rsidRPr="00133838">
        <w:t xml:space="preserve"> ангиогенез</w:t>
      </w:r>
      <w:r>
        <w:t>а</w:t>
      </w:r>
      <w:r w:rsidRPr="00133838">
        <w:t xml:space="preserve"> и высвобождение как простациклинов, так и</w:t>
      </w:r>
      <w:r>
        <w:t xml:space="preserve"> </w:t>
      </w:r>
      <w:r w:rsidRPr="00133838">
        <w:t>эндотелиальн</w:t>
      </w:r>
      <w:r>
        <w:t>ого</w:t>
      </w:r>
      <w:r w:rsidRPr="00133838">
        <w:t xml:space="preserve"> оксид</w:t>
      </w:r>
      <w:r>
        <w:t>а</w:t>
      </w:r>
      <w:r w:rsidRPr="00133838">
        <w:t xml:space="preserve"> азота </w:t>
      </w:r>
      <w:r>
        <w:fldChar w:fldCharType="begin"/>
      </w:r>
      <w:r>
        <w:instrText xml:space="preserve"> ADDIN ZOTERO_ITEM CSL_CITATION {"citationID":"Fj91YbBn","properties":{"formattedCitation":"[19]","plainCitation":"[19]","noteIndex":0},"citationItems":[{"id":2837,"uris":["http://zotero.org/users/5483459/items/S39DJZH3"],"itemData":{"id":2837,"type":"article-journal","abstract":"Background\nVatalanib is an oral vascular endothelial growth factor receptor (VEGFR) tyrosine kinase inhibitor (TKI), whereas everolimus inhibits mammalian target of rapamycin (mTOR). Combination therapy with VEGFR and mTOR inhibitors has not been well tolerated to date but may have efficacy in renal cell carcinoma (RCC).\nPatients and Methods\nA phase Ib study of vatalanib and everolimus was performed in patients with advanced solid tumors to determine the maximum tolerated dose (MTD), safety, and tolerability of the combination. A dose-expansion cohort of 20 patients with metastatic RCC was studied to further define toxicity and preliminary efficacy in patients with RCC.\nResults\nWe evaluated 32 patients over 3 dose levels and a dose-expansion cohort. The most common toxicities of any grade were proteinuria, fatigue, hypertriglyceridemia, nausea, and vomiting. Dose-limiting toxicities (DLTs) included severe hypertension, diarrhea, neutropenia, mucositis, and fatigue. The MTD for the combination was vatalanib 1000 mg daily and everolimus 5 mg daily. In all patients, median overall survival (OS) was 16.3 months. In patients with RCC, median progression-free survival (PFS) was 5.8 months, and OS was 16.5 months. OS was significantly better in treatment-naive patients (25.1 months) compared with patients who had received previous vascular endothelial growth factor (VEGF)-targeted therapy (6.3 months). Seven of 24 (29.2%) evaluable patients demonstrated a partial response, and an additional 15 patients exhibited stable disease. Long-term tolerability (&gt; 1 year) was demonstrated in 19% of patients.\nConclusion\nRelevant doses of vatalanib and everolimus were achieved in combination, with expected toxicities. A substantial number of patients with RCC achieved an objective response in the treatment-naive setting, with prolonged tolerability and survival. Further comparative phase II/III studies of specifically targeted VEGF and mTOR inhibitor combinations may be warranted in patients with RCC.","container-title":"Clinical Genitourinary Cancer","DOI":"10.1016/j.clgc.2013.11.020","ISSN":"1558-7673","issue":"4","journalAbbreviation":"Clinical Genitourinary Cancer","language":"en","page":"241-250","source":"ScienceDirect","title":"A Phase Ib Study of Combined VEGFR and mTOR Inhibition With Vatalanib and Everolimus in Patients With Advanced Renal Cell Carcinoma","volume":"12","author":[{"family":"Bitting","given":"Rhonda L."},{"family":"Healy","given":"Patrick"},{"family":"Creel","given":"Patricia A."},{"family":"Turnbull","given":"James"},{"family":"Morris","given":"Karla"},{"family":"Wood","given":"Sarah Yenser"},{"family":"Hurwitz","given":"Herbert I."},{"family":"Starr","given":"Mark D."},{"family":"Nixon","given":"Andrew B."},{"family":"Armstrong","given":"Andrew J."},{"family":"George","given":"Daniel J."}],"issued":{"date-parts":[["2014",8,1]]}}}],"schema":"https://github.com/citation-style-language/schema/raw/master/csl-citation.json"} </w:instrText>
      </w:r>
      <w:r>
        <w:fldChar w:fldCharType="separate"/>
      </w:r>
      <w:r w:rsidRPr="00DA56DD">
        <w:t>[19]</w:t>
      </w:r>
      <w:r>
        <w:fldChar w:fldCharType="end"/>
      </w:r>
      <w:r>
        <w:t>.</w:t>
      </w:r>
    </w:p>
    <w:p w14:paraId="3668ABA6" w14:textId="321144F9" w:rsidR="00200EBA" w:rsidRPr="00133838" w:rsidRDefault="00B25676" w:rsidP="006A4F12">
      <w:pPr>
        <w:tabs>
          <w:tab w:val="left" w:pos="6111"/>
        </w:tabs>
      </w:pPr>
      <w:r>
        <w:tab/>
      </w:r>
    </w:p>
    <w:p w14:paraId="688DDADD" w14:textId="651619A5" w:rsidR="00200EBA" w:rsidRDefault="00200EBA" w:rsidP="006A4F12">
      <w:pPr>
        <w:pStyle w:val="2"/>
        <w:spacing w:before="0" w:after="0" w:line="240" w:lineRule="auto"/>
        <w:rPr>
          <w:color w:val="000000" w:themeColor="text1"/>
          <w:szCs w:val="24"/>
        </w:rPr>
      </w:pPr>
      <w:bookmarkStart w:id="208" w:name="_Toc126059756"/>
      <w:r w:rsidRPr="003C3091">
        <w:rPr>
          <w:color w:val="000000" w:themeColor="text1"/>
          <w:szCs w:val="24"/>
        </w:rPr>
        <w:t>4.3. Безопасность и эффективность</w:t>
      </w:r>
      <w:bookmarkEnd w:id="208"/>
    </w:p>
    <w:p w14:paraId="1BE2ADA7" w14:textId="77777777" w:rsidR="006A4F12" w:rsidRPr="006A4F12" w:rsidRDefault="006A4F12" w:rsidP="006A4F12"/>
    <w:p w14:paraId="25124F24" w14:textId="77777777" w:rsidR="00200EBA" w:rsidRDefault="00200EBA" w:rsidP="006A4F12">
      <w:pPr>
        <w:pStyle w:val="3"/>
        <w:spacing w:before="0" w:after="0"/>
        <w:rPr>
          <w:rFonts w:ascii="Times New Roman" w:hAnsi="Times New Roman"/>
          <w:szCs w:val="24"/>
        </w:rPr>
      </w:pPr>
      <w:bookmarkStart w:id="209" w:name="_Toc52190587"/>
      <w:bookmarkStart w:id="210" w:name="_Toc126059757"/>
      <w:r w:rsidRPr="003C3091">
        <w:rPr>
          <w:rFonts w:ascii="Times New Roman" w:hAnsi="Times New Roman"/>
          <w:szCs w:val="24"/>
        </w:rPr>
        <w:t>4.3.1</w:t>
      </w:r>
      <w:bookmarkEnd w:id="209"/>
      <w:r w:rsidRPr="003C3091">
        <w:rPr>
          <w:rFonts w:ascii="Times New Roman" w:hAnsi="Times New Roman"/>
          <w:szCs w:val="24"/>
        </w:rPr>
        <w:t>. Клиническая эффективность</w:t>
      </w:r>
      <w:bookmarkEnd w:id="210"/>
    </w:p>
    <w:p w14:paraId="7B09F36C" w14:textId="77777777" w:rsidR="006A4F12" w:rsidRDefault="006A4F12" w:rsidP="006A4F12">
      <w:pPr>
        <w:ind w:firstLine="851"/>
      </w:pPr>
    </w:p>
    <w:p w14:paraId="4A72DF69" w14:textId="46DD03C7" w:rsidR="00200EBA" w:rsidRDefault="007047F7" w:rsidP="006A4F12">
      <w:pPr>
        <w:ind w:firstLine="851"/>
      </w:pPr>
      <w:r>
        <w:t>Ниже</w:t>
      </w:r>
      <w:r w:rsidR="00200EBA">
        <w:t xml:space="preserve"> представлены данные о ключевых исследованиях ленватиниба по показаниям дифференцированный </w:t>
      </w:r>
      <w:r w:rsidR="006C7E4D">
        <w:t>РЩЖ</w:t>
      </w:r>
      <w:r w:rsidR="00200EBA">
        <w:t xml:space="preserve">, </w:t>
      </w:r>
      <w:r w:rsidR="006C7E4D">
        <w:t>ГЦР</w:t>
      </w:r>
      <w:r w:rsidR="00200EBA">
        <w:t xml:space="preserve">, почечно-клеточный рак, </w:t>
      </w:r>
      <w:r w:rsidR="006C7E4D">
        <w:t>РЭ</w:t>
      </w:r>
      <w:r w:rsidR="00200EBA">
        <w:t>. В таблице 4-</w:t>
      </w:r>
      <w:r w:rsidR="00337BFA" w:rsidRPr="00D050C7">
        <w:rPr>
          <w:rStyle w:val="af5"/>
          <w:sz w:val="24"/>
          <w:szCs w:val="24"/>
        </w:rPr>
        <w:t>1</w:t>
      </w:r>
      <w:r w:rsidR="00337BFA">
        <w:rPr>
          <w:rStyle w:val="af5"/>
        </w:rPr>
        <w:t xml:space="preserve"> </w:t>
      </w:r>
      <w:r w:rsidR="00200EBA">
        <w:t>представлены ключевые исследования, после которых произошла регистрация</w:t>
      </w:r>
      <w:r>
        <w:t xml:space="preserve"> оригинального</w:t>
      </w:r>
      <w:r w:rsidR="00200EBA">
        <w:t xml:space="preserve"> препарата ленватиниб</w:t>
      </w:r>
      <w:r>
        <w:t>а</w:t>
      </w:r>
      <w:r w:rsidR="00200EBA">
        <w:t>.</w:t>
      </w:r>
    </w:p>
    <w:p w14:paraId="33F195FD" w14:textId="1D7D79E8" w:rsidR="00200EBA" w:rsidRDefault="00200EBA" w:rsidP="00200EBA">
      <w:pPr>
        <w:ind w:firstLine="851"/>
      </w:pPr>
      <w:r>
        <w:t>В настоящее время проходят десятки исследований</w:t>
      </w:r>
      <w:r w:rsidR="005B40C6">
        <w:t xml:space="preserve"> ленватиниба,</w:t>
      </w:r>
      <w:r>
        <w:t xml:space="preserve"> как с целью регистрации новых показаний у пациентов с различными формами рака, так и пострегистрационные исследования, в том числе исследования реальной клинической практики для пострегистрационной оценки эффективности и безопасности </w:t>
      </w:r>
      <w:r>
        <w:fldChar w:fldCharType="begin"/>
      </w:r>
      <w:r>
        <w:instrText xml:space="preserve"> ADDIN ZOTERO_ITEM CSL_CITATION {"citationID":"zcafy7Mb","properties":{"formattedCitation":"[20]","plainCitation":"[20]","noteIndex":0},"citationItems":[{"id":2864,"uris":["http://zotero.org/users/5483459/items/ZKETR6BA"],"itemData":{"id":2864,"type":"article-journal","abstract":"INTRODUCTION: Lenvatinib is an oral multitargeted tyrosine kinase inhibitor that has shown efficacy and manageable safety across multiple cancer types. The recommended starting doses for lenvatinib differ across cancer types and indications based on whether it is used as monotherapy or as combination therapy.\nAREAS COVERED: This review covers clinical trials that established the dosing paradigm and efficacy of lenvatinib and defined its adverse-event profile as a monotherapy; or in combination with the mTOR inhibitor, everolimus; or the anti-PD-1 antibody, pembrolizumab; and/or chemotherapy.\nEXPERT OPINION: Lenvatinib has been established as standard-of-care either as a monotherapy or in combination with other anticancer agents for the treatment of radioiodine-refractory differentiated thyroid carcinoma, hepatocellular carcinoma, renal cell carcinoma, and endometrial carcinoma, and is being investigated further across several other tumor types. The dosing and adverse-event management strategies for lenvatinib have been developed through extensive clinical trial experience. Collectively, the data provide the rationale to start lenvatinib at the recommended doses and then interrupt or dose reduce as necessary to achieve required dose intensity for maximized patient benefit. The adverse-event profile of lenvatinib is consistent with that of other tyrosine kinase inhibitors, and clinicians are encouraged to review and adopt relevant symptom-management strategies.","container-title":"Expert Review of Anticancer Therapy","DOI":"10.1080/14737140.2022.2039123","ISSN":"1744-8328","issue":"4","journalAbbreviation":"Expert Rev Anticancer Ther","language":"eng","note":"PMID: 35260027\nPMCID: PMC9484451","page":"383-400","source":"PubMed","title":"Lenvatinib dose, efficacy, and safety in the treatment of multiple malignancies","volume":"22","author":[{"family":"Motzer","given":"Robert J."},{"family":"Taylor","given":"Matthew H."},{"family":"Evans","given":"Thomas R. Jeffry"},{"family":"Okusaka","given":"Takuji"},{"family":"Glen","given":"Hilary"},{"family":"Lubiniecki","given":"Gregory M."},{"family":"Dutcus","given":"Corina"},{"family":"Smith","given":"Alan D."},{"family":"Okpara","given":"Chinyere E."},{"family":"Hussein","given":"Ziad"},{"family":"Hayato","given":"Seiichi"},{"family":"Tamai","given":"Toshiyuki"},{"family":"Makker","given":"Vicky"}],"issued":{"date-parts":[["2022",4]]}}}],"schema":"https://github.com/citation-style-language/schema/raw/master/csl-citation.json"} </w:instrText>
      </w:r>
      <w:r>
        <w:fldChar w:fldCharType="separate"/>
      </w:r>
      <w:r w:rsidRPr="00852090">
        <w:t>[20]</w:t>
      </w:r>
      <w:r>
        <w:fldChar w:fldCharType="end"/>
      </w:r>
    </w:p>
    <w:p w14:paraId="5613D264" w14:textId="77777777" w:rsidR="00200EBA" w:rsidRDefault="00200EBA" w:rsidP="00200EBA"/>
    <w:p w14:paraId="3E1F2835" w14:textId="77777777" w:rsidR="00E36A78" w:rsidRDefault="00E36A78" w:rsidP="00200EBA">
      <w:pPr>
        <w:rPr>
          <w:b/>
          <w:bCs/>
        </w:rPr>
        <w:sectPr w:rsidR="00E36A78" w:rsidSect="00AB01E2">
          <w:pgSz w:w="11906" w:h="16838"/>
          <w:pgMar w:top="1134" w:right="849" w:bottom="1134" w:left="1701" w:header="708" w:footer="709" w:gutter="0"/>
          <w:cols w:space="708"/>
          <w:docGrid w:linePitch="360"/>
        </w:sectPr>
      </w:pPr>
    </w:p>
    <w:p w14:paraId="717DF1AB" w14:textId="5659625B" w:rsidR="00200EBA" w:rsidRPr="006A4F12" w:rsidRDefault="00200EBA" w:rsidP="00200EBA">
      <w:r w:rsidRPr="00524588">
        <w:rPr>
          <w:b/>
          <w:bCs/>
        </w:rPr>
        <w:lastRenderedPageBreak/>
        <w:t xml:space="preserve">Таблица 4-1. </w:t>
      </w:r>
      <w:r w:rsidRPr="006A4F12">
        <w:rPr>
          <w:bCs/>
        </w:rPr>
        <w:t xml:space="preserve">Регистрационные исследования </w:t>
      </w:r>
      <w:r w:rsidR="009F7EED" w:rsidRPr="006A4F12">
        <w:rPr>
          <w:bCs/>
        </w:rPr>
        <w:t>III</w:t>
      </w:r>
      <w:r w:rsidRPr="006A4F12">
        <w:rPr>
          <w:bCs/>
        </w:rPr>
        <w:t xml:space="preserve"> фазы по показаниям дифференцированный </w:t>
      </w:r>
      <w:r w:rsidR="006C7E4D" w:rsidRPr="006A4F12">
        <w:rPr>
          <w:bCs/>
        </w:rPr>
        <w:t>РЩЖ</w:t>
      </w:r>
      <w:r w:rsidRPr="006A4F12">
        <w:rPr>
          <w:bCs/>
        </w:rPr>
        <w:t xml:space="preserve">, </w:t>
      </w:r>
      <w:r w:rsidR="006C7E4D" w:rsidRPr="006A4F12">
        <w:rPr>
          <w:bCs/>
        </w:rPr>
        <w:t>ГЦР</w:t>
      </w:r>
      <w:r w:rsidRPr="006A4F12">
        <w:rPr>
          <w:bCs/>
        </w:rPr>
        <w:t xml:space="preserve">, </w:t>
      </w:r>
      <w:r w:rsidR="006C7E4D" w:rsidRPr="006A4F12">
        <w:rPr>
          <w:bCs/>
        </w:rPr>
        <w:t>ПКР</w:t>
      </w:r>
      <w:r w:rsidRPr="006A4F12">
        <w:rPr>
          <w:bCs/>
        </w:rPr>
        <w:t xml:space="preserve">, </w:t>
      </w:r>
      <w:r w:rsidR="006C7E4D" w:rsidRPr="006A4F12">
        <w:rPr>
          <w:bCs/>
        </w:rPr>
        <w:t>РЭ</w:t>
      </w:r>
      <w:r w:rsidR="006A4F12">
        <w:rPr>
          <w:bCs/>
        </w:rPr>
        <w:t>.</w:t>
      </w:r>
    </w:p>
    <w:tbl>
      <w:tblPr>
        <w:tblStyle w:val="a8"/>
        <w:tblW w:w="9493" w:type="dxa"/>
        <w:tblLayout w:type="fixed"/>
        <w:tblLook w:val="04A0" w:firstRow="1" w:lastRow="0" w:firstColumn="1" w:lastColumn="0" w:noHBand="0" w:noVBand="1"/>
      </w:tblPr>
      <w:tblGrid>
        <w:gridCol w:w="2263"/>
        <w:gridCol w:w="2410"/>
        <w:gridCol w:w="1418"/>
        <w:gridCol w:w="1824"/>
        <w:gridCol w:w="1578"/>
      </w:tblGrid>
      <w:tr w:rsidR="00200EBA" w:rsidRPr="00091004" w14:paraId="5E453224" w14:textId="77777777" w:rsidTr="007047F7">
        <w:trPr>
          <w:tblHeader/>
        </w:trPr>
        <w:tc>
          <w:tcPr>
            <w:tcW w:w="2263" w:type="dxa"/>
            <w:shd w:val="clear" w:color="auto" w:fill="D9D9D9" w:themeFill="background1" w:themeFillShade="D9"/>
            <w:vAlign w:val="center"/>
          </w:tcPr>
          <w:p w14:paraId="07AD321F" w14:textId="77777777" w:rsidR="00200EBA" w:rsidRPr="006A4F12" w:rsidRDefault="00200EBA" w:rsidP="006A4F12">
            <w:pPr>
              <w:jc w:val="center"/>
              <w:rPr>
                <w:b/>
                <w:sz w:val="22"/>
                <w:szCs w:val="22"/>
              </w:rPr>
            </w:pPr>
            <w:bookmarkStart w:id="211" w:name="_Hlk118109450"/>
            <w:r w:rsidRPr="006A4F12">
              <w:rPr>
                <w:b/>
                <w:sz w:val="22"/>
                <w:szCs w:val="22"/>
              </w:rPr>
              <w:t>Нозология</w:t>
            </w:r>
          </w:p>
        </w:tc>
        <w:tc>
          <w:tcPr>
            <w:tcW w:w="2410" w:type="dxa"/>
            <w:shd w:val="clear" w:color="auto" w:fill="D9D9D9" w:themeFill="background1" w:themeFillShade="D9"/>
            <w:vAlign w:val="center"/>
          </w:tcPr>
          <w:p w14:paraId="1A6892A0" w14:textId="77777777" w:rsidR="00200EBA" w:rsidRPr="006A4F12" w:rsidRDefault="00200EBA" w:rsidP="006A4F12">
            <w:pPr>
              <w:jc w:val="center"/>
              <w:rPr>
                <w:b/>
                <w:sz w:val="22"/>
                <w:szCs w:val="22"/>
              </w:rPr>
            </w:pPr>
            <w:r w:rsidRPr="006A4F12">
              <w:rPr>
                <w:b/>
                <w:sz w:val="22"/>
                <w:szCs w:val="22"/>
              </w:rPr>
              <w:t>Идентификационный</w:t>
            </w:r>
          </w:p>
          <w:p w14:paraId="38CDC2EA" w14:textId="77777777" w:rsidR="00200EBA" w:rsidRPr="006A4F12" w:rsidRDefault="00200EBA" w:rsidP="006A4F12">
            <w:pPr>
              <w:jc w:val="center"/>
              <w:rPr>
                <w:b/>
                <w:sz w:val="22"/>
                <w:szCs w:val="22"/>
              </w:rPr>
            </w:pPr>
            <w:r w:rsidRPr="006A4F12">
              <w:rPr>
                <w:b/>
                <w:sz w:val="22"/>
                <w:szCs w:val="22"/>
              </w:rPr>
              <w:t>номер</w:t>
            </w:r>
          </w:p>
        </w:tc>
        <w:tc>
          <w:tcPr>
            <w:tcW w:w="1418" w:type="dxa"/>
            <w:shd w:val="clear" w:color="auto" w:fill="D9D9D9" w:themeFill="background1" w:themeFillShade="D9"/>
            <w:vAlign w:val="center"/>
          </w:tcPr>
          <w:p w14:paraId="48BB6D17" w14:textId="77777777" w:rsidR="00200EBA" w:rsidRPr="006A4F12" w:rsidRDefault="00200EBA" w:rsidP="006A4F12">
            <w:pPr>
              <w:jc w:val="center"/>
              <w:rPr>
                <w:b/>
                <w:sz w:val="22"/>
                <w:szCs w:val="22"/>
              </w:rPr>
            </w:pPr>
            <w:r w:rsidRPr="006A4F12">
              <w:rPr>
                <w:b/>
                <w:sz w:val="22"/>
                <w:szCs w:val="22"/>
              </w:rPr>
              <w:t>Количество пациентов</w:t>
            </w:r>
          </w:p>
        </w:tc>
        <w:tc>
          <w:tcPr>
            <w:tcW w:w="1824" w:type="dxa"/>
            <w:shd w:val="clear" w:color="auto" w:fill="D9D9D9" w:themeFill="background1" w:themeFillShade="D9"/>
            <w:vAlign w:val="center"/>
          </w:tcPr>
          <w:p w14:paraId="5954DC47" w14:textId="312E1133" w:rsidR="00200EBA" w:rsidRPr="006A4F12" w:rsidRDefault="00200EBA" w:rsidP="006A4F12">
            <w:pPr>
              <w:jc w:val="center"/>
              <w:rPr>
                <w:b/>
                <w:sz w:val="22"/>
                <w:szCs w:val="22"/>
              </w:rPr>
            </w:pPr>
            <w:r w:rsidRPr="006A4F12">
              <w:rPr>
                <w:b/>
                <w:sz w:val="22"/>
                <w:szCs w:val="22"/>
              </w:rPr>
              <w:t>Первичная конечна</w:t>
            </w:r>
            <w:r w:rsidR="006A4F12">
              <w:rPr>
                <w:b/>
                <w:sz w:val="22"/>
                <w:szCs w:val="22"/>
              </w:rPr>
              <w:t>я</w:t>
            </w:r>
            <w:r w:rsidRPr="006A4F12">
              <w:rPr>
                <w:b/>
                <w:sz w:val="22"/>
                <w:szCs w:val="22"/>
              </w:rPr>
              <w:t xml:space="preserve"> точка</w:t>
            </w:r>
          </w:p>
        </w:tc>
        <w:tc>
          <w:tcPr>
            <w:tcW w:w="1578" w:type="dxa"/>
            <w:shd w:val="clear" w:color="auto" w:fill="D9D9D9" w:themeFill="background1" w:themeFillShade="D9"/>
            <w:vAlign w:val="center"/>
          </w:tcPr>
          <w:p w14:paraId="2793703A" w14:textId="77777777" w:rsidR="00200EBA" w:rsidRPr="006A4F12" w:rsidRDefault="00200EBA" w:rsidP="006A4F12">
            <w:pPr>
              <w:jc w:val="center"/>
              <w:rPr>
                <w:b/>
                <w:sz w:val="22"/>
                <w:szCs w:val="22"/>
              </w:rPr>
            </w:pPr>
            <w:r w:rsidRPr="006A4F12">
              <w:rPr>
                <w:b/>
                <w:sz w:val="22"/>
                <w:szCs w:val="22"/>
              </w:rPr>
              <w:t>Публикации</w:t>
            </w:r>
          </w:p>
        </w:tc>
      </w:tr>
      <w:tr w:rsidR="00200EBA" w:rsidRPr="00091004" w14:paraId="7095473F" w14:textId="77777777" w:rsidTr="00E36A78">
        <w:tc>
          <w:tcPr>
            <w:tcW w:w="2263" w:type="dxa"/>
          </w:tcPr>
          <w:p w14:paraId="1FA17D73" w14:textId="4336290D" w:rsidR="00200EBA" w:rsidRPr="00C22830" w:rsidRDefault="00F6567E" w:rsidP="00C22830">
            <w:pPr>
              <w:ind w:left="-109"/>
              <w:rPr>
                <w:sz w:val="22"/>
                <w:szCs w:val="22"/>
              </w:rPr>
            </w:pPr>
            <w:r>
              <w:rPr>
                <w:sz w:val="22"/>
                <w:szCs w:val="22"/>
              </w:rPr>
              <w:t>Д</w:t>
            </w:r>
            <w:r w:rsidR="00200EBA" w:rsidRPr="00C22830">
              <w:rPr>
                <w:sz w:val="22"/>
                <w:szCs w:val="22"/>
              </w:rPr>
              <w:t xml:space="preserve">ифференцированный </w:t>
            </w:r>
            <w:r w:rsidR="006C7E4D">
              <w:rPr>
                <w:sz w:val="22"/>
                <w:szCs w:val="22"/>
              </w:rPr>
              <w:t>РЩЖ</w:t>
            </w:r>
          </w:p>
          <w:p w14:paraId="11566D9C" w14:textId="77777777" w:rsidR="00200EBA" w:rsidRPr="00C22830" w:rsidRDefault="00200EBA" w:rsidP="000638C1">
            <w:pPr>
              <w:rPr>
                <w:sz w:val="22"/>
                <w:szCs w:val="22"/>
              </w:rPr>
            </w:pPr>
          </w:p>
        </w:tc>
        <w:tc>
          <w:tcPr>
            <w:tcW w:w="2410" w:type="dxa"/>
          </w:tcPr>
          <w:p w14:paraId="3BB7C26E" w14:textId="77777777" w:rsidR="00200EBA" w:rsidRPr="00087A74" w:rsidRDefault="00200EBA" w:rsidP="000638C1">
            <w:pPr>
              <w:rPr>
                <w:sz w:val="22"/>
                <w:szCs w:val="22"/>
              </w:rPr>
            </w:pPr>
            <w:bookmarkStart w:id="212" w:name="_Hlk118109334"/>
            <w:r w:rsidRPr="00087A74">
              <w:rPr>
                <w:sz w:val="22"/>
                <w:szCs w:val="22"/>
              </w:rPr>
              <w:t xml:space="preserve">3 </w:t>
            </w:r>
            <w:r w:rsidRPr="00C22830">
              <w:rPr>
                <w:sz w:val="22"/>
                <w:szCs w:val="22"/>
                <w:lang w:val="en-US"/>
              </w:rPr>
              <w:t>E</w:t>
            </w:r>
            <w:r w:rsidRPr="00087A74">
              <w:rPr>
                <w:sz w:val="22"/>
                <w:szCs w:val="22"/>
              </w:rPr>
              <w:t>7080-</w:t>
            </w:r>
            <w:r w:rsidRPr="00C22830">
              <w:rPr>
                <w:sz w:val="22"/>
                <w:szCs w:val="22"/>
                <w:lang w:val="en-US"/>
              </w:rPr>
              <w:t>G</w:t>
            </w:r>
            <w:r w:rsidRPr="00087A74">
              <w:rPr>
                <w:sz w:val="22"/>
                <w:szCs w:val="22"/>
              </w:rPr>
              <w:t>000-303</w:t>
            </w:r>
          </w:p>
          <w:p w14:paraId="13AAB7C0" w14:textId="77777777" w:rsidR="00200EBA" w:rsidRPr="00087A74" w:rsidRDefault="00200EBA" w:rsidP="000638C1">
            <w:pPr>
              <w:rPr>
                <w:sz w:val="22"/>
                <w:szCs w:val="22"/>
              </w:rPr>
            </w:pPr>
            <w:r w:rsidRPr="00C22830">
              <w:rPr>
                <w:sz w:val="22"/>
                <w:szCs w:val="22"/>
                <w:lang w:val="en-US"/>
              </w:rPr>
              <w:t>SELECT</w:t>
            </w:r>
            <w:bookmarkEnd w:id="212"/>
          </w:p>
          <w:p w14:paraId="175806A9" w14:textId="77777777" w:rsidR="00200EBA" w:rsidRPr="00087A74" w:rsidRDefault="00200EBA" w:rsidP="000638C1">
            <w:pPr>
              <w:rPr>
                <w:sz w:val="22"/>
                <w:szCs w:val="22"/>
              </w:rPr>
            </w:pPr>
          </w:p>
          <w:p w14:paraId="6A21E184" w14:textId="2245A7CE" w:rsidR="00200EBA" w:rsidRPr="00423D8F" w:rsidRDefault="00200EBA" w:rsidP="000638C1">
            <w:pPr>
              <w:rPr>
                <w:sz w:val="22"/>
                <w:szCs w:val="22"/>
              </w:rPr>
            </w:pPr>
            <w:r w:rsidRPr="00C22830">
              <w:rPr>
                <w:sz w:val="22"/>
                <w:szCs w:val="22"/>
                <w:lang w:val="en-US"/>
              </w:rPr>
              <w:t>ClinicalTrials</w:t>
            </w:r>
            <w:r w:rsidRPr="00087A74">
              <w:rPr>
                <w:sz w:val="22"/>
                <w:szCs w:val="22"/>
              </w:rPr>
              <w:t>.</w:t>
            </w:r>
            <w:r w:rsidRPr="00C22830">
              <w:rPr>
                <w:sz w:val="22"/>
                <w:szCs w:val="22"/>
                <w:lang w:val="en-US"/>
              </w:rPr>
              <w:t>gov</w:t>
            </w:r>
            <w:r w:rsidRPr="00087A74">
              <w:rPr>
                <w:sz w:val="22"/>
                <w:szCs w:val="22"/>
              </w:rPr>
              <w:t xml:space="preserve"> </w:t>
            </w:r>
            <w:r w:rsidRPr="00C22830">
              <w:rPr>
                <w:sz w:val="22"/>
                <w:szCs w:val="22"/>
                <w:lang w:val="en-US"/>
              </w:rPr>
              <w:t>Identifier</w:t>
            </w:r>
            <w:r w:rsidRPr="00087A74">
              <w:rPr>
                <w:sz w:val="22"/>
                <w:szCs w:val="22"/>
              </w:rPr>
              <w:t xml:space="preserve">: </w:t>
            </w:r>
            <w:r w:rsidRPr="00C22830">
              <w:rPr>
                <w:sz w:val="22"/>
                <w:szCs w:val="22"/>
                <w:lang w:val="en-US"/>
              </w:rPr>
              <w:t>NCT</w:t>
            </w:r>
            <w:r w:rsidRPr="00087A74">
              <w:rPr>
                <w:sz w:val="22"/>
                <w:szCs w:val="22"/>
              </w:rPr>
              <w:t>01</w:t>
            </w:r>
            <w:r w:rsidR="007047F7" w:rsidRPr="00087A74">
              <w:rPr>
                <w:sz w:val="22"/>
                <w:szCs w:val="22"/>
              </w:rPr>
              <w:t>321554</w:t>
            </w:r>
          </w:p>
        </w:tc>
        <w:tc>
          <w:tcPr>
            <w:tcW w:w="1418" w:type="dxa"/>
          </w:tcPr>
          <w:p w14:paraId="30D5629D" w14:textId="77777777" w:rsidR="00200EBA" w:rsidRPr="00C22830" w:rsidRDefault="00200EBA" w:rsidP="000638C1">
            <w:pPr>
              <w:rPr>
                <w:sz w:val="22"/>
                <w:szCs w:val="22"/>
              </w:rPr>
            </w:pPr>
            <w:r w:rsidRPr="00C22830">
              <w:rPr>
                <w:sz w:val="22"/>
                <w:szCs w:val="22"/>
              </w:rPr>
              <w:t>392</w:t>
            </w:r>
          </w:p>
        </w:tc>
        <w:tc>
          <w:tcPr>
            <w:tcW w:w="1824" w:type="dxa"/>
          </w:tcPr>
          <w:p w14:paraId="0534FCD4" w14:textId="0FD1A99F" w:rsidR="00200EBA" w:rsidRPr="00C22830" w:rsidRDefault="003D1C3D" w:rsidP="000638C1">
            <w:pPr>
              <w:rPr>
                <w:sz w:val="22"/>
                <w:szCs w:val="22"/>
              </w:rPr>
            </w:pPr>
            <w:r w:rsidRPr="00E670E6">
              <w:t>ВБП</w:t>
            </w:r>
            <w:r w:rsidR="00200EBA" w:rsidRPr="00C22830">
              <w:rPr>
                <w:sz w:val="22"/>
                <w:szCs w:val="22"/>
              </w:rPr>
              <w:t xml:space="preserve"> (mRECIST)</w:t>
            </w:r>
          </w:p>
        </w:tc>
        <w:tc>
          <w:tcPr>
            <w:tcW w:w="1578" w:type="dxa"/>
          </w:tcPr>
          <w:p w14:paraId="5CD3F1AF" w14:textId="77777777" w:rsidR="00200EBA" w:rsidRPr="00C22830" w:rsidRDefault="00200EBA" w:rsidP="000638C1">
            <w:pPr>
              <w:ind w:firstLine="203"/>
              <w:jc w:val="center"/>
              <w:rPr>
                <w:sz w:val="22"/>
                <w:szCs w:val="22"/>
              </w:rPr>
            </w:pPr>
            <w:r w:rsidRPr="00C22830">
              <w:rPr>
                <w:sz w:val="22"/>
                <w:szCs w:val="22"/>
              </w:rPr>
              <w:fldChar w:fldCharType="begin"/>
            </w:r>
            <w:r w:rsidRPr="00C22830">
              <w:rPr>
                <w:sz w:val="22"/>
                <w:szCs w:val="22"/>
              </w:rPr>
              <w:instrText xml:space="preserve"> ADDIN ZOTERO_ITEM CSL_CITATION {"citationID":"DmEm3BCQ","properties":{"formattedCitation":"[21,22]","plainCitation":"[21,22]","noteIndex":0},"citationItems":[{"id":2845,"uris":["http://zotero.org/users/5483459/items/C3FRYEZ3"],"itemData":{"id":2845,"type":"article-journal","abstract":"CONTEXT: Lenvatinib improved the progression-free survival (PFS) and overall response rate of patients with radioiodine-refractory differentiated thyroid cancer vs placebo in the Phase 3 Study of (E7080) Lenvatinib in Differentiated Cancer of the Thyroid (SELECT).\nOBJECTIVE: The objective of the study was to characterize tumor size changes with lenvatinib treatment.\nDESIGN: SELECT was a phase 3, randomized, double-blind, multicenter study.\nSETTING: In this clinical trial, tumor assessments of lenvatinib (n = 261) and placebo-treated (n = 131) patients were performed by independent radiological review per Response Evaluation Criteria in Solid Tumors version, 1.1 at 8-week intervals.\nPATIENTS: Patients with complete or partial response were defined as responders to lenvatinib (n = 169). Of the 92 nonresponders, 76 had at least one postbaseline tumor assessment and were included in this analysis.\nINTERVENTIONS: Lenvatinib (24 mg once daily) or placebo in 28-day cycles until unacceptable toxicity, disease progression, or death.\nMAIN OUTCOME MEASURES: This was an exploratory analysis of key end points from SELECT, including PFS, overall response rate, and tumor reduction.\nRESULTS: The median maximum percentage change in tumor size was -42.9% for patients receiving lenvatinib (responders, -51.9%; nonresponders, -20.2%). Tumor size reduction was most pronounced at first assessment (median, -24.7% at 8 wk after randomization); thereafter, the rate of change was slower but continuous (-1.3% per mo). In a multivariate model, percentage change in tumor size at the first assessment was a marginally significant positive predictor for PFS (P = .06).\nCONCLUSIONS: The change in tumor size conferred by lenvatinib was characterized by two phases: an initial, rapid decline, followed by slower, continuous shrinkage.","container-title":"The Journal of Clinical Endocrinology and Metabolism","DOI":"10.1210/jc.2015-3989","ISSN":"1945-7197","issue":"11","journalAbbreviation":"J Clin Endocrinol Metab","language":"eng","note":"PMID: 27548104\nPMCID: PMC5095235","page":"4103-4109","source":"PubMed","title":"Characterization of Tumor Size Changes Over Time From the Phase 3 Study of Lenvatinib in Thyroid Cancer","volume":"101","author":[{"family":"Robinson","given":"Bruce"},{"family":"Schlumberger","given":"Martin"},{"family":"Wirth","given":"Lori J."},{"family":"Dutcus","given":"Corina E."},{"family":"Song","given":"James"},{"family":"Taylor","given":"Matthew H."},{"family":"Kim","given":"Sung-Bae"},{"family":"Krzyzanowska","given":"Monika K."},{"family":"Capdevila","given":"Jaume"},{"family":"Sherman","given":"Steven I."},{"family":"Tahara","given":"Makoto"}],"issued":{"date-parts":[["2016",11]]}},"label":"page"},{"id":2842,"uris":["http://zotero.org/users/5483459/items/BS8P7HWM"],"itemData":{"id":2842,"type":"article-journal","abstract":"BACKGROUND: Lenvatinib, an oral inhibitor of vascular endothelial growth factor receptors 1, 2, and 3, fibroblast growth factor receptors 1 through 4, platelet-derived growth factor receptor α, RET, and KIT, showed clinical activity in a phase 2 study involving patients with differentiated thyroid cancer that was refractory to radioiodine (iodine-131).\nMETHODS: In our phase 3, randomized, double-blind, multicenter study involving patients with progressive thyroid cancer that was refractory to iodine-131, we randomly assigned 261 patients to receive lenvatinib (at a daily dose of 24 mg per day in 28-day cycles) and 131 patients to receive placebo. At the time of disease progression, patients in the placebo group could receive open-label lenvatinib. The primary end point was progression-free survival. Secondary end points included the response rate, overall survival, and safety.\nRESULTS: The median progression-free survival was 18.3 months in the lenvatinib group and 3.6 months in the placebo group (hazard ratio for progression or death, 0.21; 99% confidence interval, 0.14 to 0.31; P&lt;0.001). A progression-free survival benefit associated with lenvatinib was observed in all prespecified subgroups. The response rate was 64.8% in the lenvatinib group (4 complete responses and 165 partial responses) and 1.5% in the placebo group (P&lt;0.001). The median overall survival was not reached in either group. Treatment-related adverse effects of any grade, which occurred in more than 40% of patients in the lenvatinib group, were hypertension (in 67.8% of the patients), diarrhea (in 59.4%), fatigue or asthenia (in 59.0%), decreased appetite (in 50.2%), decreased weight (in 46.4%), and nausea (in 41.0%). Discontinuations of the study drug because of adverse effects occurred in 37 patients who received lenvatinib (14.2%) and 3 patients who received placebo (2.3%). In the lenvatinib group, 6 of 20 deaths that occurred during the treatment period were considered to be drug-related.\nCONCLUSIONS: Lenvatinib, as compared with placebo, was associated with significant improvements in progression-free survival and the response rate among patients with iodine-131-refractory thyroid cancer. Patients who received lenvatinib had more adverse effects. (Funded by Eisai; SELECT ClinicalTrials.gov number, NCT01321554.).","container-title":"The New England Journal of Medicine","DOI":"10.1056/NEJMoa1406470","ISSN":"1533-4406","issue":"7","journalAbbreviation":"N Engl J Med","language":"eng","note":"PMID: 25671254","page":"621-630","source":"PubMed","title":"Lenvatinib versus placebo in radioiodine-refractory thyroid cancer","volume":"372","author":[{"family":"Schlumberger","given":"Martin"},{"family":"Tahara","given":"Makoto"},{"family":"Wirth","given":"Lori J."},{"family":"Robinson","given":"Bruce"},{"family":"Brose","given":"Marcia S."},{"family":"Elisei","given":"Rossella"},{"family":"Habra","given":"Mouhammed Amir"},{"family":"Newbold","given":"Kate"},{"family":"Shah","given":"Manisha H."},{"family":"Hoff","given":"Ana O."},{"family":"Gianoukakis","given":"Andrew G."},{"family":"Kiyota","given":"Naomi"},{"family":"Taylor","given":"Matthew H."},{"family":"Kim","given":"Sung-Bae"},{"family":"Krzyzanowska","given":"Monika K."},{"family":"Dutcus","given":"Corina E."},{"family":"Heras","given":"Begoña","non-dropping-particle":"de las"},{"family":"Zhu","given":"Junming"},{"family":"Sherman","given":"Steven I."}],"issued":{"date-parts":[["2015",2,12]]}},"label":"page"}],"schema":"https://github.com/citation-style-language/schema/raw/master/csl-citation.json"} </w:instrText>
            </w:r>
            <w:r w:rsidRPr="00C22830">
              <w:rPr>
                <w:sz w:val="22"/>
                <w:szCs w:val="22"/>
              </w:rPr>
              <w:fldChar w:fldCharType="separate"/>
            </w:r>
            <w:r w:rsidRPr="00C22830">
              <w:rPr>
                <w:sz w:val="22"/>
                <w:szCs w:val="22"/>
              </w:rPr>
              <w:t>[21,22]</w:t>
            </w:r>
            <w:r w:rsidRPr="00C22830">
              <w:rPr>
                <w:sz w:val="22"/>
                <w:szCs w:val="22"/>
              </w:rPr>
              <w:fldChar w:fldCharType="end"/>
            </w:r>
            <w:r w:rsidRPr="00C22830">
              <w:rPr>
                <w:sz w:val="22"/>
                <w:szCs w:val="22"/>
              </w:rPr>
              <w:t>.</w:t>
            </w:r>
          </w:p>
          <w:p w14:paraId="49EBA7E8" w14:textId="77777777" w:rsidR="00200EBA" w:rsidRPr="00C22830" w:rsidRDefault="00200EBA" w:rsidP="000638C1">
            <w:pPr>
              <w:ind w:firstLine="203"/>
              <w:jc w:val="center"/>
              <w:rPr>
                <w:sz w:val="22"/>
                <w:szCs w:val="22"/>
              </w:rPr>
            </w:pPr>
          </w:p>
        </w:tc>
      </w:tr>
      <w:tr w:rsidR="00200EBA" w:rsidRPr="00091004" w14:paraId="234998F0" w14:textId="77777777" w:rsidTr="00E36A78">
        <w:tc>
          <w:tcPr>
            <w:tcW w:w="2263" w:type="dxa"/>
          </w:tcPr>
          <w:p w14:paraId="29DB1F2B" w14:textId="796500B1" w:rsidR="00200EBA" w:rsidRPr="00C22830" w:rsidRDefault="006C7E4D" w:rsidP="000638C1">
            <w:pPr>
              <w:ind w:left="-109"/>
              <w:rPr>
                <w:sz w:val="22"/>
                <w:szCs w:val="22"/>
              </w:rPr>
            </w:pPr>
            <w:r>
              <w:rPr>
                <w:sz w:val="22"/>
                <w:szCs w:val="22"/>
              </w:rPr>
              <w:t>ГЦР</w:t>
            </w:r>
          </w:p>
        </w:tc>
        <w:tc>
          <w:tcPr>
            <w:tcW w:w="2410" w:type="dxa"/>
          </w:tcPr>
          <w:p w14:paraId="56478205" w14:textId="6561D97E" w:rsidR="00200EBA" w:rsidRPr="00C22830" w:rsidRDefault="00200EBA" w:rsidP="000638C1">
            <w:pPr>
              <w:rPr>
                <w:sz w:val="22"/>
                <w:szCs w:val="22"/>
                <w:lang w:val="en-US"/>
              </w:rPr>
            </w:pPr>
            <w:bookmarkStart w:id="213" w:name="_Hlk118111458"/>
            <w:r w:rsidRPr="00C22830">
              <w:rPr>
                <w:sz w:val="22"/>
                <w:szCs w:val="22"/>
                <w:lang w:val="en-US"/>
              </w:rPr>
              <w:t>REFLECT</w:t>
            </w:r>
            <w:bookmarkEnd w:id="213"/>
          </w:p>
          <w:p w14:paraId="1053EC03" w14:textId="77777777" w:rsidR="00200EBA" w:rsidRPr="00C22830" w:rsidRDefault="00200EBA" w:rsidP="000638C1">
            <w:pPr>
              <w:rPr>
                <w:sz w:val="22"/>
                <w:szCs w:val="22"/>
                <w:lang w:val="en-US"/>
              </w:rPr>
            </w:pPr>
          </w:p>
          <w:p w14:paraId="7E91DBAB" w14:textId="77777777" w:rsidR="00200EBA" w:rsidRPr="00C22830" w:rsidRDefault="00200EBA" w:rsidP="000638C1">
            <w:pPr>
              <w:rPr>
                <w:sz w:val="22"/>
                <w:szCs w:val="22"/>
                <w:lang w:val="en-US"/>
              </w:rPr>
            </w:pPr>
            <w:bookmarkStart w:id="214" w:name="_Hlk118211670"/>
            <w:r w:rsidRPr="00C22830">
              <w:rPr>
                <w:sz w:val="22"/>
                <w:szCs w:val="22"/>
                <w:lang w:val="en-US"/>
              </w:rPr>
              <w:t>ClinicalTrials.gov Identifier: NCT01761266</w:t>
            </w:r>
            <w:bookmarkEnd w:id="214"/>
          </w:p>
        </w:tc>
        <w:tc>
          <w:tcPr>
            <w:tcW w:w="1418" w:type="dxa"/>
          </w:tcPr>
          <w:p w14:paraId="3CA5323F" w14:textId="77777777" w:rsidR="00200EBA" w:rsidRPr="00C22830" w:rsidRDefault="00200EBA" w:rsidP="000638C1">
            <w:pPr>
              <w:rPr>
                <w:sz w:val="22"/>
                <w:szCs w:val="22"/>
              </w:rPr>
            </w:pPr>
            <w:r w:rsidRPr="00C22830">
              <w:rPr>
                <w:sz w:val="22"/>
                <w:szCs w:val="22"/>
              </w:rPr>
              <w:t>954</w:t>
            </w:r>
          </w:p>
        </w:tc>
        <w:tc>
          <w:tcPr>
            <w:tcW w:w="1824" w:type="dxa"/>
          </w:tcPr>
          <w:p w14:paraId="28856FEF" w14:textId="32D86E87" w:rsidR="00200EBA" w:rsidRPr="00C22830" w:rsidRDefault="003D1C3D" w:rsidP="000638C1">
            <w:pPr>
              <w:rPr>
                <w:sz w:val="22"/>
                <w:szCs w:val="22"/>
              </w:rPr>
            </w:pPr>
            <w:r>
              <w:rPr>
                <w:sz w:val="22"/>
                <w:szCs w:val="22"/>
              </w:rPr>
              <w:t>ОВ</w:t>
            </w:r>
          </w:p>
        </w:tc>
        <w:tc>
          <w:tcPr>
            <w:tcW w:w="1578" w:type="dxa"/>
          </w:tcPr>
          <w:p w14:paraId="2223DD85" w14:textId="77777777" w:rsidR="00200EBA" w:rsidRPr="00C22830" w:rsidRDefault="00200EBA" w:rsidP="000638C1">
            <w:pPr>
              <w:ind w:firstLine="203"/>
              <w:jc w:val="center"/>
              <w:rPr>
                <w:sz w:val="22"/>
                <w:szCs w:val="22"/>
              </w:rPr>
            </w:pPr>
            <w:r w:rsidRPr="00C22830">
              <w:rPr>
                <w:sz w:val="22"/>
                <w:szCs w:val="22"/>
              </w:rPr>
              <w:fldChar w:fldCharType="begin"/>
            </w:r>
            <w:r w:rsidRPr="00C22830">
              <w:rPr>
                <w:sz w:val="22"/>
                <w:szCs w:val="22"/>
              </w:rPr>
              <w:instrText xml:space="preserve"> ADDIN ZOTERO_ITEM CSL_CITATION {"citationID":"TNQAbp9j","properties":{"formattedCitation":"[2,23\\uc0\\u8211{}25]","plainCitation":"[2,23–25]","noteIndex":0},"citationItems":[{"id":2745,"uris":["http://zotero.org/users/5483459/items/95XEZDWJ"],"itemData":{"id":2745,"type":"document","title":"European  Medicines Agency. SUMMARY OF PRODUCT CHARACTERISTICS. LENVIMA 4 mg, 10 mg hard capsules.26.11.2021"},"label":"page"},{"id":2854,"uris":["http://zotero.org/users/5483459/items/CWATTWWG"],"itemData":{"id":2854,"type":"article-journal","abstract":"BACKGROUND: A phase 3, multinational, randomized, non-inferiority trial (REFLECT) compared the efficacy and safety of lenvatinib (LEN) and sorafenib (SOR) in patients with unresectable hepatocellular carcinoma (uHCC). LEN had an effect on overall survival (OS) compared to SOR, statistically confirmed by non-inferiority [OS: median = 13.6 months vs. 12.3 months; hazard ratio (HR) 0.92, 95% confidence interval (CI) 0.79-1.06], and demonstrated statistically significant improvements in progression-free survival (PFS) and the objective response rate (ORR) in the overall population. The results of a subset analysis that evaluated the efficacy and safety of LEN and SOR in the Japanese population are reported.\nMETHODS: The intent-to-treat population enrolled in Japan was analyzed.\nRESULTS: Of 954 patients in the overall population, 168 Japanese patients were assigned to the LEN arm (N = 81) or the SOR arm (N = 87). Median OS was 17.6 months for LEN vs. 17.8 months for SOR (HR 0.90; 95% CI 0.62-1.29). LEN showed statistically significant improvements over SOR in PFS (7.2 months vs. 4.6 months) and ORR (29.6% vs. 6.9%). The relative dose intensity of LEN and SOR in the Japanese population was lower than in the overall population. Frequently observed, related adverse events included palmar-plantar erythrodysaesthesia syndrome (PPES), hypertension, decreased appetite, and proteinuria in the LEN arm, and PPES, hypertension, diarrhea, and alopecia in the SOR arm.\nCONCLUSIONS: The efficacy and safety of LEN in the Japanese population were similar to those in the overall population of REFLECT. With manageable adverse events, LEN is a new treatment option for Japanese patients with uHCC.\nTRIAL REGISTRATION ID: ClinicalTrials.gov. No. NCT01761266.","container-title":"Journal of Gastroenterology","DOI":"10.1007/s00535-019-01642-1","ISSN":"1435-5922","issue":"1","journalAbbreviation":"J Gastroenterol","language":"eng","note":"PMID: 31720835\nPMCID: PMC6942573","page":"113-122","source":"PubMed","title":"REFLECT-a phase 3 trial comparing efficacy and safety of lenvatinib to sorafenib for the treatment of unresectable hepatocellular carcinoma: an analysis of Japanese subset","title-short":"REFLECT-a phase 3 trial comparing efficacy and safety of lenvatinib to sorafenib for the treatment of unresectable hepatocellular carcinoma","volume":"55","author":[{"family":"Yamashita","given":"Tatsuya"},{"family":"Kudo","given":"Masatoshi"},{"family":"Ikeda","given":"Kenji"},{"family":"Izumi","given":"Namiki"},{"family":"Tateishi","given":"Ryosuke"},{"family":"Ikeda","given":"Masafumi"},{"family":"Aikata","given":"Hiroshi"},{"family":"Kawaguchi","given":"Yasunori"},{"family":"Wada","given":"Yoshiyuki"},{"family":"Numata","given":"Kazushi"},{"family":"Inaba","given":"Yoshitaka"},{"family":"Kuromatsu","given":"Ryoko"},{"family":"Kobayashi","given":"Masahiro"},{"family":"Okusaka","given":"Takuji"},{"family":"Tamai","given":"Toshiyuki"},{"family":"Kitamura","given":"Chifumi"},{"family":"Saito","given":"Kenichi"},{"family":"Haruna","given":"Katsuya"},{"family":"Okita","given":"Kiwamu"},{"family":"Kumada","given":"Hiromitsu"}],"issued":{"date-parts":[["2020",1]]}},"label":"page"},{"id":2848,"uris":["http://zotero.org/users/5483459/items/UTA5FNBV"],"itemData":{"id":2848,"type":"article-journal","abstract":"BACKGROUND: In a phase 2 trial, lenvatinib, an inhibitor of VEGF receptors 1-3, FGF receptors 1-4, PDGF receptor α, RET, and KIT, showed activity in hepatocellular carcinoma. We aimed to compare overall survival in patients treated with lenvatinib versus sorafenib as a first-line treatment for unresectable hepatocellular carcinoma.\nMETHODS: This was an open-label, phase 3, multicentre, non-inferiority trial that recruited patients with unresectable hepatocellular carcinoma, who had not received treatment for advanced disease, at 154 sites in 20 countries throughout the Asia-Pacific, European, and North American regions. Patients were randomly assigned (1:1) via an interactive voice-web response system-with region; macroscopic portal vein invasion, extrahepatic spread, or both; Eastern Cooperative Oncology Group performance status; and bodyweight as stratification factors-to receive oral lenvatinib (12 mg/day for bodyweight ≥60 kg or 8 mg/day for bodyweight &lt;60 kg) or sorafenib 400 mg twice-daily in 28-day cycles. The primary endpoint was overall survival, measured from the date of randomisation until the date of death from any cause. The efficacy analysis followed the intention-to-treat principle, and only patients who received treatment were included in the safety analysis. The non-inferiority margin was set at 1·08. The trial is registered with ClinicalTrials.gov, number NCT01761266.\nFINDINGS: Between March 1, 2013 and July 30, 2015, 1492 patients were recruited. 954 eligible patients were randomly assigned to lenvatinib (n=478) or sorafenib (n=476). Median survival time for lenvatinib of 13·6 months (95% CI 12·1-14·9) was non-inferior to sorafenib (12·3 months, 10·4-13·9; hazard ratio 0·92, 95% CI 0·79-1·06), meeting criteria for non-inferiority. The most common any-grade adverse events were hypertension (201 [42%]), diarrhoea (184 [39%]), decreased appetite (162 [34%]), and decreased weight (147 [31%]) for lenvatinib, and palmar-plantar erythrodysaesthesia (249 [52%]), diarrhoea (220 [46%]), hypertension (144 [30%]), and decreased appetite (127 [27%]) for sorafenib.\nINTERPRETATION: Lenvatinib was non-inferior to sorafenib in overall survival in untreated advanced hepatocellular carcinoma. The safety and tolerability profiles of lenvatinib were consistent with those previously observed.\nFUNDING: Eisai Inc.","container-title":"Lancet (London, England)","DOI":"10.1016/S0140-6736(18)30207-1","ISSN":"1474-547X","issue":"10126","journalAbbreviation":"Lancet","language":"eng","note":"PMID: 29433850","page":"1163-1173","source":"PubMed","title":"Lenvatinib versus sorafenib in first-line treatment of patients with unresectable hepatocellular carcinoma: a randomised phase 3 non-inferiority trial","title-short":"Lenvatinib versus sorafenib in first-line treatment of patients with unresectable hepatocellular carcinoma","volume":"391","author":[{"family":"Kudo","given":"Masatoshi"},{"family":"Finn","given":"Richard S."},{"family":"Qin","given":"Shukui"},{"family":"Han","given":"Kwang-Hyub"},{"family":"Ikeda","given":"Kenji"},{"family":"Piscaglia","given":"Fabio"},{"family":"Baron","given":"Ari"},{"family":"Park","given":"Joong-Won"},{"family":"Han","given":"Guohong"},{"family":"Jassem","given":"Jacek"},{"family":"Blanc","given":"Jean Frederic"},{"family":"Vogel","given":"Arndt"},{"family":"Komov","given":"Dmitry"},{"family":"Evans","given":"T. R. Jeffry"},{"family":"Lopez","given":"Carlos"},{"family":"Dutcus","given":"Corina"},{"family":"Guo","given":"Matthew"},{"family":"Saito","given":"Kenichi"},{"family":"Kraljevic","given":"Silvija"},{"family":"Tamai","given":"Toshiyuki"},{"family":"Ren","given":"Min"},{"family":"Cheng","given":"Ann-Lii"}],"issued":{"date-parts":[["2018",3,24]]}},"label":"page"},{"id":2851,"uris":["http://zotero.org/users/5483459/items/NGX4GXTK"],"itemData":{"id":2851,"type":"article-journal","abstract":"BACKGROUND: Proteinuria monitoring is required in patients receiving lenvatinib, however, current methodology involves burdensome overnight urine collection.\nMETHODS: To determine whether the simpler urine protein:creatinine ratio (UPCR) calculated from spot urine samples could be accurately used for proteinuria monitoring in patients receiving lenvatinib, we evaluated the correlation between UPCR and 24-hour urine protein results from the phase 3 REFLECT study. Paired data (323 tests, 154 patients) were analysed.\nRESULTS: Regression analysis showed a statistically significant correlation between UPCR and 24-hour urine protein (R2: 0.75; P &lt; 2 × 10-16). A UPCR cut-off value of 2.4 had 96.9% sensitivity, 82.5% specificity for delineating between grade 2 and 3 proteinuria. Using this UPCR cut-off value to determine the need for further testing could reduce the need for 24-hour urine collection in ~74% of patients.\nCONCLUSION: Incorporation of UPCR into the current algorithm for proteinuria management can enable optimisation of lenvatinib treatment, while minimising patient inconvenience.\nCLINICAL TRIAL REGISTRATION: NCT01761266.","container-title":"British Journal of Cancer","DOI":"10.1038/s41416-019-0506-6","ISSN":"1532-1827","issue":"3","journalAbbreviation":"Br J Cancer","language":"eng","note":"PMID: 31249394\nPMCID: PMC6738107","page":"218-221","source":"PubMed","title":"Urine protein:creatinine ratio vs 24-hour urine protein for proteinuria management: analysis from the phase 3 REFLECT study of lenvatinib vs sorafenib in hepatocellular carcinoma","title-short":"Urine protein","volume":"121","author":[{"family":"Evans","given":"Thomas R. Jeffry"},{"family":"Kudo","given":"Masatoshi"},{"family":"Finn","given":"Richard S."},{"family":"Han","given":"Kwang-Hyub"},{"family":"Cheng","given":"Ann-Lii"},{"family":"Ikeda","given":"Masafumi"},{"family":"Kraljevic","given":"Silvija"},{"family":"Ren","given":"Min"},{"family":"Dutcus","given":"Corina E."},{"family":"Piscaglia","given":"Fabio"},{"family":"Sung","given":"Max W."}],"issued":{"date-parts":[["2019",7]]}},"label":"page"}],"schema":"https://github.com/citation-style-language/schema/raw/master/csl-citation.json"} </w:instrText>
            </w:r>
            <w:r w:rsidRPr="00C22830">
              <w:rPr>
                <w:sz w:val="22"/>
                <w:szCs w:val="22"/>
              </w:rPr>
              <w:fldChar w:fldCharType="separate"/>
            </w:r>
            <w:r w:rsidRPr="00C22830">
              <w:rPr>
                <w:sz w:val="22"/>
                <w:szCs w:val="22"/>
              </w:rPr>
              <w:t>[2,23–25]</w:t>
            </w:r>
            <w:r w:rsidRPr="00C22830">
              <w:rPr>
                <w:sz w:val="22"/>
                <w:szCs w:val="22"/>
              </w:rPr>
              <w:fldChar w:fldCharType="end"/>
            </w:r>
            <w:r w:rsidRPr="00C22830">
              <w:rPr>
                <w:sz w:val="22"/>
                <w:szCs w:val="22"/>
              </w:rPr>
              <w:t>.</w:t>
            </w:r>
          </w:p>
          <w:p w14:paraId="54F60BE9" w14:textId="77777777" w:rsidR="00200EBA" w:rsidRPr="00C22830" w:rsidRDefault="00200EBA" w:rsidP="000638C1">
            <w:pPr>
              <w:ind w:firstLine="203"/>
              <w:jc w:val="center"/>
              <w:rPr>
                <w:sz w:val="22"/>
                <w:szCs w:val="22"/>
              </w:rPr>
            </w:pPr>
          </w:p>
          <w:p w14:paraId="7E33C641" w14:textId="77777777" w:rsidR="00200EBA" w:rsidRPr="00C22830" w:rsidRDefault="00200EBA" w:rsidP="000638C1">
            <w:pPr>
              <w:ind w:firstLine="203"/>
              <w:jc w:val="center"/>
              <w:rPr>
                <w:sz w:val="22"/>
                <w:szCs w:val="22"/>
              </w:rPr>
            </w:pPr>
          </w:p>
        </w:tc>
      </w:tr>
      <w:tr w:rsidR="00200EBA" w:rsidRPr="00091004" w14:paraId="708E689C" w14:textId="77777777" w:rsidTr="00E36A78">
        <w:tc>
          <w:tcPr>
            <w:tcW w:w="2263" w:type="dxa"/>
          </w:tcPr>
          <w:p w14:paraId="597CE343" w14:textId="3414FDFF" w:rsidR="00200EBA" w:rsidRPr="00C22830" w:rsidRDefault="006C7E4D" w:rsidP="000638C1">
            <w:pPr>
              <w:ind w:left="-109"/>
              <w:rPr>
                <w:sz w:val="22"/>
                <w:szCs w:val="22"/>
              </w:rPr>
            </w:pPr>
            <w:r>
              <w:rPr>
                <w:sz w:val="22"/>
                <w:szCs w:val="22"/>
              </w:rPr>
              <w:t>ПКР</w:t>
            </w:r>
          </w:p>
        </w:tc>
        <w:tc>
          <w:tcPr>
            <w:tcW w:w="2410" w:type="dxa"/>
          </w:tcPr>
          <w:p w14:paraId="27276466" w14:textId="77777777" w:rsidR="00200EBA" w:rsidRPr="00C22830" w:rsidRDefault="00200EBA" w:rsidP="000638C1">
            <w:pPr>
              <w:rPr>
                <w:sz w:val="22"/>
                <w:szCs w:val="22"/>
                <w:lang w:val="en-US"/>
              </w:rPr>
            </w:pPr>
            <w:r w:rsidRPr="00C22830">
              <w:rPr>
                <w:sz w:val="22"/>
                <w:szCs w:val="22"/>
                <w:lang w:val="en-US"/>
              </w:rPr>
              <w:t>E7080</w:t>
            </w:r>
          </w:p>
          <w:p w14:paraId="2D43557A" w14:textId="77777777" w:rsidR="00200EBA" w:rsidRPr="00C22830" w:rsidRDefault="00200EBA" w:rsidP="000638C1">
            <w:pPr>
              <w:rPr>
                <w:sz w:val="22"/>
                <w:szCs w:val="22"/>
                <w:lang w:val="en-US"/>
              </w:rPr>
            </w:pPr>
          </w:p>
          <w:p w14:paraId="0B32FA8C" w14:textId="77777777" w:rsidR="00200EBA" w:rsidRPr="00C22830" w:rsidRDefault="00200EBA" w:rsidP="000638C1">
            <w:pPr>
              <w:rPr>
                <w:sz w:val="22"/>
                <w:szCs w:val="22"/>
                <w:lang w:val="en-US"/>
              </w:rPr>
            </w:pPr>
            <w:r w:rsidRPr="00C22830">
              <w:rPr>
                <w:sz w:val="22"/>
                <w:szCs w:val="22"/>
                <w:lang w:val="en-US"/>
              </w:rPr>
              <w:t>CLEAR</w:t>
            </w:r>
          </w:p>
          <w:p w14:paraId="3DC27C70" w14:textId="77777777" w:rsidR="00200EBA" w:rsidRPr="00C22830" w:rsidRDefault="00200EBA" w:rsidP="000638C1">
            <w:pPr>
              <w:rPr>
                <w:sz w:val="22"/>
                <w:szCs w:val="22"/>
                <w:lang w:val="en-US"/>
              </w:rPr>
            </w:pPr>
            <w:r w:rsidRPr="00C22830">
              <w:rPr>
                <w:sz w:val="22"/>
                <w:szCs w:val="22"/>
                <w:lang w:val="en-US"/>
              </w:rPr>
              <w:t>ClinicalTrials.gov Identifier: NCT02811861</w:t>
            </w:r>
          </w:p>
        </w:tc>
        <w:tc>
          <w:tcPr>
            <w:tcW w:w="1418" w:type="dxa"/>
          </w:tcPr>
          <w:p w14:paraId="692CBBA3" w14:textId="77777777" w:rsidR="00200EBA" w:rsidRPr="00C22830" w:rsidRDefault="00200EBA" w:rsidP="000638C1">
            <w:pPr>
              <w:rPr>
                <w:sz w:val="22"/>
                <w:szCs w:val="22"/>
              </w:rPr>
            </w:pPr>
            <w:r w:rsidRPr="00C22830">
              <w:rPr>
                <w:sz w:val="22"/>
                <w:szCs w:val="22"/>
              </w:rPr>
              <w:t>1068</w:t>
            </w:r>
          </w:p>
        </w:tc>
        <w:tc>
          <w:tcPr>
            <w:tcW w:w="1824" w:type="dxa"/>
          </w:tcPr>
          <w:p w14:paraId="74274C14" w14:textId="2460E805" w:rsidR="00200EBA" w:rsidRPr="00C22830" w:rsidRDefault="003D1C3D" w:rsidP="000638C1">
            <w:pPr>
              <w:rPr>
                <w:sz w:val="22"/>
                <w:szCs w:val="22"/>
              </w:rPr>
            </w:pPr>
            <w:r w:rsidRPr="00E670E6">
              <w:t>ВБП</w:t>
            </w:r>
            <w:r w:rsidR="00200EBA" w:rsidRPr="00C22830">
              <w:rPr>
                <w:sz w:val="22"/>
                <w:szCs w:val="22"/>
              </w:rPr>
              <w:t xml:space="preserve"> (mRECIST)</w:t>
            </w:r>
          </w:p>
        </w:tc>
        <w:tc>
          <w:tcPr>
            <w:tcW w:w="1578" w:type="dxa"/>
          </w:tcPr>
          <w:p w14:paraId="229EA2BD" w14:textId="77777777" w:rsidR="00200EBA" w:rsidRPr="00C22830" w:rsidRDefault="00200EBA" w:rsidP="000638C1">
            <w:pPr>
              <w:ind w:firstLine="203"/>
              <w:jc w:val="center"/>
              <w:rPr>
                <w:sz w:val="22"/>
                <w:szCs w:val="22"/>
              </w:rPr>
            </w:pPr>
            <w:r w:rsidRPr="00C22830">
              <w:rPr>
                <w:sz w:val="22"/>
                <w:szCs w:val="22"/>
              </w:rPr>
              <w:fldChar w:fldCharType="begin"/>
            </w:r>
            <w:r w:rsidRPr="00C22830">
              <w:rPr>
                <w:sz w:val="22"/>
                <w:szCs w:val="22"/>
              </w:rPr>
              <w:instrText xml:space="preserve"> ADDIN ZOTERO_ITEM CSL_CITATION {"citationID":"QxBBiCxA","properties":{"formattedCitation":"[26\\uc0\\u8211{}28]","plainCitation":"[26–28]","noteIndex":0},"citationItems":[{"id":2860,"uris":["http://zotero.org/users/5483459/items/F6D5PBMH"],"itemData":{"id":2860,"type":"article-journal","abstract":"BACKGROUND: Lenvatinib in combination with pembrolizumab or everolimus has activity against advanced renal cell carcinoma. The efficacy of these regimens as compared with that of sunitinib is unclear.\nMETHODS: In this phase 3 trial, we randomly assigned (in a 1:1:1 ratio) patients with advanced renal cell carcinoma and no previous systemic therapy to receive lenvatinib (20 mg orally once daily) plus pembrolizumab (200 mg intravenously once every 3 weeks), lenvatinib (18 mg orally once daily) plus everolimus (5 mg orally once daily), or sunitinib (50 mg orally once daily, alternating 4 weeks receiving treatment and 2 weeks without treatment). The primary end point was progression-free survival, as assessed by an independent review committee in accordance with Response Evaluation Criteria in Solid Tumors, version 1.1. Overall survival and safety were also evaluated.\nRESULTS: A total of 1069 patients were randomly assigned to receive lenvatinib plus pembrolizumab (355 patients), lenvatinib plus everolimus (357), or sunitinib (357). Progression-free survival was longer with lenvatinib plus pembrolizumab than with sunitinib (median, 23.9 vs. 9.2 months; hazard ratio for disease progression or death, 0.39; 95% confidence interval [CI], 0.32 to 0.49; P&lt;0.001) and was longer with lenvatinib plus everolimus than with sunitinib (median, 14.7 vs. 9.2 months; hazard ratio, 0.65; 95% CI, 0.53 to 0.80; P&lt;0.001). Overall survival was longer with lenvatinib plus pembrolizumab than with sunitinib (hazard ratio for death, 0.66; 95% CI, 0.49 to 0.88; P = 0.005) but was not longer with lenvatinib plus everolimus than with sunitinib (hazard ratio, 1.15; 95% CI, 0.88 to 1.50; P = 0.30). Grade 3 or higher adverse events emerged or worsened during treatment in 82.4% of the patients who received lenvatinib plus pembrolizumab, 83.1% of those who received lenvatinib plus everolimus, and 71.8% of those who received sunitinib. Grade 3 or higher adverse events occurring in at least 10% of the patients in any group included hypertension, diarrhea, and elevated lipase levels.\nCONCLUSIONS: Lenvatinib plus pembrolizumab was associated with significantly longer progression-free survival and overall survival than sunitinib. (Funded by Eisai and Merck Sharp and Dohme; CLEAR ClinicalTrials.gov number, NCT02811861.).","container-title":"The New England Journal of Medicine","DOI":"10.1056/NEJMoa2035716","ISSN":"1533-4406","issue":"14","journalAbbreviation":"N Engl J Med","language":"eng","note":"PMID: 33616314","page":"1289-1300","source":"PubMed","title":"Lenvatinib plus Pembrolizumab or Everolimus for Advanced Renal Cell Carcinoma","volume":"384","author":[{"family":"Motzer","given":"Robert"},{"family":"Alekseev","given":"Boris"},{"family":"Rha","given":"Sun-Young"},{"family":"Porta","given":"Camillo"},{"family":"Eto","given":"Masatoshi"},{"family":"Powles","given":"Thomas"},{"family":"Grünwald","given":"Viktor"},{"family":"Hutson","given":"Thomas E."},{"family":"Kopyltsov","given":"Evgeny"},{"family":"Méndez-Vidal","given":"María J."},{"family":"Kozlov","given":"Vadim"},{"family":"Alyasova","given":"Anna"},{"family":"Hong","given":"Sung-Hoo"},{"family":"Kapoor","given":"Anil"},{"family":"Alonso Gordoa","given":"Teresa"},{"family":"Merchan","given":"Jaime R."},{"family":"Winquist","given":"Eric"},{"family":"Maroto","given":"Pablo"},{"family":"Goh","given":"Jeffrey C."},{"family":"Kim","given":"Miso"},{"family":"Gurney","given":"Howard"},{"family":"Patel","given":"Vijay"},{"family":"Peer","given":"Avivit"},{"family":"Procopio","given":"Giuseppe"},{"family":"Takagi","given":"Toshio"},{"family":"Melichar","given":"Bohuslav"},{"family":"Rolland","given":"Frederic"},{"family":"De Giorgi","given":"Ugo"},{"family":"Wong","given":"Shirley"},{"family":"Bedke","given":"Jens"},{"family":"Schmidinger","given":"Manuela"},{"family":"Dutcus","given":"Corina E."},{"family":"Smith","given":"Alan D."},{"family":"Dutta","given":"Lea"},{"family":"Mody","given":"Kalgi"},{"family":"Perini","given":"Rodolfo F."},{"family":"Xing","given":"Dongyuan"},{"family":"Choueiri","given":"Toni K."},{"literal":"CLEAR Trial Investigators"}],"issued":{"date-parts":[["2021",4,8]]}},"label":"page"},{"id":2653,"uris":["http://zotero.org/users/5483459/items/4RCY3Z5J"],"itemData":{"id":2653,"type":"document","title":"PRODUCT MONOGRAPH INCLUDING PATIENT MEDICATION INFORMATION PrLENVIMA® Lenvatinib capsules 4mg and 10mg Lenvatinib (as lenvatinib mesylate) Multiple Receptor Tyrosine Kinase Inhibitor Antineoplastic Agent, ATC code:L01XE29. Eisai Limited.2018."},"label":"page"},{"id":2862,"uris":["http://zotero.org/users/5483459/items/AM737HGQ"],"itemData":{"id":2862,"type":"article-journal","abstract":"BACKGROUND: Results from the phase 3 CLEAR study showed that lenvatinib plus pembrolizumab improved progression-free survival and overall survival compared with sunitinib in patients with advanced renal cell carcinoma. We aimed to assess the health-related quality-of-life (HRQOL) outcomes from the CLEAR study.\nMETHODS: This open-label, randomised, phase 3 study was done across 200 hospitals and cancer centres in 20 countries. Patients were required to be 18 years or older, with advanced clear-cell renal cell carcinoma, and a Karnofsky performance status of 70% or higher. Patients who had received previous systemic anticancer therapy for renal cell carcinoma were not eligible. Patients were randomly assigned (1:1:1) to lenvatinib (oral 20 mg per day) plus pembrolizumab (intravenous 200 mg every 21 days), lenvatinib (oral 18 mg per day) plus everolimus (oral 5 mg per day) in 21-day cycles, or sunitinib (oral 50 mg per day, 4 weeks on followed by 2 weeks off). Patients were assigned to treatments with a computer-generated randomisation scheme and were stratified by geographical region and Memorial Sloan Kettering Cancer Center prognostic groups. The primary endpoint, previously reported, was progression-free survival, and HRQOL was a secondary endpoint. Most HRQOL analyses were done in patients who underwent randomisation, received at least one dose of study treatment, and had any HRQOL data. Completion and compliance analyses were done in the full analysis set. Functional Assessment of Cancer Therapy Kidney Symptom Index-Disease-Related Symptoms (FKSI-DRS), European Organisation for the Research and Treatment of Cancer Quality of Life Questionnaire-Core 30 (EORTC QLQ-C30), and the EQ-5D-3 Level (EQ-5D-3L) preference questionnaire were administered at baseline and on day 1 of each subsequent 21-day cycle. This study is registered with ClinicalTrials.gov, NCT02811861, and is closed to new participants.\nFINDINGS: Between Oct 13, 2016, and July 24, 2019, 355 patients were randomly assigned to the lenvatinib plus pembrolizumab group, 357 to the lenvatinib plus everolimus group, and 357 to the sunitinib group. Median follow-up for HRQOL analyses was 12·9 months (IQR 5·6-22·3). Because of the promising efficacy and safety results of lenvatinib plus pembrolizumab in the first-line setting, we focus the HRQOL results in this report on that combination versus sunitinib. Mean change from baseline in the lenvatinib plus pembrolizumab group compared with the sunitinib group was -1·75 (SE 0·59) versus -2·19 (0·66) for FKSI-DRS, -5·93 (0·86) versus -6·73 (0·94) for EORTC QLQ-C30 global health status/quality of life (GHS/QOL), and -4·96 (0·85) versus -6·64 (0·94) for the EQ-5D visual analogue scale (VAS). Median time to first deterioration in the lenvatinib plus pembrolizumab group compared with the sunitinib group was 9·14 weeks (95% CI 6·43-12·14) versus 12·14 weeks (9·14-15·29; HR 1·13 [95% CI 0·94-1·35], log-rank p=0·20) for FKSI-DRS, 12·00 weeks (7·29-15·14) versus 9·14 weeks (6·29-12·14; 0·88 [0·74-1·05], log-rank p=0·17) for EORTC QLQ-C30 GHS/QOL, and 9·43 weeks (6·43-12·29) versus 9·14 weeks (6·29-12·00; 0·83 [0·70-0·99], log-rank p=0·041) for the EQ-5D VAS. Median time to definitive deterioration in the lenvatinib plus pembrolizumab group compared with the sunitinib group was 134·14 weeks (95% CI 120·00-not estimable) versus 117·43 weeks (90·14-131·29; HR 0·70 [95% CI 0·53-0·92], log-rank p=0·0081) for FKSI-DRS, 114·29 weeks (102·14-153·29) versus 75·14 weeks (57·29-105·14; 0·60 [0·47-0·77], log-rank p&lt;0·0001) for EORTC QLQ-C30 GHS/QOL, and 124·86 weeks (94·71-134·57) versus 74·86 weeks (54·14-96·00; 0·67 [0·53-0·85], log-rank p=0·0012) for the EQ-5D VAS. No outcomes on any of the instruments significantly favoured sunitinib over lenvatinib plus pembrolizumab. Most HRQOL comparisons of lenvatinib plus everolimus versus sunitinib were similar or favoured sunitinib.\nINTERPRETATION: These HRQOL results demonstrate that patients given lenvatinib plus pembrolizumab treatment had similar or favourable scores compared with patients given sunitinib, particularly with respect to time to definitive deterioration. These results support the efficacy and safety profile of lenvatinib plus pembrolizumab as first-line therapy for patients with advanced renal cell carcinoma.\nFUNDING: Eisai (Nutley, NJ, USA) and Merck Sharp &amp; Dohme, a subsidiary of Merck &amp; Co (Kenilworth, NJ, USA).","container-title":"The Lancet. Oncology","DOI":"10.1016/S1470-2045(22)00212-1","ISSN":"1474-5488","issue":"6","journalAbbreviation":"Lancet Oncol","language":"eng","note":"PMID: 35489363","page":"768-780","source":"PubMed","title":"Health-related quality-of-life outcomes in patients with advanced renal cell carcinoma treated with lenvatinib plus pembrolizumab or everolimus versus sunitinib (CLEAR): a randomised, phase 3 study","title-short":"Health-related quality-of-life outcomes in patients with advanced renal cell carcinoma treated with lenvatinib plus pembrolizumab or everolimus versus sunitinib (CLEAR)","volume":"23","author":[{"family":"Motzer","given":"Robert"},{"family":"Porta","given":"Camillo"},{"family":"Alekseev","given":"Boris"},{"family":"Rha","given":"Sun Young"},{"family":"Choueiri","given":"Toni K."},{"family":"Mendez-Vidal","given":"Maria Jose"},{"family":"Hong","given":"Sung-Hoo"},{"family":"Kapoor","given":"Anil"},{"family":"Goh","given":"Jeffrey C."},{"family":"Eto","given":"Masatoshi"},{"family":"Bennett","given":"Lee"},{"family":"Wang","given":"Jinyi"},{"family":"Pan","given":"Jie Janice"},{"family":"Saretsky","given":"Todd L."},{"family":"Perini","given":"Rodolfo F."},{"family":"He","given":"Cixin Steven"},{"family":"Mody","given":"Kalgi"},{"family":"Cella","given":"David"}],"issued":{"date-parts":[["2022",6]]}},"label":"page"}],"schema":"https://github.com/citation-style-language/schema/raw/master/csl-citation.json"} </w:instrText>
            </w:r>
            <w:r w:rsidRPr="00C22830">
              <w:rPr>
                <w:sz w:val="22"/>
                <w:szCs w:val="22"/>
              </w:rPr>
              <w:fldChar w:fldCharType="separate"/>
            </w:r>
            <w:r w:rsidRPr="00C22830">
              <w:rPr>
                <w:sz w:val="22"/>
                <w:szCs w:val="22"/>
              </w:rPr>
              <w:t>[26–28]</w:t>
            </w:r>
            <w:r w:rsidRPr="00C22830">
              <w:rPr>
                <w:sz w:val="22"/>
                <w:szCs w:val="22"/>
              </w:rPr>
              <w:fldChar w:fldCharType="end"/>
            </w:r>
            <w:r w:rsidRPr="00C22830">
              <w:rPr>
                <w:sz w:val="22"/>
                <w:szCs w:val="22"/>
              </w:rPr>
              <w:t>.</w:t>
            </w:r>
          </w:p>
          <w:p w14:paraId="3AD5EFB9" w14:textId="77777777" w:rsidR="00200EBA" w:rsidRPr="00C22830" w:rsidRDefault="00200EBA" w:rsidP="000638C1">
            <w:pPr>
              <w:ind w:firstLine="203"/>
              <w:jc w:val="center"/>
              <w:rPr>
                <w:sz w:val="22"/>
                <w:szCs w:val="22"/>
              </w:rPr>
            </w:pPr>
          </w:p>
          <w:p w14:paraId="3C5A557D" w14:textId="77777777" w:rsidR="00200EBA" w:rsidRPr="00C22830" w:rsidRDefault="00200EBA" w:rsidP="000638C1">
            <w:pPr>
              <w:ind w:firstLine="203"/>
              <w:jc w:val="center"/>
              <w:rPr>
                <w:sz w:val="22"/>
                <w:szCs w:val="22"/>
              </w:rPr>
            </w:pPr>
          </w:p>
        </w:tc>
      </w:tr>
      <w:tr w:rsidR="00200EBA" w:rsidRPr="00091004" w14:paraId="175F0730" w14:textId="77777777" w:rsidTr="00E36A78">
        <w:tc>
          <w:tcPr>
            <w:tcW w:w="2263" w:type="dxa"/>
          </w:tcPr>
          <w:p w14:paraId="22501E76" w14:textId="34B1CD20" w:rsidR="00200EBA" w:rsidRPr="00C22830" w:rsidRDefault="006C7E4D" w:rsidP="000638C1">
            <w:pPr>
              <w:rPr>
                <w:sz w:val="22"/>
                <w:szCs w:val="22"/>
              </w:rPr>
            </w:pPr>
            <w:r>
              <w:rPr>
                <w:sz w:val="22"/>
                <w:szCs w:val="22"/>
              </w:rPr>
              <w:t>РЭ</w:t>
            </w:r>
          </w:p>
        </w:tc>
        <w:tc>
          <w:tcPr>
            <w:tcW w:w="2410" w:type="dxa"/>
          </w:tcPr>
          <w:p w14:paraId="73D685F2" w14:textId="6B893300" w:rsidR="00200EBA" w:rsidRPr="00C22830" w:rsidRDefault="007047F7" w:rsidP="000638C1">
            <w:pPr>
              <w:rPr>
                <w:sz w:val="22"/>
                <w:szCs w:val="22"/>
                <w:lang w:val="en-US"/>
              </w:rPr>
            </w:pPr>
            <w:r>
              <w:rPr>
                <w:sz w:val="22"/>
                <w:szCs w:val="22"/>
                <w:lang w:val="en-US"/>
              </w:rPr>
              <w:t>MK-3475-775/E7080-G000-309</w:t>
            </w:r>
          </w:p>
          <w:p w14:paraId="07DD7BF2" w14:textId="77777777" w:rsidR="00200EBA" w:rsidRPr="00C22830" w:rsidRDefault="00200EBA" w:rsidP="000638C1">
            <w:pPr>
              <w:rPr>
                <w:sz w:val="22"/>
                <w:szCs w:val="22"/>
                <w:lang w:val="en-US"/>
              </w:rPr>
            </w:pPr>
          </w:p>
          <w:p w14:paraId="56E89D19" w14:textId="77777777" w:rsidR="00200EBA" w:rsidRPr="00C22830" w:rsidRDefault="00200EBA" w:rsidP="000638C1">
            <w:pPr>
              <w:rPr>
                <w:sz w:val="22"/>
                <w:szCs w:val="22"/>
                <w:lang w:val="en-US"/>
              </w:rPr>
            </w:pPr>
            <w:r w:rsidRPr="00C22830">
              <w:rPr>
                <w:sz w:val="22"/>
                <w:szCs w:val="22"/>
                <w:lang w:val="en-US"/>
              </w:rPr>
              <w:t>ClinicalTrials.gov Identifier: NCT03517449</w:t>
            </w:r>
          </w:p>
        </w:tc>
        <w:tc>
          <w:tcPr>
            <w:tcW w:w="1418" w:type="dxa"/>
          </w:tcPr>
          <w:p w14:paraId="34DFAC0A" w14:textId="77777777" w:rsidR="00200EBA" w:rsidRPr="00C22830" w:rsidRDefault="00200EBA" w:rsidP="000638C1">
            <w:pPr>
              <w:rPr>
                <w:sz w:val="22"/>
                <w:szCs w:val="22"/>
              </w:rPr>
            </w:pPr>
            <w:r w:rsidRPr="00C22830">
              <w:rPr>
                <w:sz w:val="22"/>
                <w:szCs w:val="22"/>
              </w:rPr>
              <w:t>827</w:t>
            </w:r>
          </w:p>
        </w:tc>
        <w:tc>
          <w:tcPr>
            <w:tcW w:w="1824" w:type="dxa"/>
          </w:tcPr>
          <w:p w14:paraId="03D7BAF4" w14:textId="24171F24" w:rsidR="00200EBA" w:rsidRPr="00C22830" w:rsidRDefault="003D1C3D" w:rsidP="000638C1">
            <w:pPr>
              <w:rPr>
                <w:sz w:val="22"/>
                <w:szCs w:val="22"/>
              </w:rPr>
            </w:pPr>
            <w:r>
              <w:rPr>
                <w:sz w:val="22"/>
                <w:szCs w:val="22"/>
              </w:rPr>
              <w:t>ОВ</w:t>
            </w:r>
          </w:p>
        </w:tc>
        <w:tc>
          <w:tcPr>
            <w:tcW w:w="1578" w:type="dxa"/>
          </w:tcPr>
          <w:p w14:paraId="062BC26A" w14:textId="77777777" w:rsidR="00200EBA" w:rsidRPr="00C22830" w:rsidRDefault="00200EBA" w:rsidP="000638C1">
            <w:pPr>
              <w:ind w:firstLine="203"/>
              <w:jc w:val="center"/>
              <w:rPr>
                <w:sz w:val="22"/>
                <w:szCs w:val="22"/>
              </w:rPr>
            </w:pPr>
            <w:r w:rsidRPr="00C22830">
              <w:rPr>
                <w:sz w:val="22"/>
                <w:szCs w:val="22"/>
              </w:rPr>
              <w:fldChar w:fldCharType="begin"/>
            </w:r>
            <w:r w:rsidRPr="00C22830">
              <w:rPr>
                <w:sz w:val="22"/>
                <w:szCs w:val="22"/>
              </w:rPr>
              <w:instrText xml:space="preserve"> ADDIN ZOTERO_ITEM CSL_CITATION {"citationID":"KxRUUCuN","properties":{"formattedCitation":"[2,29]","plainCitation":"[2,29]","noteIndex":0},"citationItems":[{"id":2745,"uris":["http://zotero.org/users/5483459/items/95XEZDWJ"],"itemData":{"id":2745,"type":"document","title":"European  Medicines Agency. SUMMARY OF PRODUCT CHARACTERISTICS. LENVIMA 4 mg, 10 mg hard capsules.26.11.2021"},"label":"page"},{"id":2857,"uris":["http://zotero.org/users/5483459/items/SZ7CQQKP"],"itemData":{"id":2857,"type":"article-journal","abstract":"BACKGROUND: Standard therapy for advanced endometrial cancer after failure of platinum-based chemotherapy remains unclear.\nMETHODS: In this phase 3 trial, we randomly assigned, in a 1:1 ratio, patients with advanced endometrial cancer who had previously received at least one platinum-based chemotherapy regimen to receive either lenvatinib (20 mg, administered orally once daily) plus pembrolizumab (200 mg, administered intravenously every 3 weeks) or chemotherapy of the treating physician's choice (doxorubicin at 60 mg per square meter of body-surface area, administered intravenously every 3 weeks, or paclitaxel at 80 mg per square meter, administered intravenously weekly [with a cycle of 3 weeks on and 1 week off]). The two primary end points were progression-free survival as assessed on blinded independent central review according to the Response Evaluation Criteria in Solid Tumors, version 1.1, and overall survival. The end points were evaluated in patients with mismatch repair-proficient (pMMR) disease and in all patients. Safety was also assessed.\nRESULTS: A total of 827 patients (697 with pMMR disease and 130 with mismatch repair-deficient disease) were randomly assigned to receive lenvatinib plus pembrolizumab (411 patients) or chemotherapy (416 patients). The median progression-free survival was longer with lenvatinib plus pembrolizumab than with chemotherapy (pMMR population: 6.6 vs. 3.8 months; hazard ratio for progression or death, 0.60; 95% confidence interval [CI], 0.50 to 0.72; P&lt;0.001; overall: 7.2 vs. 3.8 months; hazard ratio, 0.56; 95% CI, 0.47 to 0.66; P&lt;0.001). The median overall survival was longer with lenvatinib plus pembrolizumab than with chemotherapy (pMMR population: 17.4 vs. 12.0 months; hazard ratio for death, 0.68; 95% CI, 0.56 to 0.84; P&lt;0.001; overall: 18.3 vs. 11.4 months; hazard ratio, 0.62; 95% CI, 0.51 to 0.75; P&lt;0.001). Adverse events of grade 3 or higher occurred in 88.9% of the patients who received lenvatinib plus pembrolizumab and in 72.7% of those who received chemotherapy.\nCONCLUSIONS: Lenvatinib plus pembrolizumab led to significantly longer progression-free survival and overall survival than chemotherapy among patients with advanced endometrial cancer. (Funded by Eisai and Merck Sharp and Dohme [a subsidiary of Merck]; Study 309-KEYNOTE-775 ClinicalTrials.gov number, NCT03517449.).","container-title":"The New England Journal of Medicine","DOI":"10.1056/NEJMoa2108330","ISSN":"1533-4406","issue":"5","journalAbbreviation":"N Engl J Med","language":"eng","note":"PMID: 35045221","page":"437-448","source":"PubMed","title":"Lenvatinib plus Pembrolizumab for Advanced Endometrial Cancer","volume":"386","author":[{"family":"Makker","given":"Vicky"},{"family":"Colombo","given":"Nicoletta"},{"family":"Casado Herráez","given":"Antonio"},{"family":"Santin","given":"Alessandro D."},{"family":"Colomba","given":"Emeline"},{"family":"Miller","given":"David S."},{"family":"Fujiwara","given":"Keiichi"},{"family":"Pignata","given":"Sandro"},{"family":"Baron-Hay","given":"Sally"},{"family":"Ray-Coquard","given":"Isabelle"},{"family":"Shapira-Frommer","given":"Ronnie"},{"family":"Ushijima","given":"Kimio"},{"family":"Sakata","given":"Jun"},{"family":"Yonemori","given":"Kan"},{"family":"Kim","given":"Yong Man"},{"family":"Guerra","given":"Eva M."},{"family":"Sanli","given":"Ulus A."},{"family":"McCormack","given":"Mary M."},{"family":"Smith","given":"Alan D."},{"family":"Keefe","given":"Stephen"},{"family":"Bird","given":"Steven"},{"family":"Dutta","given":"Lea"},{"family":"Orlowski","given":"Robert J."},{"family":"Lorusso","given":"Domenica"},{"literal":"Study 309–KEYNOTE-775 Investigators"}],"issued":{"date-parts":[["2022",2,3]]}},"label":"page"}],"schema":"https://github.com/citation-style-language/schema/raw/master/csl-citation.json"} </w:instrText>
            </w:r>
            <w:r w:rsidRPr="00C22830">
              <w:rPr>
                <w:sz w:val="22"/>
                <w:szCs w:val="22"/>
              </w:rPr>
              <w:fldChar w:fldCharType="separate"/>
            </w:r>
            <w:r w:rsidRPr="00C22830">
              <w:rPr>
                <w:sz w:val="22"/>
                <w:szCs w:val="22"/>
              </w:rPr>
              <w:t>[2,29]</w:t>
            </w:r>
            <w:r w:rsidRPr="00C22830">
              <w:rPr>
                <w:sz w:val="22"/>
                <w:szCs w:val="22"/>
              </w:rPr>
              <w:fldChar w:fldCharType="end"/>
            </w:r>
            <w:r w:rsidRPr="00C22830">
              <w:rPr>
                <w:sz w:val="22"/>
                <w:szCs w:val="22"/>
              </w:rPr>
              <w:t>.</w:t>
            </w:r>
          </w:p>
          <w:p w14:paraId="57CE1095" w14:textId="77777777" w:rsidR="00200EBA" w:rsidRPr="00C22830" w:rsidRDefault="00200EBA" w:rsidP="000638C1">
            <w:pPr>
              <w:ind w:firstLine="203"/>
              <w:jc w:val="center"/>
              <w:rPr>
                <w:sz w:val="22"/>
                <w:szCs w:val="22"/>
              </w:rPr>
            </w:pPr>
          </w:p>
        </w:tc>
      </w:tr>
      <w:tr w:rsidR="003D1C3D" w:rsidRPr="00091004" w14:paraId="45BD2428" w14:textId="5F29FDD4" w:rsidTr="00E36A78">
        <w:trPr>
          <w:trHeight w:val="666"/>
        </w:trPr>
        <w:tc>
          <w:tcPr>
            <w:tcW w:w="9493" w:type="dxa"/>
            <w:gridSpan w:val="5"/>
          </w:tcPr>
          <w:p w14:paraId="32F86C89" w14:textId="6596AF28" w:rsidR="006A4F12" w:rsidRPr="006A4F12" w:rsidRDefault="006A4F12" w:rsidP="003D1C3D">
            <w:pPr>
              <w:rPr>
                <w:b/>
                <w:sz w:val="20"/>
                <w:szCs w:val="20"/>
              </w:rPr>
            </w:pPr>
            <w:r w:rsidRPr="006A4F12">
              <w:rPr>
                <w:b/>
                <w:sz w:val="20"/>
                <w:szCs w:val="20"/>
              </w:rPr>
              <w:t>Примечание:</w:t>
            </w:r>
          </w:p>
          <w:p w14:paraId="1AA1A17E" w14:textId="028E41ED" w:rsidR="003D1C3D" w:rsidRPr="006A4F12" w:rsidRDefault="003D1C3D" w:rsidP="00E36A78">
            <w:r w:rsidRPr="006A4F12">
              <w:rPr>
                <w:sz w:val="20"/>
                <w:szCs w:val="20"/>
              </w:rPr>
              <w:t>ВБП ‒ выжив</w:t>
            </w:r>
            <w:r w:rsidR="005D6EC8" w:rsidRPr="006A4F12">
              <w:rPr>
                <w:sz w:val="20"/>
                <w:szCs w:val="20"/>
              </w:rPr>
              <w:t>а</w:t>
            </w:r>
            <w:r w:rsidRPr="006A4F12">
              <w:rPr>
                <w:sz w:val="20"/>
                <w:szCs w:val="20"/>
              </w:rPr>
              <w:t>емость без прогрессирования</w:t>
            </w:r>
            <w:r w:rsidR="00E36A78">
              <w:rPr>
                <w:sz w:val="20"/>
                <w:szCs w:val="20"/>
              </w:rPr>
              <w:t xml:space="preserve">; </w:t>
            </w:r>
            <w:r w:rsidR="00EB47DF" w:rsidRPr="006A4F12">
              <w:rPr>
                <w:sz w:val="20"/>
                <w:szCs w:val="20"/>
              </w:rPr>
              <w:t>ГЦР ‒ гепатоцеллюлярный рак</w:t>
            </w:r>
            <w:r w:rsidR="00E36A78">
              <w:rPr>
                <w:sz w:val="20"/>
                <w:szCs w:val="20"/>
              </w:rPr>
              <w:t xml:space="preserve">; </w:t>
            </w:r>
            <w:r w:rsidRPr="006A4F12">
              <w:rPr>
                <w:sz w:val="20"/>
                <w:szCs w:val="20"/>
              </w:rPr>
              <w:t>ОВ ‒ общая выжив</w:t>
            </w:r>
            <w:r w:rsidR="005D6EC8" w:rsidRPr="006A4F12">
              <w:rPr>
                <w:sz w:val="20"/>
                <w:szCs w:val="20"/>
              </w:rPr>
              <w:t>а</w:t>
            </w:r>
            <w:r w:rsidRPr="006A4F12">
              <w:rPr>
                <w:sz w:val="20"/>
                <w:szCs w:val="20"/>
              </w:rPr>
              <w:t>емость</w:t>
            </w:r>
            <w:r w:rsidR="00E36A78">
              <w:rPr>
                <w:sz w:val="20"/>
                <w:szCs w:val="20"/>
              </w:rPr>
              <w:t xml:space="preserve">; </w:t>
            </w:r>
            <w:r w:rsidR="009171F3" w:rsidRPr="006A4F12">
              <w:rPr>
                <w:sz w:val="20"/>
                <w:szCs w:val="20"/>
              </w:rPr>
              <w:t>ПКР ‒ почечно-клеточный рак</w:t>
            </w:r>
            <w:r w:rsidR="00E36A78">
              <w:rPr>
                <w:sz w:val="20"/>
                <w:szCs w:val="20"/>
              </w:rPr>
              <w:t xml:space="preserve">; </w:t>
            </w:r>
            <w:r w:rsidRPr="006A4F12">
              <w:rPr>
                <w:sz w:val="20"/>
                <w:szCs w:val="20"/>
              </w:rPr>
              <w:t>РЩЖ ‒ рак щитовидной железы</w:t>
            </w:r>
            <w:r w:rsidR="00E36A78">
              <w:rPr>
                <w:sz w:val="20"/>
                <w:szCs w:val="20"/>
              </w:rPr>
              <w:t xml:space="preserve">; </w:t>
            </w:r>
            <w:r w:rsidR="008C1ED9" w:rsidRPr="006A4F12">
              <w:rPr>
                <w:sz w:val="20"/>
                <w:szCs w:val="20"/>
              </w:rPr>
              <w:t>РЭ ‒ рак эндометрия</w:t>
            </w:r>
          </w:p>
        </w:tc>
      </w:tr>
    </w:tbl>
    <w:p w14:paraId="20C6ED25" w14:textId="66245B14" w:rsidR="00200EBA" w:rsidRPr="00F601F5" w:rsidRDefault="00970089" w:rsidP="00C22830">
      <w:pPr>
        <w:pStyle w:val="4"/>
        <w:rPr>
          <w:rFonts w:ascii="Times New Roman" w:hAnsi="Times New Roman"/>
        </w:rPr>
      </w:pPr>
      <w:bookmarkStart w:id="215" w:name="_Toc126059758"/>
      <w:bookmarkEnd w:id="211"/>
      <w:r w:rsidRPr="00F601F5">
        <w:rPr>
          <w:rFonts w:ascii="Times New Roman" w:hAnsi="Times New Roman"/>
        </w:rPr>
        <w:t>4</w:t>
      </w:r>
      <w:r w:rsidRPr="00F601F5">
        <w:rPr>
          <w:rFonts w:ascii="Times New Roman" w:hAnsi="Times New Roman"/>
          <w:sz w:val="24"/>
          <w:szCs w:val="24"/>
        </w:rPr>
        <w:t>.3.</w:t>
      </w:r>
      <w:r w:rsidR="00585D6B" w:rsidRPr="00F601F5">
        <w:rPr>
          <w:rFonts w:ascii="Times New Roman" w:hAnsi="Times New Roman"/>
          <w:sz w:val="24"/>
          <w:szCs w:val="24"/>
        </w:rPr>
        <w:t>1.1.</w:t>
      </w:r>
      <w:r w:rsidR="00F601F5" w:rsidRPr="00D050C7">
        <w:rPr>
          <w:rFonts w:ascii="Times New Roman" w:hAnsi="Times New Roman"/>
          <w:sz w:val="24"/>
          <w:szCs w:val="24"/>
        </w:rPr>
        <w:t xml:space="preserve"> </w:t>
      </w:r>
      <w:r w:rsidR="00200EBA" w:rsidRPr="00F601F5">
        <w:rPr>
          <w:rFonts w:ascii="Times New Roman" w:hAnsi="Times New Roman"/>
          <w:sz w:val="24"/>
          <w:szCs w:val="24"/>
        </w:rPr>
        <w:t>Дифференцированный рак щитовидной железы</w:t>
      </w:r>
      <w:bookmarkEnd w:id="215"/>
    </w:p>
    <w:p w14:paraId="2237AE33" w14:textId="77777777" w:rsidR="006A4F12" w:rsidRDefault="006A4F12" w:rsidP="00200EBA">
      <w:pPr>
        <w:ind w:firstLine="851"/>
      </w:pPr>
      <w:bookmarkStart w:id="216" w:name="_Hlk118210595"/>
    </w:p>
    <w:p w14:paraId="0A847A63" w14:textId="01332639" w:rsidR="00200EBA" w:rsidRPr="00312637" w:rsidRDefault="00200EBA" w:rsidP="00200EBA">
      <w:pPr>
        <w:ind w:firstLine="851"/>
      </w:pPr>
      <w:r w:rsidRPr="00354EFF">
        <w:t>Клиническая эффективность ленватиниба в капсулах по 4 мг и 10 мг для лечения</w:t>
      </w:r>
      <w:r>
        <w:t xml:space="preserve"> </w:t>
      </w:r>
      <w:r w:rsidRPr="00354EFF">
        <w:t xml:space="preserve">пациентов с прогрессирующим, резистентным к радиойоду дифференцированным </w:t>
      </w:r>
      <w:r w:rsidR="007047F7">
        <w:t>РЩЖ,</w:t>
      </w:r>
      <w:r w:rsidRPr="00354EFF">
        <w:t xml:space="preserve"> </w:t>
      </w:r>
      <w:r w:rsidR="00785870">
        <w:t>показана в</w:t>
      </w:r>
      <w:r w:rsidRPr="00354EFF">
        <w:t xml:space="preserve"> одном</w:t>
      </w:r>
      <w:r>
        <w:t xml:space="preserve"> </w:t>
      </w:r>
      <w:r w:rsidRPr="00354EFF">
        <w:t xml:space="preserve">ключевое исследование </w:t>
      </w:r>
      <w:r w:rsidR="009F7EED" w:rsidRPr="009F7EED">
        <w:t xml:space="preserve">III </w:t>
      </w:r>
      <w:r w:rsidRPr="00354EFF">
        <w:t xml:space="preserve">фазы E7080-G000-303 (исследование 303, исследование </w:t>
      </w:r>
      <w:r w:rsidRPr="003E6BAA">
        <w:t>SELECT</w:t>
      </w:r>
      <w:r w:rsidRPr="00354EFF">
        <w:t>).</w:t>
      </w:r>
    </w:p>
    <w:p w14:paraId="1757E88E" w14:textId="075915ED" w:rsidR="00200EBA" w:rsidRPr="003E6BAA" w:rsidRDefault="00200EBA" w:rsidP="00200EBA">
      <w:pPr>
        <w:ind w:firstLine="709"/>
      </w:pPr>
      <w:r w:rsidRPr="003E6BAA">
        <w:t xml:space="preserve">Исследование </w:t>
      </w:r>
      <w:bookmarkStart w:id="217" w:name="_Hlk118063213"/>
      <w:r w:rsidRPr="003E6BAA">
        <w:t>SELECT</w:t>
      </w:r>
      <w:bookmarkEnd w:id="217"/>
      <w:r w:rsidRPr="003E6BAA">
        <w:t xml:space="preserve"> </w:t>
      </w:r>
      <w:r w:rsidR="007C7530" w:rsidRPr="007C7530">
        <w:t>‒</w:t>
      </w:r>
      <w:r w:rsidR="007C7530" w:rsidRPr="007C7530" w:rsidDel="007C7530">
        <w:t xml:space="preserve"> </w:t>
      </w:r>
      <w:r w:rsidRPr="003E6BAA">
        <w:t xml:space="preserve">регистрационное исследование </w:t>
      </w:r>
      <w:r w:rsidR="009F7EED">
        <w:rPr>
          <w:lang w:val="en-US"/>
        </w:rPr>
        <w:t>III</w:t>
      </w:r>
      <w:r w:rsidR="009F7EED" w:rsidRPr="003E6BAA" w:rsidDel="009F7EED">
        <w:t xml:space="preserve"> </w:t>
      </w:r>
      <w:r w:rsidRPr="003E6BAA">
        <w:t xml:space="preserve">фазы, многоцентровое рандомизированное двойное-слепое плацебо-контролируемое исследование, проведенное с участием 392 пациентов с дифференцированным </w:t>
      </w:r>
      <w:r w:rsidR="007C7530">
        <w:t>РЩЖ</w:t>
      </w:r>
      <w:r w:rsidRPr="003E6BAA">
        <w:t>, рефрактерным к радиоактивному йоду, с независимым рентгенологически-подтвержденным прогрессированием заболевания в течение 12-13 месяцев до включения в исследование.</w:t>
      </w:r>
    </w:p>
    <w:p w14:paraId="22815918" w14:textId="032D7BD6" w:rsidR="00200EBA" w:rsidRPr="003E6BAA" w:rsidRDefault="00200EBA" w:rsidP="00200EBA">
      <w:pPr>
        <w:ind w:firstLine="709"/>
      </w:pPr>
      <w:r w:rsidRPr="003E6BAA">
        <w:t>Основной конечной точкой эффективности были ВБП</w:t>
      </w:r>
      <w:r w:rsidR="005B40C6">
        <w:t>,</w:t>
      </w:r>
      <w:r w:rsidRPr="003E6BAA">
        <w:t xml:space="preserve"> определяемая с помощью заслепленной независимой рентгенологической оценки с использованием критериев RECIST 1.1. Вторичные конечные показатели эффективности включали частоту объективного ответа (ЧОО) и OB.</w:t>
      </w:r>
    </w:p>
    <w:p w14:paraId="5743A876" w14:textId="23F49049" w:rsidR="00200EBA" w:rsidRPr="003E6BAA" w:rsidRDefault="00200EBA" w:rsidP="00200EBA">
      <w:pPr>
        <w:ind w:firstLine="709"/>
      </w:pPr>
      <w:r w:rsidRPr="003E6BAA">
        <w:t xml:space="preserve">Пациенты с измеримым заболеванием в соответствии с RECIST 1.1 были рандомизированы в соотношении 2:1 для получения ленватиниб 24 мг один раз в день (n=261) или плацебо (n=131). </w:t>
      </w:r>
    </w:p>
    <w:p w14:paraId="59A2A04A" w14:textId="5C28A083" w:rsidR="00200EBA" w:rsidRPr="003E6BAA" w:rsidRDefault="00200EBA" w:rsidP="00200EBA">
      <w:pPr>
        <w:ind w:firstLine="709"/>
      </w:pPr>
      <w:r w:rsidRPr="003E6BAA">
        <w:lastRenderedPageBreak/>
        <w:t>Из 392 рандомизированных пациентов 76,3% ранее не получали терапии, нацеленной на VEGF/VEGFR, 49,0% были женщинами, 49,7% были европейцами и средний возраст составлял 63 года. Гистологически у 66,1% был подтвержден диагноз папиллярн</w:t>
      </w:r>
      <w:r w:rsidR="007C7530">
        <w:t>ый</w:t>
      </w:r>
      <w:r w:rsidRPr="003E6BAA">
        <w:t xml:space="preserve"> </w:t>
      </w:r>
      <w:r w:rsidR="007C7530">
        <w:t>РЩЖ</w:t>
      </w:r>
      <w:r w:rsidRPr="003E6BAA">
        <w:t xml:space="preserve"> и 33,9% имели фолликулярный </w:t>
      </w:r>
      <w:r w:rsidR="005B40C6">
        <w:t>РЩЖ</w:t>
      </w:r>
      <w:r w:rsidRPr="003E6BAA">
        <w:t xml:space="preserve">. Метастазы имелись у 99% больных: легких у 89,3%, в лимфатические узлы у 51,5%, костей у 38,8%, печени у 18,1%, плевры у 16,3% и головного мозга у 4,1%. </w:t>
      </w:r>
    </w:p>
    <w:p w14:paraId="4EEC2686" w14:textId="18D94565" w:rsidR="006A4F12" w:rsidRDefault="00200EBA" w:rsidP="00200EBA">
      <w:pPr>
        <w:ind w:firstLine="709"/>
      </w:pPr>
      <w:r w:rsidRPr="003E6BAA">
        <w:t xml:space="preserve">Было выяснено, </w:t>
      </w:r>
      <w:r w:rsidR="009A3C9B">
        <w:t xml:space="preserve">что </w:t>
      </w:r>
      <w:r w:rsidRPr="003E6BAA">
        <w:t xml:space="preserve">медиана </w:t>
      </w:r>
      <w:r w:rsidR="009A3C9B">
        <w:t>ВБП</w:t>
      </w:r>
      <w:r w:rsidRPr="003E6BAA">
        <w:t xml:space="preserve"> составила 18,3 мес в группе ленватиниба и 3,6 мес в группе плацебо (отношение рисков прогрессирования или смерти 0,21; 99% доверительный интервал 0,14–0,31; P&lt;0,001). Преимущество </w:t>
      </w:r>
      <w:r w:rsidR="006E0CCD">
        <w:t>ВБП</w:t>
      </w:r>
      <w:r w:rsidRPr="003E6BAA">
        <w:t>, связанное с ленватинибом, наблюдалось во всех заранее определенных подгруппах. Среднее время до первого снижения дозы составило 2,8 месяца. Среднее время объективного ответа составило 2,0 (95% ДИ: 1,9, 3,5) месяцев.</w:t>
      </w:r>
      <w:r>
        <w:t xml:space="preserve"> </w:t>
      </w:r>
      <w:bookmarkEnd w:id="216"/>
      <w:r>
        <w:t>Основные результаты исследования представлены в таблице 4-2.</w:t>
      </w:r>
    </w:p>
    <w:p w14:paraId="502014CC" w14:textId="24AD310F" w:rsidR="006A4F12" w:rsidRDefault="006A4F12"/>
    <w:p w14:paraId="0697A151" w14:textId="279F6081" w:rsidR="00200EBA" w:rsidRDefault="00200EBA" w:rsidP="00200EBA">
      <w:pPr>
        <w:rPr>
          <w:b/>
          <w:bCs/>
        </w:rPr>
      </w:pPr>
      <w:r w:rsidRPr="00B07248">
        <w:rPr>
          <w:b/>
          <w:bCs/>
        </w:rPr>
        <w:t>Таблица 4-</w:t>
      </w:r>
      <w:r>
        <w:rPr>
          <w:b/>
          <w:bCs/>
        </w:rPr>
        <w:t>2</w:t>
      </w:r>
      <w:r w:rsidR="006A4F12">
        <w:rPr>
          <w:b/>
          <w:bCs/>
        </w:rPr>
        <w:t>.</w:t>
      </w:r>
      <w:r w:rsidRPr="00B07248">
        <w:rPr>
          <w:b/>
          <w:bCs/>
        </w:rPr>
        <w:t xml:space="preserve"> </w:t>
      </w:r>
      <w:r w:rsidRPr="006A4F12">
        <w:rPr>
          <w:bCs/>
        </w:rPr>
        <w:t xml:space="preserve">Результаты эффективности исследования </w:t>
      </w:r>
      <w:bookmarkStart w:id="218" w:name="_Hlk118118993"/>
      <w:r w:rsidRPr="006A4F12">
        <w:rPr>
          <w:bCs/>
        </w:rPr>
        <w:t xml:space="preserve">SELECT у больных с дифференцированным </w:t>
      </w:r>
      <w:r w:rsidR="00B14FE1" w:rsidRPr="006A4F12">
        <w:t>РЩЖ</w:t>
      </w:r>
      <w:r w:rsidRPr="006A4F12">
        <w:rPr>
          <w:bCs/>
        </w:rPr>
        <w:t>, рефрактерным к радиоактивному йоду</w:t>
      </w:r>
      <w:bookmarkEnd w:id="218"/>
      <w:r w:rsidRPr="006A4F12">
        <w:rPr>
          <w:bCs/>
        </w:rPr>
        <w:t xml:space="preserve"> </w:t>
      </w:r>
      <w:r w:rsidRPr="006A4F12">
        <w:rPr>
          <w:bCs/>
        </w:rPr>
        <w:fldChar w:fldCharType="begin"/>
      </w:r>
      <w:r w:rsidRPr="006A4F12">
        <w:rPr>
          <w:bCs/>
        </w:rPr>
        <w:instrText xml:space="preserve"> ADDIN ZOTERO_ITEM CSL_CITATION {"citationID":"w6hJUvLh","properties":{"formattedCitation":"[27]","plainCitation":"[27]","noteIndex":0},"citationItems":[{"id":2653,"uris":["http://zotero.org/users/5483459/items/4RCY3Z5J"],"itemData":{"id":2653,"type":"document","title":"PRODUCT MONOGRAPH INCLUDING PATIENT MEDICATION INFORMATION PrLENVIMA® Lenvatinib capsules 4mg and 10mg Lenvatinib (as lenvatinib mesylate) Multiple Receptor Tyrosine Kinase Inhibitor Antineoplastic Agent, ATC code:L01XE29. Eisai Limited.2018."}}],"schema":"https://github.com/citation-style-language/schema/raw/master/csl-citation.json"} </w:instrText>
      </w:r>
      <w:r w:rsidRPr="006A4F12">
        <w:rPr>
          <w:bCs/>
        </w:rPr>
        <w:fldChar w:fldCharType="separate"/>
      </w:r>
      <w:r w:rsidRPr="006A4F12">
        <w:t>[27]</w:t>
      </w:r>
      <w:r w:rsidRPr="006A4F12">
        <w:rPr>
          <w:bCs/>
        </w:rPr>
        <w:fldChar w:fldCharType="end"/>
      </w:r>
      <w:r w:rsidR="006A4F12" w:rsidRPr="006A4F12">
        <w:rPr>
          <w:bCs/>
        </w:rPr>
        <w:t>.</w:t>
      </w:r>
    </w:p>
    <w:tbl>
      <w:tblPr>
        <w:tblStyle w:val="a8"/>
        <w:tblW w:w="9351" w:type="dxa"/>
        <w:tblLook w:val="04A0" w:firstRow="1" w:lastRow="0" w:firstColumn="1" w:lastColumn="0" w:noHBand="0" w:noVBand="1"/>
      </w:tblPr>
      <w:tblGrid>
        <w:gridCol w:w="3681"/>
        <w:gridCol w:w="2551"/>
        <w:gridCol w:w="3119"/>
      </w:tblGrid>
      <w:tr w:rsidR="007B6C25" w:rsidRPr="00B00338" w14:paraId="5BA79C7A" w14:textId="77777777" w:rsidTr="00374B27">
        <w:trPr>
          <w:trHeight w:val="377"/>
        </w:trPr>
        <w:tc>
          <w:tcPr>
            <w:tcW w:w="3681" w:type="dxa"/>
            <w:vMerge w:val="restart"/>
            <w:shd w:val="clear" w:color="auto" w:fill="D9D9D9" w:themeFill="background1" w:themeFillShade="D9"/>
            <w:vAlign w:val="center"/>
          </w:tcPr>
          <w:p w14:paraId="77BA0540" w14:textId="77777777" w:rsidR="007B6C25" w:rsidRPr="00B00338" w:rsidRDefault="007B6C25" w:rsidP="00C040B9">
            <w:pPr>
              <w:pStyle w:val="afff8"/>
              <w:rPr>
                <w:b/>
                <w:bCs/>
                <w:sz w:val="24"/>
              </w:rPr>
            </w:pPr>
            <w:r w:rsidRPr="00B00338">
              <w:rPr>
                <w:b/>
                <w:bCs/>
                <w:sz w:val="24"/>
              </w:rPr>
              <w:t>Критерии эффективности</w:t>
            </w:r>
          </w:p>
        </w:tc>
        <w:tc>
          <w:tcPr>
            <w:tcW w:w="5670" w:type="dxa"/>
            <w:gridSpan w:val="2"/>
            <w:shd w:val="clear" w:color="auto" w:fill="D9D9D9" w:themeFill="background1" w:themeFillShade="D9"/>
            <w:vAlign w:val="center"/>
          </w:tcPr>
          <w:p w14:paraId="36685592" w14:textId="77777777" w:rsidR="007B6C25" w:rsidRPr="00B00338" w:rsidRDefault="007B6C25" w:rsidP="00C040B9">
            <w:pPr>
              <w:pStyle w:val="afff8"/>
              <w:jc w:val="center"/>
              <w:rPr>
                <w:b/>
                <w:bCs/>
                <w:sz w:val="24"/>
              </w:rPr>
            </w:pPr>
            <w:r w:rsidRPr="00B00338">
              <w:rPr>
                <w:b/>
                <w:bCs/>
                <w:sz w:val="24"/>
              </w:rPr>
              <w:t>Группы</w:t>
            </w:r>
          </w:p>
        </w:tc>
      </w:tr>
      <w:tr w:rsidR="007B6C25" w:rsidRPr="00B00338" w14:paraId="6E631274" w14:textId="77777777" w:rsidTr="00374B27">
        <w:trPr>
          <w:trHeight w:val="98"/>
        </w:trPr>
        <w:tc>
          <w:tcPr>
            <w:tcW w:w="3681" w:type="dxa"/>
            <w:vMerge/>
            <w:shd w:val="clear" w:color="auto" w:fill="D9D9D9" w:themeFill="background1" w:themeFillShade="D9"/>
            <w:vAlign w:val="center"/>
          </w:tcPr>
          <w:p w14:paraId="482AD760" w14:textId="77777777" w:rsidR="007B6C25" w:rsidRPr="00B00338" w:rsidRDefault="007B6C25" w:rsidP="00C040B9">
            <w:pPr>
              <w:pStyle w:val="afff8"/>
              <w:rPr>
                <w:b/>
                <w:bCs/>
                <w:sz w:val="24"/>
              </w:rPr>
            </w:pPr>
          </w:p>
        </w:tc>
        <w:tc>
          <w:tcPr>
            <w:tcW w:w="2551" w:type="dxa"/>
            <w:shd w:val="clear" w:color="auto" w:fill="D9D9D9" w:themeFill="background1" w:themeFillShade="D9"/>
            <w:vAlign w:val="center"/>
          </w:tcPr>
          <w:p w14:paraId="3310909E" w14:textId="0CCF1961" w:rsidR="007B6C25" w:rsidRPr="00B00338" w:rsidRDefault="007B6C25" w:rsidP="00E36A78">
            <w:pPr>
              <w:pStyle w:val="afff8"/>
              <w:jc w:val="center"/>
              <w:rPr>
                <w:b/>
                <w:bCs/>
                <w:sz w:val="24"/>
              </w:rPr>
            </w:pPr>
            <w:r w:rsidRPr="00B00338">
              <w:rPr>
                <w:b/>
                <w:bCs/>
                <w:sz w:val="24"/>
              </w:rPr>
              <w:t>Ленватиниб</w:t>
            </w:r>
            <w:r w:rsidR="00E36A78">
              <w:rPr>
                <w:b/>
                <w:bCs/>
                <w:sz w:val="24"/>
              </w:rPr>
              <w:t xml:space="preserve"> </w:t>
            </w:r>
            <w:r>
              <w:rPr>
                <w:b/>
                <w:bCs/>
                <w:sz w:val="24"/>
              </w:rPr>
              <w:t>(N=</w:t>
            </w:r>
            <w:r w:rsidRPr="00B00338">
              <w:rPr>
                <w:b/>
                <w:bCs/>
                <w:sz w:val="24"/>
              </w:rPr>
              <w:t>261)</w:t>
            </w:r>
          </w:p>
        </w:tc>
        <w:tc>
          <w:tcPr>
            <w:tcW w:w="3119" w:type="dxa"/>
            <w:shd w:val="clear" w:color="auto" w:fill="D9D9D9" w:themeFill="background1" w:themeFillShade="D9"/>
            <w:vAlign w:val="center"/>
          </w:tcPr>
          <w:p w14:paraId="2520978F" w14:textId="37EF56C7" w:rsidR="007B6C25" w:rsidRPr="00B00338" w:rsidRDefault="007B6C25" w:rsidP="00E36A78">
            <w:pPr>
              <w:pStyle w:val="afff8"/>
              <w:jc w:val="center"/>
              <w:rPr>
                <w:b/>
                <w:bCs/>
                <w:sz w:val="24"/>
              </w:rPr>
            </w:pPr>
            <w:r>
              <w:rPr>
                <w:b/>
                <w:bCs/>
                <w:sz w:val="24"/>
              </w:rPr>
              <w:t>Плацебо</w:t>
            </w:r>
            <w:r w:rsidRPr="00B00338">
              <w:rPr>
                <w:b/>
                <w:bCs/>
                <w:sz w:val="24"/>
              </w:rPr>
              <w:t xml:space="preserve"> </w:t>
            </w:r>
            <w:r w:rsidR="00E36A78">
              <w:rPr>
                <w:b/>
                <w:bCs/>
                <w:sz w:val="24"/>
              </w:rPr>
              <w:t xml:space="preserve"> </w:t>
            </w:r>
            <w:r>
              <w:rPr>
                <w:b/>
                <w:bCs/>
                <w:sz w:val="24"/>
              </w:rPr>
              <w:t xml:space="preserve"> (N=</w:t>
            </w:r>
            <w:r w:rsidRPr="00B00338">
              <w:rPr>
                <w:b/>
                <w:bCs/>
                <w:sz w:val="24"/>
              </w:rPr>
              <w:t>131)</w:t>
            </w:r>
          </w:p>
        </w:tc>
      </w:tr>
      <w:tr w:rsidR="007B6C25" w:rsidRPr="00B00338" w14:paraId="3119D350" w14:textId="77777777" w:rsidTr="00374B27">
        <w:trPr>
          <w:trHeight w:val="88"/>
        </w:trPr>
        <w:tc>
          <w:tcPr>
            <w:tcW w:w="9351" w:type="dxa"/>
            <w:gridSpan w:val="3"/>
          </w:tcPr>
          <w:p w14:paraId="69C7CD3F" w14:textId="77777777" w:rsidR="007B6C25" w:rsidRPr="00AE0448" w:rsidRDefault="007B6C25" w:rsidP="00C040B9">
            <w:pPr>
              <w:pStyle w:val="afff8"/>
              <w:rPr>
                <w:b/>
                <w:sz w:val="24"/>
              </w:rPr>
            </w:pPr>
            <w:r w:rsidRPr="00AE0448">
              <w:rPr>
                <w:b/>
                <w:sz w:val="24"/>
              </w:rPr>
              <w:t>ВБП (mRECIST)</w:t>
            </w:r>
          </w:p>
        </w:tc>
      </w:tr>
      <w:tr w:rsidR="007B6C25" w:rsidRPr="00B00338" w14:paraId="53751CBD" w14:textId="77777777" w:rsidTr="00374B27">
        <w:trPr>
          <w:trHeight w:val="497"/>
        </w:trPr>
        <w:tc>
          <w:tcPr>
            <w:tcW w:w="3681" w:type="dxa"/>
          </w:tcPr>
          <w:p w14:paraId="46CC6D58" w14:textId="77777777" w:rsidR="007B6C25" w:rsidRPr="00B00338" w:rsidRDefault="007B6C25" w:rsidP="006A4F12">
            <w:pPr>
              <w:pStyle w:val="afff8"/>
              <w:rPr>
                <w:sz w:val="24"/>
              </w:rPr>
            </w:pPr>
            <w:r w:rsidRPr="00B00338">
              <w:rPr>
                <w:sz w:val="24"/>
              </w:rPr>
              <w:t>Количество (%) пациентов с событием</w:t>
            </w:r>
          </w:p>
        </w:tc>
        <w:tc>
          <w:tcPr>
            <w:tcW w:w="2551" w:type="dxa"/>
            <w:vAlign w:val="center"/>
          </w:tcPr>
          <w:p w14:paraId="2B8B952C" w14:textId="77777777" w:rsidR="007B6C25" w:rsidRPr="00B00338" w:rsidRDefault="007B6C25" w:rsidP="006A4F12">
            <w:pPr>
              <w:pStyle w:val="afff8"/>
              <w:jc w:val="center"/>
              <w:rPr>
                <w:sz w:val="24"/>
              </w:rPr>
            </w:pPr>
            <w:r w:rsidRPr="00B00338">
              <w:rPr>
                <w:sz w:val="24"/>
              </w:rPr>
              <w:t>107 (41)</w:t>
            </w:r>
          </w:p>
          <w:p w14:paraId="24E68869" w14:textId="77777777" w:rsidR="007B6C25" w:rsidRPr="00B00338" w:rsidRDefault="007B6C25" w:rsidP="006A4F12">
            <w:pPr>
              <w:pStyle w:val="afff8"/>
              <w:jc w:val="center"/>
              <w:rPr>
                <w:sz w:val="24"/>
              </w:rPr>
            </w:pPr>
          </w:p>
        </w:tc>
        <w:tc>
          <w:tcPr>
            <w:tcW w:w="3119" w:type="dxa"/>
            <w:vAlign w:val="center"/>
          </w:tcPr>
          <w:p w14:paraId="3B0BEC4D" w14:textId="7868A5B3" w:rsidR="007B6C25" w:rsidRPr="00B00338" w:rsidRDefault="00374B27" w:rsidP="006A4F12">
            <w:pPr>
              <w:pStyle w:val="afff8"/>
              <w:jc w:val="center"/>
              <w:rPr>
                <w:sz w:val="24"/>
              </w:rPr>
            </w:pPr>
            <w:r>
              <w:rPr>
                <w:sz w:val="24"/>
              </w:rPr>
              <w:t>113 (86,</w:t>
            </w:r>
            <w:r w:rsidR="007B6C25" w:rsidRPr="00B00338">
              <w:rPr>
                <w:sz w:val="24"/>
              </w:rPr>
              <w:t>3)</w:t>
            </w:r>
          </w:p>
        </w:tc>
      </w:tr>
      <w:tr w:rsidR="007B6C25" w:rsidRPr="00B00338" w14:paraId="34FD7975" w14:textId="77777777" w:rsidTr="00374B27">
        <w:trPr>
          <w:trHeight w:val="405"/>
        </w:trPr>
        <w:tc>
          <w:tcPr>
            <w:tcW w:w="3681" w:type="dxa"/>
          </w:tcPr>
          <w:p w14:paraId="4EDC6589" w14:textId="77777777" w:rsidR="007B6C25" w:rsidRPr="00B00338" w:rsidRDefault="007B6C25" w:rsidP="006A4F12">
            <w:pPr>
              <w:pStyle w:val="afff8"/>
              <w:rPr>
                <w:sz w:val="24"/>
              </w:rPr>
            </w:pPr>
            <w:r w:rsidRPr="00B00338">
              <w:rPr>
                <w:sz w:val="24"/>
              </w:rPr>
              <w:t>Медиана в месяцах (95%</w:t>
            </w:r>
            <w:r>
              <w:rPr>
                <w:sz w:val="24"/>
              </w:rPr>
              <w:t xml:space="preserve"> </w:t>
            </w:r>
            <w:r w:rsidRPr="00B00338">
              <w:rPr>
                <w:sz w:val="24"/>
              </w:rPr>
              <w:t>ДИ)</w:t>
            </w:r>
          </w:p>
        </w:tc>
        <w:tc>
          <w:tcPr>
            <w:tcW w:w="2551" w:type="dxa"/>
            <w:vAlign w:val="center"/>
          </w:tcPr>
          <w:p w14:paraId="783021AB" w14:textId="215DD1DD" w:rsidR="007B6C25" w:rsidRPr="00B00338" w:rsidRDefault="007B6C25" w:rsidP="006A4F12">
            <w:pPr>
              <w:pStyle w:val="afff8"/>
              <w:jc w:val="center"/>
              <w:rPr>
                <w:sz w:val="24"/>
              </w:rPr>
            </w:pPr>
            <w:r w:rsidRPr="00B00338">
              <w:rPr>
                <w:sz w:val="24"/>
              </w:rPr>
              <w:t>18</w:t>
            </w:r>
            <w:r w:rsidR="006A4F12">
              <w:rPr>
                <w:sz w:val="24"/>
              </w:rPr>
              <w:t>,</w:t>
            </w:r>
            <w:r w:rsidRPr="00B00338">
              <w:rPr>
                <w:sz w:val="24"/>
              </w:rPr>
              <w:t>3 (15</w:t>
            </w:r>
            <w:r w:rsidR="006A4F12">
              <w:rPr>
                <w:sz w:val="24"/>
              </w:rPr>
              <w:t>,</w:t>
            </w:r>
            <w:r w:rsidRPr="00B00338">
              <w:rPr>
                <w:sz w:val="24"/>
              </w:rPr>
              <w:t xml:space="preserve">1) </w:t>
            </w:r>
          </w:p>
        </w:tc>
        <w:tc>
          <w:tcPr>
            <w:tcW w:w="3119" w:type="dxa"/>
            <w:vAlign w:val="center"/>
          </w:tcPr>
          <w:p w14:paraId="69888259" w14:textId="40E4ABDC" w:rsidR="007B6C25" w:rsidRPr="00B00338" w:rsidRDefault="00374B27" w:rsidP="007047F7">
            <w:pPr>
              <w:pStyle w:val="afff8"/>
              <w:jc w:val="center"/>
              <w:rPr>
                <w:sz w:val="24"/>
              </w:rPr>
            </w:pPr>
            <w:r>
              <w:rPr>
                <w:sz w:val="24"/>
              </w:rPr>
              <w:t>3,6 (2,</w:t>
            </w:r>
            <w:r w:rsidR="007B6C25" w:rsidRPr="00B00338">
              <w:rPr>
                <w:sz w:val="24"/>
              </w:rPr>
              <w:t>2</w:t>
            </w:r>
            <w:r w:rsidR="007047F7">
              <w:rPr>
                <w:sz w:val="24"/>
              </w:rPr>
              <w:t>; 3,</w:t>
            </w:r>
            <w:r w:rsidR="007B6C25" w:rsidRPr="00B00338">
              <w:rPr>
                <w:sz w:val="24"/>
              </w:rPr>
              <w:t>7)</w:t>
            </w:r>
          </w:p>
        </w:tc>
      </w:tr>
      <w:tr w:rsidR="007B6C25" w:rsidRPr="00B00338" w14:paraId="0D2697E7" w14:textId="77777777" w:rsidTr="00374B27">
        <w:trPr>
          <w:trHeight w:val="64"/>
        </w:trPr>
        <w:tc>
          <w:tcPr>
            <w:tcW w:w="3681" w:type="dxa"/>
          </w:tcPr>
          <w:p w14:paraId="7B295145" w14:textId="77777777" w:rsidR="007B6C25" w:rsidRPr="00B00338" w:rsidRDefault="007B6C25" w:rsidP="006A4F12">
            <w:pPr>
              <w:pStyle w:val="afff8"/>
              <w:rPr>
                <w:sz w:val="24"/>
              </w:rPr>
            </w:pPr>
            <w:r>
              <w:rPr>
                <w:sz w:val="24"/>
              </w:rPr>
              <w:t>Отношение рисков (ДИ 99</w:t>
            </w:r>
            <w:r w:rsidRPr="00B00338">
              <w:rPr>
                <w:sz w:val="24"/>
              </w:rPr>
              <w:t>%)</w:t>
            </w:r>
            <w:r w:rsidRPr="00B00338">
              <w:rPr>
                <w:sz w:val="24"/>
                <w:vertAlign w:val="superscript"/>
                <w:lang w:val="en-US"/>
              </w:rPr>
              <w:t>b</w:t>
            </w:r>
            <w:r>
              <w:rPr>
                <w:sz w:val="24"/>
                <w:vertAlign w:val="superscript"/>
              </w:rPr>
              <w:t xml:space="preserve">, </w:t>
            </w:r>
            <w:r w:rsidRPr="00AE0448">
              <w:rPr>
                <w:sz w:val="24"/>
                <w:vertAlign w:val="superscript"/>
              </w:rPr>
              <w:t>с</w:t>
            </w:r>
          </w:p>
        </w:tc>
        <w:tc>
          <w:tcPr>
            <w:tcW w:w="5670" w:type="dxa"/>
            <w:gridSpan w:val="2"/>
            <w:vAlign w:val="center"/>
          </w:tcPr>
          <w:p w14:paraId="7B1FC71D" w14:textId="376405A6" w:rsidR="007B6C25" w:rsidRPr="00B00338" w:rsidRDefault="007B6C25" w:rsidP="007047F7">
            <w:pPr>
              <w:pStyle w:val="afff8"/>
              <w:jc w:val="center"/>
              <w:rPr>
                <w:sz w:val="24"/>
              </w:rPr>
            </w:pPr>
            <w:r w:rsidRPr="00B00338">
              <w:rPr>
                <w:sz w:val="24"/>
              </w:rPr>
              <w:t>0</w:t>
            </w:r>
            <w:r w:rsidR="006A4F12">
              <w:rPr>
                <w:sz w:val="24"/>
              </w:rPr>
              <w:t>,</w:t>
            </w:r>
            <w:r w:rsidRPr="00B00338">
              <w:rPr>
                <w:sz w:val="24"/>
              </w:rPr>
              <w:t>21 (0</w:t>
            </w:r>
            <w:r w:rsidR="006A4F12">
              <w:rPr>
                <w:sz w:val="24"/>
              </w:rPr>
              <w:t>,</w:t>
            </w:r>
            <w:r w:rsidRPr="00B00338">
              <w:rPr>
                <w:sz w:val="24"/>
              </w:rPr>
              <w:t>14</w:t>
            </w:r>
            <w:r w:rsidR="007047F7">
              <w:rPr>
                <w:sz w:val="24"/>
              </w:rPr>
              <w:t>;</w:t>
            </w:r>
            <w:r w:rsidRPr="00B00338">
              <w:rPr>
                <w:sz w:val="24"/>
              </w:rPr>
              <w:t xml:space="preserve"> 0</w:t>
            </w:r>
            <w:r w:rsidR="006A4F12">
              <w:rPr>
                <w:sz w:val="24"/>
              </w:rPr>
              <w:t>,</w:t>
            </w:r>
            <w:r w:rsidRPr="00B00338">
              <w:rPr>
                <w:sz w:val="24"/>
              </w:rPr>
              <w:t>31)</w:t>
            </w:r>
          </w:p>
        </w:tc>
      </w:tr>
      <w:tr w:rsidR="007B6C25" w:rsidRPr="00B00338" w14:paraId="7DCE0024" w14:textId="77777777" w:rsidTr="00374B27">
        <w:trPr>
          <w:trHeight w:val="58"/>
        </w:trPr>
        <w:tc>
          <w:tcPr>
            <w:tcW w:w="3681" w:type="dxa"/>
          </w:tcPr>
          <w:p w14:paraId="1C9E2FD8" w14:textId="77777777" w:rsidR="007B6C25" w:rsidRPr="00887F26" w:rsidRDefault="007B6C25" w:rsidP="006A4F12">
            <w:pPr>
              <w:pStyle w:val="afff8"/>
              <w:rPr>
                <w:sz w:val="24"/>
              </w:rPr>
            </w:pPr>
            <w:r w:rsidRPr="00B00338">
              <w:rPr>
                <w:sz w:val="24"/>
                <w:lang w:val="en-US"/>
              </w:rPr>
              <w:t>P</w:t>
            </w:r>
            <w:r w:rsidRPr="00B00338">
              <w:rPr>
                <w:sz w:val="24"/>
              </w:rPr>
              <w:t>-уровень</w:t>
            </w:r>
            <w:r w:rsidRPr="00B00338">
              <w:rPr>
                <w:sz w:val="24"/>
                <w:vertAlign w:val="superscript"/>
                <w:lang w:val="en-US"/>
              </w:rPr>
              <w:t>b</w:t>
            </w:r>
          </w:p>
        </w:tc>
        <w:tc>
          <w:tcPr>
            <w:tcW w:w="5670" w:type="dxa"/>
            <w:gridSpan w:val="2"/>
            <w:vAlign w:val="center"/>
          </w:tcPr>
          <w:p w14:paraId="7B9E2A69" w14:textId="10D3EEFF" w:rsidR="007B6C25" w:rsidRPr="00B00338" w:rsidRDefault="007B6C25" w:rsidP="006A4F12">
            <w:pPr>
              <w:pStyle w:val="afff8"/>
              <w:jc w:val="center"/>
              <w:rPr>
                <w:sz w:val="24"/>
              </w:rPr>
            </w:pPr>
            <w:r w:rsidRPr="00B00338">
              <w:rPr>
                <w:sz w:val="24"/>
              </w:rPr>
              <w:t>&lt;0</w:t>
            </w:r>
            <w:r w:rsidR="006A4F12">
              <w:rPr>
                <w:sz w:val="24"/>
              </w:rPr>
              <w:t>,</w:t>
            </w:r>
            <w:r w:rsidRPr="00B00338">
              <w:rPr>
                <w:sz w:val="24"/>
              </w:rPr>
              <w:t>0001</w:t>
            </w:r>
          </w:p>
        </w:tc>
      </w:tr>
      <w:tr w:rsidR="007B6C25" w:rsidRPr="00B00338" w14:paraId="095CC314" w14:textId="77777777" w:rsidTr="00374B27">
        <w:trPr>
          <w:trHeight w:val="264"/>
        </w:trPr>
        <w:tc>
          <w:tcPr>
            <w:tcW w:w="9351" w:type="dxa"/>
            <w:gridSpan w:val="3"/>
            <w:vAlign w:val="center"/>
          </w:tcPr>
          <w:p w14:paraId="62E86AF9" w14:textId="77777777" w:rsidR="007B6C25" w:rsidRPr="00AE0448" w:rsidRDefault="007B6C25" w:rsidP="006A4F12">
            <w:pPr>
              <w:pStyle w:val="afff8"/>
              <w:jc w:val="left"/>
              <w:rPr>
                <w:b/>
                <w:sz w:val="24"/>
              </w:rPr>
            </w:pPr>
            <w:r w:rsidRPr="00AE0448">
              <w:rPr>
                <w:b/>
                <w:sz w:val="24"/>
              </w:rPr>
              <w:t>ОВ</w:t>
            </w:r>
          </w:p>
        </w:tc>
      </w:tr>
      <w:tr w:rsidR="007B6C25" w:rsidRPr="00B00338" w14:paraId="3CCF4CEB" w14:textId="77777777" w:rsidTr="00374B27">
        <w:trPr>
          <w:trHeight w:val="555"/>
        </w:trPr>
        <w:tc>
          <w:tcPr>
            <w:tcW w:w="3681" w:type="dxa"/>
          </w:tcPr>
          <w:p w14:paraId="46B489F7" w14:textId="77777777" w:rsidR="007B6C25" w:rsidRPr="00B00338" w:rsidRDefault="007B6C25" w:rsidP="006A4F12">
            <w:pPr>
              <w:pStyle w:val="afff8"/>
              <w:rPr>
                <w:sz w:val="24"/>
              </w:rPr>
            </w:pPr>
            <w:r w:rsidRPr="00B00338">
              <w:rPr>
                <w:sz w:val="24"/>
              </w:rPr>
              <w:t>Количество (%) пациентов с событием</w:t>
            </w:r>
          </w:p>
        </w:tc>
        <w:tc>
          <w:tcPr>
            <w:tcW w:w="2551" w:type="dxa"/>
            <w:vAlign w:val="center"/>
          </w:tcPr>
          <w:p w14:paraId="171DAF4F" w14:textId="4A14ADF5" w:rsidR="007B6C25" w:rsidRPr="00B00338" w:rsidRDefault="007B6C25" w:rsidP="006A4F12">
            <w:pPr>
              <w:pStyle w:val="afff8"/>
              <w:jc w:val="center"/>
              <w:rPr>
                <w:sz w:val="24"/>
              </w:rPr>
            </w:pPr>
            <w:r w:rsidRPr="00B00338">
              <w:rPr>
                <w:sz w:val="24"/>
              </w:rPr>
              <w:t>71 (27</w:t>
            </w:r>
            <w:r w:rsidR="006A4F12">
              <w:rPr>
                <w:sz w:val="24"/>
              </w:rPr>
              <w:t>,</w:t>
            </w:r>
            <w:r w:rsidRPr="00B00338">
              <w:rPr>
                <w:sz w:val="24"/>
              </w:rPr>
              <w:t xml:space="preserve">2) </w:t>
            </w:r>
          </w:p>
        </w:tc>
        <w:tc>
          <w:tcPr>
            <w:tcW w:w="3119" w:type="dxa"/>
            <w:vAlign w:val="center"/>
          </w:tcPr>
          <w:p w14:paraId="68DB36B9" w14:textId="5CD84998" w:rsidR="007B6C25" w:rsidRPr="00B00338" w:rsidRDefault="007B6C25" w:rsidP="007047F7">
            <w:pPr>
              <w:pStyle w:val="afff8"/>
              <w:jc w:val="center"/>
              <w:rPr>
                <w:sz w:val="24"/>
              </w:rPr>
            </w:pPr>
            <w:r w:rsidRPr="00B00338">
              <w:rPr>
                <w:sz w:val="24"/>
              </w:rPr>
              <w:t>47 (35</w:t>
            </w:r>
            <w:r w:rsidR="007047F7">
              <w:rPr>
                <w:sz w:val="24"/>
              </w:rPr>
              <w:t>,</w:t>
            </w:r>
            <w:r w:rsidRPr="00B00338">
              <w:rPr>
                <w:sz w:val="24"/>
              </w:rPr>
              <w:t>9)</w:t>
            </w:r>
          </w:p>
        </w:tc>
      </w:tr>
      <w:tr w:rsidR="007B6C25" w:rsidRPr="00B00338" w14:paraId="0B7302A3" w14:textId="77777777" w:rsidTr="00374B27">
        <w:trPr>
          <w:trHeight w:val="266"/>
        </w:trPr>
        <w:tc>
          <w:tcPr>
            <w:tcW w:w="3681" w:type="dxa"/>
          </w:tcPr>
          <w:p w14:paraId="77C6BAEB" w14:textId="77777777" w:rsidR="007B6C25" w:rsidRPr="00B00338" w:rsidRDefault="007B6C25" w:rsidP="006A4F12">
            <w:pPr>
              <w:pStyle w:val="afff8"/>
              <w:rPr>
                <w:sz w:val="24"/>
              </w:rPr>
            </w:pPr>
            <w:r w:rsidRPr="00B00338">
              <w:rPr>
                <w:sz w:val="24"/>
              </w:rPr>
              <w:t>ДИ (95%)</w:t>
            </w:r>
          </w:p>
        </w:tc>
        <w:tc>
          <w:tcPr>
            <w:tcW w:w="2551" w:type="dxa"/>
            <w:vAlign w:val="center"/>
          </w:tcPr>
          <w:p w14:paraId="1DFDCAA0" w14:textId="0C50C59E" w:rsidR="007B6C25" w:rsidRPr="00B00338" w:rsidRDefault="007B6C25" w:rsidP="007047F7">
            <w:pPr>
              <w:pStyle w:val="afff8"/>
              <w:jc w:val="center"/>
              <w:rPr>
                <w:sz w:val="24"/>
              </w:rPr>
            </w:pPr>
            <w:r w:rsidRPr="00B00338">
              <w:rPr>
                <w:sz w:val="24"/>
              </w:rPr>
              <w:t>(59</w:t>
            </w:r>
            <w:r w:rsidR="006A4F12">
              <w:rPr>
                <w:sz w:val="24"/>
              </w:rPr>
              <w:t>,</w:t>
            </w:r>
            <w:r w:rsidRPr="00B00338">
              <w:rPr>
                <w:sz w:val="24"/>
              </w:rPr>
              <w:t>0</w:t>
            </w:r>
            <w:r w:rsidR="007047F7">
              <w:rPr>
                <w:sz w:val="24"/>
              </w:rPr>
              <w:t>;</w:t>
            </w:r>
            <w:r w:rsidRPr="00B00338">
              <w:rPr>
                <w:sz w:val="24"/>
              </w:rPr>
              <w:t xml:space="preserve"> 70</w:t>
            </w:r>
            <w:r w:rsidR="006A4F12">
              <w:rPr>
                <w:sz w:val="24"/>
              </w:rPr>
              <w:t>,</w:t>
            </w:r>
            <w:r w:rsidRPr="00B00338">
              <w:rPr>
                <w:sz w:val="24"/>
              </w:rPr>
              <w:t xml:space="preserve">5) </w:t>
            </w:r>
          </w:p>
        </w:tc>
        <w:tc>
          <w:tcPr>
            <w:tcW w:w="3119" w:type="dxa"/>
            <w:vAlign w:val="center"/>
          </w:tcPr>
          <w:p w14:paraId="2C531C57" w14:textId="29B29073" w:rsidR="007B6C25" w:rsidRPr="00B00338" w:rsidRDefault="007047F7" w:rsidP="007047F7">
            <w:pPr>
              <w:pStyle w:val="afff8"/>
              <w:jc w:val="center"/>
              <w:rPr>
                <w:sz w:val="24"/>
              </w:rPr>
            </w:pPr>
            <w:r>
              <w:rPr>
                <w:sz w:val="24"/>
              </w:rPr>
              <w:t>(0,0; 3,</w:t>
            </w:r>
            <w:r w:rsidR="007B6C25" w:rsidRPr="00B00338">
              <w:rPr>
                <w:sz w:val="24"/>
              </w:rPr>
              <w:t>6)</w:t>
            </w:r>
          </w:p>
        </w:tc>
      </w:tr>
      <w:tr w:rsidR="007B6C25" w:rsidRPr="00B00338" w14:paraId="2E4AECAC" w14:textId="77777777" w:rsidTr="00374B27">
        <w:trPr>
          <w:trHeight w:val="106"/>
        </w:trPr>
        <w:tc>
          <w:tcPr>
            <w:tcW w:w="3681" w:type="dxa"/>
          </w:tcPr>
          <w:p w14:paraId="5638D033" w14:textId="77777777" w:rsidR="007B6C25" w:rsidRPr="00B00338" w:rsidRDefault="007B6C25" w:rsidP="006A4F12">
            <w:pPr>
              <w:pStyle w:val="afff8"/>
              <w:rPr>
                <w:sz w:val="24"/>
              </w:rPr>
            </w:pPr>
            <w:r w:rsidRPr="00B00338">
              <w:rPr>
                <w:sz w:val="24"/>
              </w:rPr>
              <w:t>Медиана в месяцах (95%ДИ)</w:t>
            </w:r>
          </w:p>
        </w:tc>
        <w:tc>
          <w:tcPr>
            <w:tcW w:w="2551" w:type="dxa"/>
            <w:vAlign w:val="center"/>
          </w:tcPr>
          <w:p w14:paraId="5C981C14" w14:textId="77777777" w:rsidR="007B6C25" w:rsidRPr="00B00338" w:rsidRDefault="007B6C25" w:rsidP="006A4F12">
            <w:pPr>
              <w:pStyle w:val="afff8"/>
              <w:jc w:val="center"/>
              <w:rPr>
                <w:sz w:val="24"/>
              </w:rPr>
            </w:pPr>
            <w:r w:rsidRPr="00B00338">
              <w:rPr>
                <w:sz w:val="24"/>
              </w:rPr>
              <w:t>Не достигнута</w:t>
            </w:r>
          </w:p>
        </w:tc>
        <w:tc>
          <w:tcPr>
            <w:tcW w:w="3119" w:type="dxa"/>
            <w:vAlign w:val="center"/>
          </w:tcPr>
          <w:p w14:paraId="527A0627" w14:textId="77777777" w:rsidR="007B6C25" w:rsidRPr="00B00338" w:rsidRDefault="007B6C25" w:rsidP="006A4F12">
            <w:pPr>
              <w:pStyle w:val="afff8"/>
              <w:jc w:val="center"/>
              <w:rPr>
                <w:sz w:val="24"/>
              </w:rPr>
            </w:pPr>
            <w:r w:rsidRPr="00B00338">
              <w:rPr>
                <w:sz w:val="24"/>
              </w:rPr>
              <w:t>Не достигнута</w:t>
            </w:r>
          </w:p>
        </w:tc>
      </w:tr>
      <w:tr w:rsidR="007B6C25" w:rsidRPr="00B00338" w14:paraId="23AC1DE9" w14:textId="77777777" w:rsidTr="00374B27">
        <w:trPr>
          <w:trHeight w:val="114"/>
        </w:trPr>
        <w:tc>
          <w:tcPr>
            <w:tcW w:w="3681" w:type="dxa"/>
          </w:tcPr>
          <w:p w14:paraId="0B66488C" w14:textId="77777777" w:rsidR="007B6C25" w:rsidRPr="00B00338" w:rsidRDefault="007B6C25" w:rsidP="006A4F12">
            <w:pPr>
              <w:pStyle w:val="afff8"/>
              <w:rPr>
                <w:sz w:val="24"/>
              </w:rPr>
            </w:pPr>
            <w:r w:rsidRPr="00B00338">
              <w:rPr>
                <w:sz w:val="24"/>
              </w:rPr>
              <w:t>Отношение рисков (ДИ 95%)</w:t>
            </w:r>
            <w:r w:rsidRPr="00B00338">
              <w:rPr>
                <w:sz w:val="24"/>
                <w:vertAlign w:val="superscript"/>
                <w:lang w:val="en-US"/>
              </w:rPr>
              <w:t>b</w:t>
            </w:r>
            <w:r w:rsidRPr="00AE0448">
              <w:rPr>
                <w:sz w:val="24"/>
                <w:vertAlign w:val="superscript"/>
              </w:rPr>
              <w:t xml:space="preserve">, </w:t>
            </w:r>
            <w:r w:rsidRPr="00AE0448">
              <w:rPr>
                <w:sz w:val="24"/>
                <w:vertAlign w:val="superscript"/>
                <w:lang w:val="en-US"/>
              </w:rPr>
              <w:t>d</w:t>
            </w:r>
          </w:p>
        </w:tc>
        <w:tc>
          <w:tcPr>
            <w:tcW w:w="5670" w:type="dxa"/>
            <w:gridSpan w:val="2"/>
            <w:vAlign w:val="center"/>
          </w:tcPr>
          <w:p w14:paraId="6DF9CFF7" w14:textId="6BB8776A" w:rsidR="007B6C25" w:rsidRPr="00B00338" w:rsidRDefault="007B6C25" w:rsidP="007047F7">
            <w:pPr>
              <w:pStyle w:val="afff8"/>
              <w:jc w:val="center"/>
              <w:rPr>
                <w:sz w:val="24"/>
              </w:rPr>
            </w:pPr>
            <w:r w:rsidRPr="00B00338">
              <w:rPr>
                <w:sz w:val="24"/>
              </w:rPr>
              <w:t>0</w:t>
            </w:r>
            <w:r w:rsidR="006A4F12">
              <w:rPr>
                <w:sz w:val="24"/>
              </w:rPr>
              <w:t>,</w:t>
            </w:r>
            <w:r w:rsidRPr="00B00338">
              <w:rPr>
                <w:sz w:val="24"/>
              </w:rPr>
              <w:t>73 (0</w:t>
            </w:r>
            <w:r w:rsidR="006A4F12">
              <w:rPr>
                <w:sz w:val="24"/>
              </w:rPr>
              <w:t>,</w:t>
            </w:r>
            <w:r w:rsidRPr="00B00338">
              <w:rPr>
                <w:sz w:val="24"/>
              </w:rPr>
              <w:t>50</w:t>
            </w:r>
            <w:r w:rsidR="007047F7">
              <w:rPr>
                <w:sz w:val="24"/>
              </w:rPr>
              <w:t>;</w:t>
            </w:r>
            <w:r w:rsidRPr="00B00338">
              <w:rPr>
                <w:sz w:val="24"/>
              </w:rPr>
              <w:t xml:space="preserve"> 1</w:t>
            </w:r>
            <w:r w:rsidR="006A4F12">
              <w:rPr>
                <w:sz w:val="24"/>
              </w:rPr>
              <w:t>,</w:t>
            </w:r>
            <w:r w:rsidRPr="00B00338">
              <w:rPr>
                <w:sz w:val="24"/>
              </w:rPr>
              <w:t>07</w:t>
            </w:r>
            <w:r w:rsidR="007047F7">
              <w:rPr>
                <w:sz w:val="24"/>
              </w:rPr>
              <w:t>)</w:t>
            </w:r>
          </w:p>
        </w:tc>
      </w:tr>
      <w:tr w:rsidR="007B6C25" w:rsidRPr="00B00338" w14:paraId="2F27CC70" w14:textId="77777777" w:rsidTr="00374B27">
        <w:trPr>
          <w:trHeight w:val="122"/>
        </w:trPr>
        <w:tc>
          <w:tcPr>
            <w:tcW w:w="3681" w:type="dxa"/>
          </w:tcPr>
          <w:p w14:paraId="1D042BC5" w14:textId="77777777" w:rsidR="007B6C25" w:rsidRPr="00AE0448" w:rsidRDefault="007B6C25" w:rsidP="006A4F12">
            <w:pPr>
              <w:pStyle w:val="afff8"/>
              <w:rPr>
                <w:sz w:val="24"/>
                <w:lang w:val="en-US"/>
              </w:rPr>
            </w:pPr>
            <w:r w:rsidRPr="00B00338">
              <w:rPr>
                <w:sz w:val="24"/>
                <w:lang w:val="en-US"/>
              </w:rPr>
              <w:t>P</w:t>
            </w:r>
            <w:r w:rsidRPr="00B00338">
              <w:rPr>
                <w:sz w:val="24"/>
              </w:rPr>
              <w:t>-уровень</w:t>
            </w:r>
            <w:r w:rsidRPr="00B00338">
              <w:rPr>
                <w:sz w:val="24"/>
                <w:vertAlign w:val="superscript"/>
                <w:lang w:val="en-US"/>
              </w:rPr>
              <w:t>b</w:t>
            </w:r>
            <w:r>
              <w:rPr>
                <w:sz w:val="24"/>
                <w:vertAlign w:val="superscript"/>
                <w:lang w:val="en-US"/>
              </w:rPr>
              <w:t>,</w:t>
            </w:r>
            <w:r w:rsidRPr="00AE0448">
              <w:rPr>
                <w:sz w:val="24"/>
                <w:vertAlign w:val="superscript"/>
                <w:lang w:val="en-US"/>
              </w:rPr>
              <w:t xml:space="preserve"> d</w:t>
            </w:r>
          </w:p>
        </w:tc>
        <w:tc>
          <w:tcPr>
            <w:tcW w:w="5670" w:type="dxa"/>
            <w:gridSpan w:val="2"/>
            <w:vAlign w:val="center"/>
          </w:tcPr>
          <w:p w14:paraId="440FD9EA" w14:textId="4500BD89" w:rsidR="007B6C25" w:rsidRPr="00B00338" w:rsidRDefault="007B6C25" w:rsidP="006A4F12">
            <w:pPr>
              <w:pStyle w:val="afff8"/>
              <w:jc w:val="center"/>
              <w:rPr>
                <w:sz w:val="24"/>
              </w:rPr>
            </w:pPr>
            <w:r w:rsidRPr="00B00338">
              <w:rPr>
                <w:sz w:val="24"/>
              </w:rPr>
              <w:t>0</w:t>
            </w:r>
            <w:r w:rsidR="006A4F12">
              <w:rPr>
                <w:sz w:val="24"/>
              </w:rPr>
              <w:t>,</w:t>
            </w:r>
            <w:r w:rsidRPr="00B00338">
              <w:rPr>
                <w:sz w:val="24"/>
              </w:rPr>
              <w:t>1032</w:t>
            </w:r>
          </w:p>
        </w:tc>
      </w:tr>
      <w:tr w:rsidR="007B6C25" w:rsidRPr="00B00338" w14:paraId="6FF02E62" w14:textId="77777777" w:rsidTr="00374B27">
        <w:trPr>
          <w:trHeight w:val="126"/>
        </w:trPr>
        <w:tc>
          <w:tcPr>
            <w:tcW w:w="9351" w:type="dxa"/>
            <w:gridSpan w:val="3"/>
            <w:vAlign w:val="center"/>
          </w:tcPr>
          <w:p w14:paraId="37A5D52F" w14:textId="77777777" w:rsidR="007B6C25" w:rsidRPr="00AE0448" w:rsidRDefault="007B6C25" w:rsidP="006A4F12">
            <w:pPr>
              <w:pStyle w:val="afff8"/>
              <w:jc w:val="left"/>
              <w:rPr>
                <w:b/>
                <w:sz w:val="24"/>
              </w:rPr>
            </w:pPr>
            <w:r w:rsidRPr="00AE0448">
              <w:rPr>
                <w:b/>
                <w:sz w:val="24"/>
              </w:rPr>
              <w:t>Частота объективного ответа</w:t>
            </w:r>
            <w:r w:rsidRPr="00AE0448">
              <w:rPr>
                <w:b/>
                <w:sz w:val="24"/>
                <w:vertAlign w:val="superscript"/>
                <w:lang w:val="en-US"/>
              </w:rPr>
              <w:t>a</w:t>
            </w:r>
          </w:p>
        </w:tc>
      </w:tr>
      <w:tr w:rsidR="007B6C25" w:rsidRPr="00B00338" w14:paraId="30993EBF" w14:textId="77777777" w:rsidTr="00374B27">
        <w:trPr>
          <w:trHeight w:val="549"/>
        </w:trPr>
        <w:tc>
          <w:tcPr>
            <w:tcW w:w="3681" w:type="dxa"/>
          </w:tcPr>
          <w:p w14:paraId="6C305C49" w14:textId="77777777" w:rsidR="007B6C25" w:rsidRPr="00B00338" w:rsidRDefault="007B6C25" w:rsidP="006A4F12">
            <w:pPr>
              <w:pStyle w:val="afff8"/>
              <w:rPr>
                <w:sz w:val="24"/>
              </w:rPr>
            </w:pPr>
            <w:r w:rsidRPr="00B00338">
              <w:rPr>
                <w:sz w:val="24"/>
              </w:rPr>
              <w:t>Количество (%) пациентов с событием</w:t>
            </w:r>
          </w:p>
        </w:tc>
        <w:tc>
          <w:tcPr>
            <w:tcW w:w="2551" w:type="dxa"/>
            <w:vAlign w:val="center"/>
          </w:tcPr>
          <w:p w14:paraId="165151EF" w14:textId="25D37F57" w:rsidR="007B6C25" w:rsidRPr="00B00338" w:rsidRDefault="007B6C25" w:rsidP="006A4F12">
            <w:pPr>
              <w:pStyle w:val="afff8"/>
              <w:jc w:val="center"/>
              <w:rPr>
                <w:sz w:val="24"/>
              </w:rPr>
            </w:pPr>
            <w:r w:rsidRPr="00B00338">
              <w:rPr>
                <w:sz w:val="24"/>
              </w:rPr>
              <w:t>169 (64</w:t>
            </w:r>
            <w:r w:rsidR="006A4F12">
              <w:rPr>
                <w:sz w:val="24"/>
              </w:rPr>
              <w:t>,</w:t>
            </w:r>
            <w:r w:rsidRPr="00B00338">
              <w:rPr>
                <w:sz w:val="24"/>
              </w:rPr>
              <w:t xml:space="preserve">8) </w:t>
            </w:r>
          </w:p>
        </w:tc>
        <w:tc>
          <w:tcPr>
            <w:tcW w:w="3119" w:type="dxa"/>
            <w:vAlign w:val="center"/>
          </w:tcPr>
          <w:p w14:paraId="48C10994" w14:textId="3FB5F648" w:rsidR="007B6C25" w:rsidRPr="00B00338" w:rsidRDefault="00374B27" w:rsidP="006A4F12">
            <w:pPr>
              <w:pStyle w:val="afff8"/>
              <w:jc w:val="center"/>
              <w:rPr>
                <w:sz w:val="24"/>
              </w:rPr>
            </w:pPr>
            <w:r>
              <w:rPr>
                <w:sz w:val="24"/>
              </w:rPr>
              <w:t>2 (1,</w:t>
            </w:r>
            <w:r w:rsidR="007B6C25" w:rsidRPr="00B00338">
              <w:rPr>
                <w:sz w:val="24"/>
              </w:rPr>
              <w:t>5)</w:t>
            </w:r>
          </w:p>
        </w:tc>
      </w:tr>
      <w:tr w:rsidR="007B6C25" w:rsidRPr="00B00338" w14:paraId="19F2A9FB" w14:textId="77777777" w:rsidTr="00374B27">
        <w:trPr>
          <w:trHeight w:val="137"/>
        </w:trPr>
        <w:tc>
          <w:tcPr>
            <w:tcW w:w="3681" w:type="dxa"/>
          </w:tcPr>
          <w:p w14:paraId="0208DFE9" w14:textId="77777777" w:rsidR="007B6C25" w:rsidRPr="00B00338" w:rsidRDefault="007B6C25" w:rsidP="006A4F12">
            <w:pPr>
              <w:pStyle w:val="afff8"/>
              <w:rPr>
                <w:sz w:val="24"/>
              </w:rPr>
            </w:pPr>
            <w:r w:rsidRPr="00B00338">
              <w:rPr>
                <w:sz w:val="24"/>
              </w:rPr>
              <w:t>Полный ответ</w:t>
            </w:r>
          </w:p>
        </w:tc>
        <w:tc>
          <w:tcPr>
            <w:tcW w:w="2551" w:type="dxa"/>
            <w:vAlign w:val="center"/>
          </w:tcPr>
          <w:p w14:paraId="29829BCD" w14:textId="5EF8AF69" w:rsidR="007B6C25" w:rsidRPr="00B00338" w:rsidRDefault="007B6C25" w:rsidP="006A4F12">
            <w:pPr>
              <w:pStyle w:val="afff8"/>
              <w:jc w:val="center"/>
              <w:rPr>
                <w:sz w:val="24"/>
              </w:rPr>
            </w:pPr>
            <w:r w:rsidRPr="00B00338">
              <w:rPr>
                <w:sz w:val="24"/>
              </w:rPr>
              <w:t>4 (1</w:t>
            </w:r>
            <w:r w:rsidR="006A4F12">
              <w:rPr>
                <w:sz w:val="24"/>
              </w:rPr>
              <w:t>,</w:t>
            </w:r>
            <w:r w:rsidRPr="00B00338">
              <w:rPr>
                <w:sz w:val="24"/>
              </w:rPr>
              <w:t>5) %</w:t>
            </w:r>
          </w:p>
        </w:tc>
        <w:tc>
          <w:tcPr>
            <w:tcW w:w="3119" w:type="dxa"/>
            <w:vAlign w:val="center"/>
          </w:tcPr>
          <w:p w14:paraId="129FDD1F" w14:textId="77777777" w:rsidR="007B6C25" w:rsidRPr="00B00338" w:rsidRDefault="007B6C25" w:rsidP="006A4F12">
            <w:pPr>
              <w:pStyle w:val="afff8"/>
              <w:jc w:val="center"/>
              <w:rPr>
                <w:sz w:val="24"/>
              </w:rPr>
            </w:pPr>
            <w:r w:rsidRPr="00B00338">
              <w:rPr>
                <w:sz w:val="24"/>
              </w:rPr>
              <w:t>0</w:t>
            </w:r>
          </w:p>
        </w:tc>
      </w:tr>
      <w:tr w:rsidR="007B6C25" w:rsidRPr="00B00338" w14:paraId="15B9EF97" w14:textId="77777777" w:rsidTr="00374B27">
        <w:trPr>
          <w:trHeight w:val="270"/>
        </w:trPr>
        <w:tc>
          <w:tcPr>
            <w:tcW w:w="3681" w:type="dxa"/>
          </w:tcPr>
          <w:p w14:paraId="0D6FD31C" w14:textId="77777777" w:rsidR="007B6C25" w:rsidRPr="00B00338" w:rsidRDefault="007B6C25" w:rsidP="006A4F12">
            <w:pPr>
              <w:pStyle w:val="afff8"/>
              <w:rPr>
                <w:sz w:val="24"/>
              </w:rPr>
            </w:pPr>
            <w:r w:rsidRPr="00B00338">
              <w:rPr>
                <w:sz w:val="24"/>
              </w:rPr>
              <w:t>Частичный ответ</w:t>
            </w:r>
          </w:p>
        </w:tc>
        <w:tc>
          <w:tcPr>
            <w:tcW w:w="2551" w:type="dxa"/>
            <w:vAlign w:val="center"/>
          </w:tcPr>
          <w:p w14:paraId="1602933F" w14:textId="70A82060" w:rsidR="007B6C25" w:rsidRPr="00B00338" w:rsidRDefault="007B6C25" w:rsidP="006A4F12">
            <w:pPr>
              <w:pStyle w:val="afff8"/>
              <w:jc w:val="center"/>
              <w:rPr>
                <w:sz w:val="24"/>
              </w:rPr>
            </w:pPr>
            <w:r w:rsidRPr="00B00338">
              <w:rPr>
                <w:sz w:val="24"/>
              </w:rPr>
              <w:t>165 (63</w:t>
            </w:r>
            <w:r w:rsidR="006A4F12">
              <w:rPr>
                <w:sz w:val="24"/>
              </w:rPr>
              <w:t>,</w:t>
            </w:r>
            <w:r w:rsidRPr="00B00338">
              <w:rPr>
                <w:sz w:val="24"/>
              </w:rPr>
              <w:t xml:space="preserve">2) </w:t>
            </w:r>
          </w:p>
        </w:tc>
        <w:tc>
          <w:tcPr>
            <w:tcW w:w="3119" w:type="dxa"/>
            <w:vAlign w:val="center"/>
          </w:tcPr>
          <w:p w14:paraId="7BD78298" w14:textId="33359B2D" w:rsidR="007B6C25" w:rsidRPr="00B00338" w:rsidRDefault="007047F7" w:rsidP="006A4F12">
            <w:pPr>
              <w:pStyle w:val="afff8"/>
              <w:jc w:val="center"/>
              <w:rPr>
                <w:sz w:val="24"/>
              </w:rPr>
            </w:pPr>
            <w:r>
              <w:rPr>
                <w:sz w:val="24"/>
              </w:rPr>
              <w:t>2 (1,</w:t>
            </w:r>
            <w:r w:rsidR="007B6C25" w:rsidRPr="00B00338">
              <w:rPr>
                <w:sz w:val="24"/>
              </w:rPr>
              <w:t>5)</w:t>
            </w:r>
          </w:p>
        </w:tc>
      </w:tr>
      <w:tr w:rsidR="007B6C25" w:rsidRPr="00B00338" w14:paraId="11060241" w14:textId="77777777" w:rsidTr="00374B27">
        <w:trPr>
          <w:trHeight w:val="132"/>
        </w:trPr>
        <w:tc>
          <w:tcPr>
            <w:tcW w:w="3681" w:type="dxa"/>
          </w:tcPr>
          <w:p w14:paraId="19293CC3" w14:textId="77777777" w:rsidR="007B6C25" w:rsidRPr="00B00338" w:rsidRDefault="007B6C25" w:rsidP="006A4F12">
            <w:pPr>
              <w:pStyle w:val="afff8"/>
              <w:rPr>
                <w:sz w:val="24"/>
              </w:rPr>
            </w:pPr>
            <w:r w:rsidRPr="00B00338">
              <w:rPr>
                <w:sz w:val="24"/>
                <w:lang w:val="en-US"/>
              </w:rPr>
              <w:t>P</w:t>
            </w:r>
            <w:r w:rsidRPr="00B00338">
              <w:rPr>
                <w:sz w:val="24"/>
              </w:rPr>
              <w:t>-уровень</w:t>
            </w:r>
            <w:r w:rsidRPr="00B00338">
              <w:rPr>
                <w:sz w:val="24"/>
                <w:vertAlign w:val="superscript"/>
                <w:lang w:val="en-US"/>
              </w:rPr>
              <w:t>d</w:t>
            </w:r>
          </w:p>
        </w:tc>
        <w:tc>
          <w:tcPr>
            <w:tcW w:w="5670" w:type="dxa"/>
            <w:gridSpan w:val="2"/>
            <w:vAlign w:val="center"/>
          </w:tcPr>
          <w:p w14:paraId="2D437C58" w14:textId="7886C5BC" w:rsidR="007B6C25" w:rsidRPr="00B00338" w:rsidRDefault="006A4F12" w:rsidP="006A4F12">
            <w:pPr>
              <w:pStyle w:val="afff8"/>
              <w:jc w:val="center"/>
              <w:rPr>
                <w:sz w:val="24"/>
              </w:rPr>
            </w:pPr>
            <w:r>
              <w:rPr>
                <w:sz w:val="24"/>
              </w:rPr>
              <w:t>&lt;0,0001</w:t>
            </w:r>
          </w:p>
        </w:tc>
      </w:tr>
      <w:tr w:rsidR="007B6C25" w:rsidRPr="00B00338" w14:paraId="1485DA61" w14:textId="77777777" w:rsidTr="00374B27">
        <w:trPr>
          <w:trHeight w:val="563"/>
        </w:trPr>
        <w:tc>
          <w:tcPr>
            <w:tcW w:w="9351" w:type="dxa"/>
            <w:gridSpan w:val="3"/>
          </w:tcPr>
          <w:p w14:paraId="51958B8B" w14:textId="08EA1753" w:rsidR="006A4F12" w:rsidRPr="006A4F12" w:rsidRDefault="006A4F12" w:rsidP="006A4F12">
            <w:pPr>
              <w:pStyle w:val="afff8"/>
              <w:rPr>
                <w:b/>
                <w:szCs w:val="20"/>
              </w:rPr>
            </w:pPr>
            <w:r w:rsidRPr="006A4F12">
              <w:rPr>
                <w:b/>
                <w:szCs w:val="20"/>
              </w:rPr>
              <w:t>Примечание:</w:t>
            </w:r>
          </w:p>
          <w:p w14:paraId="2E9139A0" w14:textId="2F5456E0" w:rsidR="007B6C25" w:rsidRPr="006A4F12" w:rsidRDefault="007B6C25" w:rsidP="006A4F12">
            <w:pPr>
              <w:pStyle w:val="afff8"/>
              <w:rPr>
                <w:szCs w:val="20"/>
              </w:rPr>
            </w:pPr>
            <w:r w:rsidRPr="006A4F12">
              <w:rPr>
                <w:szCs w:val="20"/>
                <w:vertAlign w:val="superscript"/>
                <w:lang w:val="en-US"/>
              </w:rPr>
              <w:t>a</w:t>
            </w:r>
            <w:r w:rsidRPr="006A4F12">
              <w:rPr>
                <w:szCs w:val="20"/>
                <w:vertAlign w:val="superscript"/>
              </w:rPr>
              <w:t xml:space="preserve"> </w:t>
            </w:r>
            <w:r w:rsidRPr="006A4F12">
              <w:rPr>
                <w:szCs w:val="20"/>
              </w:rPr>
              <w:t>Независимый радиологический обзор.</w:t>
            </w:r>
          </w:p>
          <w:p w14:paraId="145C89F1" w14:textId="77777777" w:rsidR="007B6C25" w:rsidRPr="006A4F12" w:rsidRDefault="007B6C25" w:rsidP="006A4F12">
            <w:pPr>
              <w:pStyle w:val="afff8"/>
              <w:rPr>
                <w:szCs w:val="20"/>
                <w:vertAlign w:val="superscript"/>
              </w:rPr>
            </w:pPr>
            <w:r w:rsidRPr="006A4F12">
              <w:rPr>
                <w:szCs w:val="20"/>
                <w:vertAlign w:val="superscript"/>
                <w:lang w:val="en-US"/>
              </w:rPr>
              <w:t>b</w:t>
            </w:r>
            <w:r w:rsidRPr="006A4F12">
              <w:rPr>
                <w:szCs w:val="20"/>
                <w:vertAlign w:val="superscript"/>
              </w:rPr>
              <w:t xml:space="preserve"> </w:t>
            </w:r>
            <w:r w:rsidRPr="006A4F12">
              <w:rPr>
                <w:szCs w:val="20"/>
              </w:rPr>
              <w:t>Стратификация по региону (Европа против Северной Америки против Другие регионы), возрастные группы ≤65 лет против &gt;65 лет), предыдущая терапия VEGF/VEGFR таргетная терапия (0 против 1).</w:t>
            </w:r>
          </w:p>
          <w:p w14:paraId="3D249BB9" w14:textId="77777777" w:rsidR="007B6C25" w:rsidRPr="006A4F12" w:rsidRDefault="007B6C25" w:rsidP="006A4F12">
            <w:pPr>
              <w:pStyle w:val="afff8"/>
              <w:rPr>
                <w:szCs w:val="20"/>
              </w:rPr>
            </w:pPr>
            <w:r w:rsidRPr="006A4F12">
              <w:rPr>
                <w:szCs w:val="20"/>
                <w:vertAlign w:val="superscript"/>
              </w:rPr>
              <w:t>с</w:t>
            </w:r>
            <w:r w:rsidRPr="006A4F12">
              <w:rPr>
                <w:szCs w:val="20"/>
              </w:rPr>
              <w:t xml:space="preserve"> Оценено с помощью модели пропорциональных рисков Кокса.</w:t>
            </w:r>
          </w:p>
          <w:p w14:paraId="4076D263" w14:textId="77777777" w:rsidR="007B6C25" w:rsidRPr="006A4F12" w:rsidRDefault="007B6C25" w:rsidP="006A4F12">
            <w:pPr>
              <w:pStyle w:val="afff8"/>
              <w:rPr>
                <w:szCs w:val="20"/>
              </w:rPr>
            </w:pPr>
            <w:r w:rsidRPr="006A4F12">
              <w:rPr>
                <w:szCs w:val="20"/>
                <w:vertAlign w:val="superscript"/>
              </w:rPr>
              <w:t>d</w:t>
            </w:r>
            <w:r w:rsidRPr="006A4F12">
              <w:rPr>
                <w:szCs w:val="20"/>
              </w:rPr>
              <w:t xml:space="preserve"> Без поправки на эффект кроссовера.</w:t>
            </w:r>
          </w:p>
          <w:p w14:paraId="27AF8B75" w14:textId="3B09F2D9" w:rsidR="007B6C25" w:rsidRPr="00642AF1" w:rsidRDefault="007B6C25" w:rsidP="00E36A78">
            <w:r w:rsidRPr="006A4F12">
              <w:rPr>
                <w:sz w:val="20"/>
                <w:szCs w:val="20"/>
              </w:rPr>
              <w:t>ВБП ‒ вы</w:t>
            </w:r>
            <w:r w:rsidR="00E36A78">
              <w:rPr>
                <w:sz w:val="20"/>
                <w:szCs w:val="20"/>
              </w:rPr>
              <w:t xml:space="preserve">живаемость без прогрессирования; ДИ ‒ доверительный интервал; </w:t>
            </w:r>
            <w:r w:rsidRPr="006A4F12">
              <w:rPr>
                <w:szCs w:val="20"/>
              </w:rPr>
              <w:t>ОВ ‒ общая выживаемость.</w:t>
            </w:r>
          </w:p>
        </w:tc>
      </w:tr>
    </w:tbl>
    <w:p w14:paraId="322A6CD1" w14:textId="77777777" w:rsidR="007B6C25" w:rsidRPr="003E6BAA" w:rsidRDefault="007B6C25" w:rsidP="00200EBA">
      <w:pPr>
        <w:rPr>
          <w:b/>
          <w:bCs/>
        </w:rPr>
      </w:pPr>
    </w:p>
    <w:p w14:paraId="02144239" w14:textId="77777777" w:rsidR="00200EBA" w:rsidRPr="003E6BAA" w:rsidRDefault="00200EBA" w:rsidP="00200EBA">
      <w:pPr>
        <w:rPr>
          <w:b/>
          <w:bCs/>
        </w:rPr>
      </w:pPr>
    </w:p>
    <w:p w14:paraId="0A2DB3EB" w14:textId="79DF4A92" w:rsidR="00200EBA" w:rsidRPr="006D4450" w:rsidRDefault="006D4450" w:rsidP="006D4450">
      <w:pPr>
        <w:rPr>
          <w:b/>
          <w:bCs/>
        </w:rPr>
      </w:pPr>
      <w:r>
        <w:rPr>
          <w:b/>
          <w:bCs/>
        </w:rPr>
        <w:br w:type="page"/>
      </w:r>
      <w:r w:rsidR="00D5668B" w:rsidRPr="008A2A30">
        <w:rPr>
          <w:b/>
          <w:bCs/>
        </w:rPr>
        <w:lastRenderedPageBreak/>
        <w:t>Рисунок</w:t>
      </w:r>
      <w:r w:rsidR="00D5668B" w:rsidRPr="00A83E33">
        <w:rPr>
          <w:b/>
          <w:bCs/>
        </w:rPr>
        <w:t xml:space="preserve"> 4-1. </w:t>
      </w:r>
      <w:r w:rsidR="00D5668B" w:rsidRPr="006D4450">
        <w:rPr>
          <w:bCs/>
        </w:rPr>
        <w:t xml:space="preserve">Кривая Каплана-Мейера для оценки выживаемости без прогрессирования в исследовании SELECT </w:t>
      </w:r>
      <w:r w:rsidR="00D5668B" w:rsidRPr="006D4450">
        <w:rPr>
          <w:bCs/>
        </w:rPr>
        <w:fldChar w:fldCharType="begin"/>
      </w:r>
      <w:r w:rsidR="00D5668B" w:rsidRPr="006D4450">
        <w:rPr>
          <w:bCs/>
        </w:rPr>
        <w:instrText xml:space="preserve"> ADDIN ZOTERO_ITEM CSL_CITATION {"citationID":"4pfPlwww","properties":{"formattedCitation":"[22]","plainCitation":"[22]","noteIndex":0},"citationItems":[{"id":2842,"uris":["http://zotero.org/users/5483459/items/BS8P7HWM"],"itemData":{"id":2842,"type":"article-journal","abstract":"BACKGROUND: Lenvatinib, an oral inhibitor of vascular endothelial growth factor receptors 1, 2, and 3, fibroblast growth factor receptors 1 through 4, platelet-derived growth factor receptor α, RET, and KIT, showed clinical activity in a phase 2 study involving patients with differentiated thyroid cancer that was refractory to radioiodine (iodine-131).\nMETHODS: In our phase 3, randomized, double-blind, multicenter study involving patients with progressive thyroid cancer that was refractory to iodine-131, we randomly assigned 261 patients to receive lenvatinib (at a daily dose of 24 mg per day in 28-day cycles) and 131 patients to receive placebo. At the time of disease progression, patients in the placebo group could receive open-label lenvatinib. The primary end point was progression-free survival. Secondary end points included the response rate, overall survival, and safety.\nRESULTS: The median progression-free survival was 18.3 months in the lenvatinib group and 3.6 months in the placebo group (hazard ratio for progression or death, 0.21; 99% confidence interval, 0.14 to 0.31; P&lt;0.001). A progression-free survival benefit associated with lenvatinib was observed in all prespecified subgroups. The response rate was 64.8% in the lenvatinib group (4 complete responses and 165 partial responses) and 1.5% in the placebo group (P&lt;0.001). The median overall survival was not reached in either group. Treatment-related adverse effects of any grade, which occurred in more than 40% of patients in the lenvatinib group, were hypertension (in 67.8% of the patients), diarrhea (in 59.4%), fatigue or asthenia (in 59.0%), decreased appetite (in 50.2%), decreased weight (in 46.4%), and nausea (in 41.0%). Discontinuations of the study drug because of adverse effects occurred in 37 patients who received lenvatinib (14.2%) and 3 patients who received placebo (2.3%). In the lenvatinib group, 6 of 20 deaths that occurred during the treatment period were considered to be drug-related.\nCONCLUSIONS: Lenvatinib, as compared with placebo, was associated with significant improvements in progression-free survival and the response rate among patients with iodine-131-refractory thyroid cancer. Patients who received lenvatinib had more adverse effects. (Funded by Eisai; SELECT ClinicalTrials.gov number, NCT01321554.).","container-title":"The New England Journal of Medicine","DOI":"10.1056/NEJMoa1406470","ISSN":"1533-4406","issue":"7","journalAbbreviation":"N Engl J Med","language":"eng","note":"PMID: 25671254","page":"621-630","source":"PubMed","title":"Lenvatinib versus placebo in radioiodine-refractory thyroid cancer","volume":"372","author":[{"family":"Schlumberger","given":"Martin"},{"family":"Tahara","given":"Makoto"},{"family":"Wirth","given":"Lori J."},{"family":"Robinson","given":"Bruce"},{"family":"Brose","given":"Marcia S."},{"family":"Elisei","given":"Rossella"},{"family":"Habra","given":"Mouhammed Amir"},{"family":"Newbold","given":"Kate"},{"family":"Shah","given":"Manisha H."},{"family":"Hoff","given":"Ana O."},{"family":"Gianoukakis","given":"Andrew G."},{"family":"Kiyota","given":"Naomi"},{"family":"Taylor","given":"Matthew H."},{"family":"Kim","given":"Sung-Bae"},{"family":"Krzyzanowska","given":"Monika K."},{"family":"Dutcus","given":"Corina E."},{"family":"Heras","given":"Begoña","non-dropping-particle":"de las"},{"family":"Zhu","given":"Junming"},{"family":"Sherman","given":"Steven I."}],"issued":{"date-parts":[["2015",2,12]]}}}],"schema":"https://github.com/citation-style-language/schema/raw/master/csl-citation.json"} </w:instrText>
      </w:r>
      <w:r w:rsidR="00D5668B" w:rsidRPr="006D4450">
        <w:rPr>
          <w:bCs/>
        </w:rPr>
        <w:fldChar w:fldCharType="separate"/>
      </w:r>
      <w:r w:rsidR="00D5668B" w:rsidRPr="006D4450">
        <w:t>[22]</w:t>
      </w:r>
      <w:r w:rsidR="00D5668B" w:rsidRPr="006D4450">
        <w:rPr>
          <w:bCs/>
        </w:rPr>
        <w:fldChar w:fldCharType="end"/>
      </w:r>
      <w:r>
        <w:rPr>
          <w:bCs/>
        </w:rPr>
        <w:t>.</w:t>
      </w:r>
    </w:p>
    <w:p w14:paraId="165BE556" w14:textId="77777777" w:rsidR="00200EBA" w:rsidRPr="00577284" w:rsidRDefault="00200EBA" w:rsidP="00200EBA">
      <w:pPr>
        <w:ind w:firstLine="709"/>
        <w:rPr>
          <w:sz w:val="22"/>
          <w:szCs w:val="22"/>
        </w:rPr>
      </w:pPr>
    </w:p>
    <w:p w14:paraId="038A9184" w14:textId="1563F847" w:rsidR="00200EBA" w:rsidRDefault="00200EBA" w:rsidP="006D4450">
      <w:r>
        <w:rPr>
          <w:noProof/>
          <w:lang w:eastAsia="ru-RU"/>
        </w:rPr>
        <w:drawing>
          <wp:inline distT="0" distB="0" distL="0" distR="0" wp14:anchorId="1AE0CF50" wp14:editId="3D7DE796">
            <wp:extent cx="5800725" cy="3200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0725" cy="3200400"/>
                    </a:xfrm>
                    <a:prstGeom prst="rect">
                      <a:avLst/>
                    </a:prstGeom>
                    <a:noFill/>
                    <a:ln>
                      <a:noFill/>
                    </a:ln>
                  </pic:spPr>
                </pic:pic>
              </a:graphicData>
            </a:graphic>
          </wp:inline>
        </w:drawing>
      </w:r>
    </w:p>
    <w:p w14:paraId="4091B0A8" w14:textId="77777777" w:rsidR="006D4450" w:rsidRPr="006D4450" w:rsidRDefault="006D4450" w:rsidP="006D4450">
      <w:pPr>
        <w:pStyle w:val="afff7"/>
        <w:spacing w:before="0" w:after="0"/>
        <w:rPr>
          <w:b/>
        </w:rPr>
      </w:pPr>
      <w:r w:rsidRPr="006D4450">
        <w:rPr>
          <w:b/>
        </w:rPr>
        <w:t>Примечание:</w:t>
      </w:r>
    </w:p>
    <w:p w14:paraId="0C66913D" w14:textId="0E67D637" w:rsidR="00200EBA" w:rsidRPr="008A2A30" w:rsidRDefault="00200EBA" w:rsidP="006D4450">
      <w:pPr>
        <w:pStyle w:val="afff7"/>
        <w:spacing w:before="0" w:after="0"/>
      </w:pPr>
      <w:r>
        <w:t>М</w:t>
      </w:r>
      <w:r w:rsidRPr="00C53A18">
        <w:t xml:space="preserve">едиана выживаемости без прогрессирования составила 18,3 мес в группе ленватиниба и 3,6 мес в группе плацебо (отношение рисков прогрессирования или смерти 0,21; 99% </w:t>
      </w:r>
      <w:r w:rsidR="00171D8A">
        <w:t>ДИ</w:t>
      </w:r>
      <w:r w:rsidRPr="00C53A18">
        <w:t xml:space="preserve"> 0,14–0,31; P&lt;0,001).</w:t>
      </w:r>
    </w:p>
    <w:p w14:paraId="55DE9186" w14:textId="2BE67837" w:rsidR="00200EBA" w:rsidRDefault="00200EBA" w:rsidP="006D4450">
      <w:pPr>
        <w:pStyle w:val="afff7"/>
        <w:spacing w:before="0" w:after="0"/>
      </w:pPr>
      <w:r>
        <w:rPr>
          <w:lang w:val="en-US"/>
        </w:rPr>
        <w:t>CI</w:t>
      </w:r>
      <w:r w:rsidRPr="00A560DE">
        <w:t>–</w:t>
      </w:r>
      <w:r w:rsidR="00171D8A">
        <w:t>доверитк</w:t>
      </w:r>
      <w:r>
        <w:t>льный интервал</w:t>
      </w:r>
    </w:p>
    <w:p w14:paraId="56819CA4" w14:textId="77777777" w:rsidR="00200EBA" w:rsidRDefault="00200EBA" w:rsidP="006D4450">
      <w:pPr>
        <w:pStyle w:val="afff7"/>
        <w:spacing w:before="0" w:after="0"/>
      </w:pPr>
      <w:r w:rsidRPr="00493813">
        <w:rPr>
          <w:lang w:val="en-US"/>
        </w:rPr>
        <w:t>not</w:t>
      </w:r>
      <w:r w:rsidRPr="00A560DE">
        <w:t xml:space="preserve"> </w:t>
      </w:r>
      <w:r w:rsidRPr="00493813">
        <w:rPr>
          <w:lang w:val="en-US"/>
        </w:rPr>
        <w:t>estimable</w:t>
      </w:r>
      <w:r w:rsidRPr="00A560DE">
        <w:t xml:space="preserve"> – </w:t>
      </w:r>
      <w:r>
        <w:t>нет оценки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1"/>
      </w:tblGrid>
      <w:tr w:rsidR="00200EBA" w14:paraId="644CE03D" w14:textId="77777777" w:rsidTr="00A85019">
        <w:tc>
          <w:tcPr>
            <w:tcW w:w="1555" w:type="dxa"/>
          </w:tcPr>
          <w:p w14:paraId="45632D0C" w14:textId="77777777" w:rsidR="00200EBA" w:rsidRDefault="001C5B2C" w:rsidP="006D4450">
            <w:pPr>
              <w:pStyle w:val="afff7"/>
              <w:spacing w:before="0" w:after="0"/>
            </w:pPr>
            <w:r>
              <w:rPr>
                <w:noProof/>
              </w:rPr>
              <w:object w:dxaOrig="630" w:dyaOrig="225" w14:anchorId="38508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5pt;height:13.6pt;mso-width-percent:0;mso-height-percent:0;mso-width-percent:0;mso-height-percent:0" o:ole="">
                  <v:imagedata r:id="rId20" o:title=""/>
                </v:shape>
                <o:OLEObject Type="Embed" ProgID="PBrush" ShapeID="_x0000_i1025" DrawAspect="Content" ObjectID="_1736672555" r:id="rId21"/>
              </w:object>
            </w:r>
          </w:p>
        </w:tc>
        <w:tc>
          <w:tcPr>
            <w:tcW w:w="7791" w:type="dxa"/>
          </w:tcPr>
          <w:p w14:paraId="08C40DAA" w14:textId="77777777" w:rsidR="00200EBA" w:rsidRDefault="00200EBA" w:rsidP="006D4450">
            <w:pPr>
              <w:pStyle w:val="afff7"/>
              <w:spacing w:before="0" w:after="0"/>
            </w:pPr>
            <w:r>
              <w:t>лннватиниб</w:t>
            </w:r>
          </w:p>
        </w:tc>
      </w:tr>
      <w:tr w:rsidR="00200EBA" w14:paraId="6B278AA0" w14:textId="77777777" w:rsidTr="00A85019">
        <w:tc>
          <w:tcPr>
            <w:tcW w:w="1555" w:type="dxa"/>
          </w:tcPr>
          <w:p w14:paraId="744367D0" w14:textId="77777777" w:rsidR="00200EBA" w:rsidRDefault="001C5B2C" w:rsidP="006D4450">
            <w:pPr>
              <w:pStyle w:val="afff7"/>
              <w:spacing w:before="0" w:after="0"/>
            </w:pPr>
            <w:r>
              <w:rPr>
                <w:noProof/>
              </w:rPr>
              <w:object w:dxaOrig="555" w:dyaOrig="195" w14:anchorId="0997E1BD">
                <v:shape id="_x0000_i1026" type="#_x0000_t75" alt="" style="width:28.55pt;height:6.8pt;mso-width-percent:0;mso-height-percent:0;mso-width-percent:0;mso-height-percent:0" o:ole="">
                  <v:imagedata r:id="rId22" o:title=""/>
                </v:shape>
                <o:OLEObject Type="Embed" ProgID="PBrush" ShapeID="_x0000_i1026" DrawAspect="Content" ObjectID="_1736672556" r:id="rId23"/>
              </w:object>
            </w:r>
          </w:p>
        </w:tc>
        <w:tc>
          <w:tcPr>
            <w:tcW w:w="7791" w:type="dxa"/>
          </w:tcPr>
          <w:p w14:paraId="58F286BB" w14:textId="77777777" w:rsidR="00200EBA" w:rsidRDefault="00200EBA" w:rsidP="006D4450">
            <w:pPr>
              <w:pStyle w:val="afff7"/>
              <w:spacing w:before="0" w:after="0"/>
            </w:pPr>
            <w:r>
              <w:t>плацебо</w:t>
            </w:r>
          </w:p>
        </w:tc>
      </w:tr>
    </w:tbl>
    <w:p w14:paraId="66FDFC08" w14:textId="77777777" w:rsidR="00200EBA" w:rsidRPr="00915CC3" w:rsidRDefault="00200EBA" w:rsidP="006D4450">
      <w:pPr>
        <w:pStyle w:val="afff7"/>
        <w:spacing w:before="0" w:after="0"/>
      </w:pPr>
    </w:p>
    <w:p w14:paraId="38BAABED" w14:textId="77777777" w:rsidR="00200EBA" w:rsidRPr="00A5259E" w:rsidRDefault="00200EBA" w:rsidP="00200EBA">
      <w:pPr>
        <w:ind w:firstLine="709"/>
      </w:pPr>
    </w:p>
    <w:p w14:paraId="1B0661DA" w14:textId="6AAE0F22" w:rsidR="00200EBA" w:rsidRDefault="00200EBA" w:rsidP="006D4450">
      <w:pPr>
        <w:ind w:firstLine="709"/>
      </w:pPr>
      <w:r>
        <w:t xml:space="preserve">Статистически значимой разницы в </w:t>
      </w:r>
      <w:r w:rsidR="005D6EC8">
        <w:t>ОВ</w:t>
      </w:r>
      <w:r>
        <w:t xml:space="preserve"> между группами лечения на момент первично</w:t>
      </w:r>
      <w:r w:rsidR="001F3E81">
        <w:t>го</w:t>
      </w:r>
      <w:r>
        <w:t xml:space="preserve"> анализ</w:t>
      </w:r>
      <w:r w:rsidR="001F3E81">
        <w:t>а</w:t>
      </w:r>
      <w:r>
        <w:t xml:space="preserve"> эффективности не было (</w:t>
      </w:r>
      <w:r w:rsidR="005D3655">
        <w:t xml:space="preserve">отошение рисков </w:t>
      </w:r>
      <w:r w:rsidR="00C20C5C">
        <w:t>(</w:t>
      </w:r>
      <w:r w:rsidR="005D3655">
        <w:rPr>
          <w:lang w:val="en-US"/>
        </w:rPr>
        <w:t>HR</w:t>
      </w:r>
      <w:r w:rsidR="00C20C5C">
        <w:t>)</w:t>
      </w:r>
      <w:r>
        <w:t>=0,73; 95% ДИ: 0,50, 1,07, р = 0,1032). Медиана ОВ не была достигнут</w:t>
      </w:r>
      <w:r w:rsidR="007C7530">
        <w:t>а</w:t>
      </w:r>
      <w:r>
        <w:t xml:space="preserve"> ни в группе ленватиниба, ни в группе плацебо </w:t>
      </w:r>
      <w:r>
        <w:fldChar w:fldCharType="begin"/>
      </w:r>
      <w:r>
        <w:instrText xml:space="preserve"> ADDIN ZOTERO_ITEM CSL_CITATION {"citationID":"dBCQmTfF","properties":{"formattedCitation":"[21,22]","plainCitation":"[21,22]","noteIndex":0},"citationItems":[{"id":2845,"uris":["http://zotero.org/users/5483459/items/C3FRYEZ3"],"itemData":{"id":2845,"type":"article-journal","abstract":"CONTEXT: Lenvatinib improved the progression-free survival (PFS) and overall response rate of patients with radioiodine-refractory differentiated thyroid cancer vs placebo in the Phase 3 Study of (E7080) Lenvatinib in Differentiated Cancer of the Thyroid (SELECT).\nOBJECTIVE: The objective of the study was to characterize tumor size changes with lenvatinib treatment.\nDESIGN: SELECT was a phase 3, randomized, double-blind, multicenter study.\nSETTING: In this clinical trial, tumor assessments of lenvatinib (n = 261) and placebo-treated (n = 131) patients were performed by independent radiological review per Response Evaluation Criteria in Solid Tumors version, 1.1 at 8-week intervals.\nPATIENTS: Patients with complete or partial response were defined as responders to lenvatinib (n = 169). Of the 92 nonresponders, 76 had at least one postbaseline tumor assessment and were included in this analysis.\nINTERVENTIONS: Lenvatinib (24 mg once daily) or placebo in 28-day cycles until unacceptable toxicity, disease progression, or death.\nMAIN OUTCOME MEASURES: This was an exploratory analysis of key end points from SELECT, including PFS, overall response rate, and tumor reduction.\nRESULTS: The median maximum percentage change in tumor size was -42.9% for patients receiving lenvatinib (responders, -51.9%; nonresponders, -20.2%). Tumor size reduction was most pronounced at first assessment (median, -24.7% at 8 wk after randomization); thereafter, the rate of change was slower but continuous (-1.3% per mo). In a multivariate model, percentage change in tumor size at the first assessment was a marginally significant positive predictor for PFS (P = .06).\nCONCLUSIONS: The change in tumor size conferred by lenvatinib was characterized by two phases: an initial, rapid decline, followed by slower, continuous shrinkage.","container-title":"The Journal of Clinical Endocrinology and Metabolism","DOI":"10.1210/jc.2015-3989","ISSN":"1945-7197","issue":"11","journalAbbreviation":"J Clin Endocrinol Metab","language":"eng","note":"PMID: 27548104\nPMCID: PMC5095235","page":"4103-4109","source":"PubMed","title":"Characterization of Tumor Size Changes Over Time From the Phase 3 Study of Lenvatinib in Thyroid Cancer","volume":"101","author":[{"family":"Robinson","given":"Bruce"},{"family":"Schlumberger","given":"Martin"},{"family":"Wirth","given":"Lori J."},{"family":"Dutcus","given":"Corina E."},{"family":"Song","given":"James"},{"family":"Taylor","given":"Matthew H."},{"family":"Kim","given":"Sung-Bae"},{"family":"Krzyzanowska","given":"Monika K."},{"family":"Capdevila","given":"Jaume"},{"family":"Sherman","given":"Steven I."},{"family":"Tahara","given":"Makoto"}],"issued":{"date-parts":[["2016",11]]}},"label":"page"},{"id":2842,"uris":["http://zotero.org/users/5483459/items/BS8P7HWM"],"itemData":{"id":2842,"type":"article-journal","abstract":"BACKGROUND: Lenvatinib, an oral inhibitor of vascular endothelial growth factor receptors 1, 2, and 3, fibroblast growth factor receptors 1 through 4, platelet-derived growth factor receptor α, RET, and KIT, showed clinical activity in a phase 2 study involving patients with differentiated thyroid cancer that was refractory to radioiodine (iodine-131).\nMETHODS: In our phase 3, randomized, double-blind, multicenter study involving patients with progressive thyroid cancer that was refractory to iodine-131, we randomly assigned 261 patients to receive lenvatinib (at a daily dose of 24 mg per day in 28-day cycles) and 131 patients to receive placebo. At the time of disease progression, patients in the placebo group could receive open-label lenvatinib. The primary end point was progression-free survival. Secondary end points included the response rate, overall survival, and safety.\nRESULTS: The median progression-free survival was 18.3 months in the lenvatinib group and 3.6 months in the placebo group (hazard ratio for progression or death, 0.21; 99% confidence interval, 0.14 to 0.31; P&lt;0.001). A progression-free survival benefit associated with lenvatinib was observed in all prespecified subgroups. The response rate was 64.8% in the lenvatinib group (4 complete responses and 165 partial responses) and 1.5% in the placebo group (P&lt;0.001). The median overall survival was not reached in either group. Treatment-related adverse effects of any grade, which occurred in more than 40% of patients in the lenvatinib group, were hypertension (in 67.8% of the patients), diarrhea (in 59.4%), fatigue or asthenia (in 59.0%), decreased appetite (in 50.2%), decreased weight (in 46.4%), and nausea (in 41.0%). Discontinuations of the study drug because of adverse effects occurred in 37 patients who received lenvatinib (14.2%) and 3 patients who received placebo (2.3%). In the lenvatinib group, 6 of 20 deaths that occurred during the treatment period were considered to be drug-related.\nCONCLUSIONS: Lenvatinib, as compared with placebo, was associated with significant improvements in progression-free survival and the response rate among patients with iodine-131-refractory thyroid cancer. Patients who received lenvatinib had more adverse effects. (Funded by Eisai; SELECT ClinicalTrials.gov number, NCT01321554.).","container-title":"The New England Journal of Medicine","DOI":"10.1056/NEJMoa1406470","ISSN":"1533-4406","issue":"7","journalAbbreviation":"N Engl J Med","language":"eng","note":"PMID: 25671254","page":"621-630","source":"PubMed","title":"Lenvatinib versus placebo in radioiodine-refractory thyroid cancer","volume":"372","author":[{"family":"Schlumberger","given":"Martin"},{"family":"Tahara","given":"Makoto"},{"family":"Wirth","given":"Lori J."},{"family":"Robinson","given":"Bruce"},{"family":"Brose","given":"Marcia S."},{"family":"Elisei","given":"Rossella"},{"family":"Habra","given":"Mouhammed Amir"},{"family":"Newbold","given":"Kate"},{"family":"Shah","given":"Manisha H."},{"family":"Hoff","given":"Ana O."},{"family":"Gianoukakis","given":"Andrew G."},{"family":"Kiyota","given":"Naomi"},{"family":"Taylor","given":"Matthew H."},{"family":"Kim","given":"Sung-Bae"},{"family":"Krzyzanowska","given":"Monika K."},{"family":"Dutcus","given":"Corina E."},{"family":"Heras","given":"Begoña","non-dropping-particle":"de las"},{"family":"Zhu","given":"Junming"},{"family":"Sherman","given":"Steven I."}],"issued":{"date-parts":[["2015",2,12]]}},"label":"page"}],"schema":"https://github.com/citation-style-language/schema/raw/master/csl-citation.json"} </w:instrText>
      </w:r>
      <w:r>
        <w:fldChar w:fldCharType="separate"/>
      </w:r>
      <w:r w:rsidRPr="00852090">
        <w:t>[21,22]</w:t>
      </w:r>
      <w:r>
        <w:fldChar w:fldCharType="end"/>
      </w:r>
      <w:r w:rsidR="006D4450">
        <w:t>.</w:t>
      </w:r>
    </w:p>
    <w:p w14:paraId="5EE4A350" w14:textId="3A35B60C" w:rsidR="00200EBA" w:rsidRPr="00F601F5" w:rsidRDefault="00585D6B" w:rsidP="00C22830">
      <w:pPr>
        <w:pStyle w:val="4"/>
        <w:rPr>
          <w:rFonts w:ascii="Times New Roman" w:hAnsi="Times New Roman"/>
          <w:sz w:val="24"/>
          <w:szCs w:val="24"/>
        </w:rPr>
      </w:pPr>
      <w:bookmarkStart w:id="219" w:name="_Toc126059759"/>
      <w:r w:rsidRPr="00F601F5">
        <w:rPr>
          <w:rFonts w:ascii="Times New Roman" w:hAnsi="Times New Roman"/>
          <w:sz w:val="24"/>
          <w:szCs w:val="24"/>
        </w:rPr>
        <w:t>4.3.1.2.</w:t>
      </w:r>
      <w:r w:rsidR="00F601F5" w:rsidRPr="005F12B8">
        <w:rPr>
          <w:rFonts w:ascii="Times New Roman" w:hAnsi="Times New Roman"/>
          <w:sz w:val="24"/>
          <w:szCs w:val="24"/>
        </w:rPr>
        <w:t xml:space="preserve"> </w:t>
      </w:r>
      <w:r w:rsidR="00200EBA" w:rsidRPr="00F601F5">
        <w:rPr>
          <w:rFonts w:ascii="Times New Roman" w:hAnsi="Times New Roman"/>
          <w:sz w:val="24"/>
          <w:szCs w:val="24"/>
        </w:rPr>
        <w:t>Гепатоцеллюлярный рак</w:t>
      </w:r>
      <w:bookmarkEnd w:id="219"/>
    </w:p>
    <w:p w14:paraId="67CDA724" w14:textId="77777777" w:rsidR="006D4450" w:rsidRDefault="006D4450" w:rsidP="00200EBA">
      <w:pPr>
        <w:ind w:firstLine="709"/>
      </w:pPr>
      <w:bookmarkStart w:id="220" w:name="_Hlk118211607"/>
    </w:p>
    <w:p w14:paraId="045A19F8" w14:textId="695B1F53" w:rsidR="00200EBA" w:rsidRDefault="00200EBA" w:rsidP="00200EBA">
      <w:pPr>
        <w:ind w:firstLine="709"/>
      </w:pPr>
      <w:r w:rsidRPr="00AA676B">
        <w:t xml:space="preserve">Исследование </w:t>
      </w:r>
      <w:r>
        <w:t>REFLECT</w:t>
      </w:r>
      <w:r w:rsidR="00C20C5C">
        <w:t xml:space="preserve"> </w:t>
      </w:r>
      <w:r w:rsidR="00C20C5C" w:rsidRPr="00C20C5C">
        <w:t>‒</w:t>
      </w:r>
      <w:r w:rsidRPr="00AA676B">
        <w:t xml:space="preserve"> </w:t>
      </w:r>
      <w:r>
        <w:t xml:space="preserve">регистрационное исследование </w:t>
      </w:r>
      <w:r w:rsidR="009F7EED">
        <w:rPr>
          <w:lang w:val="en-US"/>
        </w:rPr>
        <w:t>III</w:t>
      </w:r>
      <w:r>
        <w:t xml:space="preserve"> фазы, международное многоцентровое открытое рандомизированное исследование у пациентов с нерезектабельной ГЦК.</w:t>
      </w:r>
    </w:p>
    <w:p w14:paraId="0FA2F3C6" w14:textId="1ED5244A" w:rsidR="00200EBA" w:rsidRDefault="00200EBA" w:rsidP="00200EBA">
      <w:pPr>
        <w:ind w:firstLine="709"/>
      </w:pPr>
      <w:r>
        <w:t>В общей сложности 954 пациента были рандомизированы в соотношении 1:1 для получения либо ленватиниба (12 мг [исходная масса тела ≥60 кг] или 8 мг [исходная масса тела &lt;60 кг]) перорально один раз в день или сорафениб 400 мг перорально два раза в день. Пациентов включали в исследование, если они имели статус функции печени класса А по Чайлд</w:t>
      </w:r>
      <w:r w:rsidR="007C7530" w:rsidRPr="007C7530">
        <w:t>‒</w:t>
      </w:r>
      <w:r>
        <w:t xml:space="preserve">Пью и баллы по ECOG 0 или 1. Пациенты не включались в исследование, если у них ранее проводилась системная противораковая терапия по поводу прогрессирующего/нерезектабельного ГЦК или какая-либо предшествующая анти-VEGF терапия. </w:t>
      </w:r>
    </w:p>
    <w:p w14:paraId="796E9AA3" w14:textId="6BB032AA" w:rsidR="00200EBA" w:rsidRPr="00577284" w:rsidRDefault="00200EBA" w:rsidP="00200EBA">
      <w:pPr>
        <w:ind w:firstLine="709"/>
      </w:pPr>
      <w:bookmarkStart w:id="221" w:name="_Hlk118211583"/>
      <w:bookmarkEnd w:id="220"/>
      <w:r>
        <w:lastRenderedPageBreak/>
        <w:t xml:space="preserve">Первичной конечной точкой эффективности </w:t>
      </w:r>
      <w:r w:rsidR="00C5633A">
        <w:t xml:space="preserve">была </w:t>
      </w:r>
      <w:r w:rsidR="004F5D8D">
        <w:t>ОВ</w:t>
      </w:r>
      <w:r>
        <w:t xml:space="preserve">. Было выяснено, что ленватиниб не уступал по эффективности сорафенибу с </w:t>
      </w:r>
      <w:r>
        <w:rPr>
          <w:lang w:val="en-US"/>
        </w:rPr>
        <w:t>HR</w:t>
      </w:r>
      <w:r>
        <w:t xml:space="preserve"> = 0,92 [95% ДИ (0,79, 1,06)] и медианой </w:t>
      </w:r>
      <w:r w:rsidR="005D3655">
        <w:t>ОВ</w:t>
      </w:r>
      <w:r w:rsidR="005D3655" w:rsidDel="005D3655">
        <w:t xml:space="preserve"> </w:t>
      </w:r>
      <w:r>
        <w:t xml:space="preserve">13,6 месяцев против 12,3 месяцев </w:t>
      </w:r>
      <w:r>
        <w:fldChar w:fldCharType="begin"/>
      </w:r>
      <w:r>
        <w:instrText xml:space="preserve"> ADDIN ZOTERO_ITEM CSL_CITATION {"citationID":"DcN704hm","properties":{"formattedCitation":"[2,23\\uc0\\u8211{}25]","plainCitation":"[2,23–25]","noteIndex":0},"citationItems":[{"id":2745,"uris":["http://zotero.org/users/5483459/items/95XEZDWJ"],"itemData":{"id":2745,"type":"document","title":"European  Medicines Agency. SUMMARY OF PRODUCT CHARACTERISTICS. LENVIMA 4 mg, 10 mg hard capsules.26.11.2021"},"label":"page"},{"id":2854,"uris":["http://zotero.org/users/5483459/items/CWATTWWG"],"itemData":{"id":2854,"type":"article-journal","abstract":"BACKGROUND: A phase 3, multinational, randomized, non-inferiority trial (REFLECT) compared the efficacy and safety of lenvatinib (LEN) and sorafenib (SOR) in patients with unresectable hepatocellular carcinoma (uHCC). LEN had an effect on overall survival (OS) compared to SOR, statistically confirmed by non-inferiority [OS: median = 13.6 months vs. 12.3 months; hazard ratio (HR) 0.92, 95% confidence interval (CI) 0.79-1.06], and demonstrated statistically significant improvements in progression-free survival (PFS) and the objective response rate (ORR) in the overall population. The results of a subset analysis that evaluated the efficacy and safety of LEN and SOR in the Japanese population are reported.\nMETHODS: The intent-to-treat population enrolled in Japan was analyzed.\nRESULTS: Of 954 patients in the overall population, 168 Japanese patients were assigned to the LEN arm (N = 81) or the SOR arm (N = 87). Median OS was 17.6 months for LEN vs. 17.8 months for SOR (HR 0.90; 95% CI 0.62-1.29). LEN showed statistically significant improvements over SOR in PFS (7.2 months vs. 4.6 months) and ORR (29.6% vs. 6.9%). The relative dose intensity of LEN and SOR in the Japanese population was lower than in the overall population. Frequently observed, related adverse events included palmar-plantar erythrodysaesthesia syndrome (PPES), hypertension, decreased appetite, and proteinuria in the LEN arm, and PPES, hypertension, diarrhea, and alopecia in the SOR arm.\nCONCLUSIONS: The efficacy and safety of LEN in the Japanese population were similar to those in the overall population of REFLECT. With manageable adverse events, LEN is a new treatment option for Japanese patients with uHCC.\nTRIAL REGISTRATION ID: ClinicalTrials.gov. No. NCT01761266.","container-title":"Journal of Gastroenterology","DOI":"10.1007/s00535-019-01642-1","ISSN":"1435-5922","issue":"1","journalAbbreviation":"J Gastroenterol","language":"eng","note":"PMID: 31720835\nPMCID: PMC6942573","page":"113-122","source":"PubMed","title":"REFLECT-a phase 3 trial comparing efficacy and safety of lenvatinib to sorafenib for the treatment of unresectable hepatocellular carcinoma: an analysis of Japanese subset","title-short":"REFLECT-a phase 3 trial comparing efficacy and safety of lenvatinib to sorafenib for the treatment of unresectable hepatocellular carcinoma","volume":"55","author":[{"family":"Yamashita","given":"Tatsuya"},{"family":"Kudo","given":"Masatoshi"},{"family":"Ikeda","given":"Kenji"},{"family":"Izumi","given":"Namiki"},{"family":"Tateishi","given":"Ryosuke"},{"family":"Ikeda","given":"Masafumi"},{"family":"Aikata","given":"Hiroshi"},{"family":"Kawaguchi","given":"Yasunori"},{"family":"Wada","given":"Yoshiyuki"},{"family":"Numata","given":"Kazushi"},{"family":"Inaba","given":"Yoshitaka"},{"family":"Kuromatsu","given":"Ryoko"},{"family":"Kobayashi","given":"Masahiro"},{"family":"Okusaka","given":"Takuji"},{"family":"Tamai","given":"Toshiyuki"},{"family":"Kitamura","given":"Chifumi"},{"family":"Saito","given":"Kenichi"},{"family":"Haruna","given":"Katsuya"},{"family":"Okita","given":"Kiwamu"},{"family":"Kumada","given":"Hiromitsu"}],"issued":{"date-parts":[["2020",1]]}},"label":"page"},{"id":2848,"uris":["http://zotero.org/users/5483459/items/UTA5FNBV"],"itemData":{"id":2848,"type":"article-journal","abstract":"BACKGROUND: In a phase 2 trial, lenvatinib, an inhibitor of VEGF receptors 1-3, FGF receptors 1-4, PDGF receptor α, RET, and KIT, showed activity in hepatocellular carcinoma. We aimed to compare overall survival in patients treated with lenvatinib versus sorafenib as a first-line treatment for unresectable hepatocellular carcinoma.\nMETHODS: This was an open-label, phase 3, multicentre, non-inferiority trial that recruited patients with unresectable hepatocellular carcinoma, who had not received treatment for advanced disease, at 154 sites in 20 countries throughout the Asia-Pacific, European, and North American regions. Patients were randomly assigned (1:1) via an interactive voice-web response system-with region; macroscopic portal vein invasion, extrahepatic spread, or both; Eastern Cooperative Oncology Group performance status; and bodyweight as stratification factors-to receive oral lenvatinib (12 mg/day for bodyweight ≥60 kg or 8 mg/day for bodyweight &lt;60 kg) or sorafenib 400 mg twice-daily in 28-day cycles. The primary endpoint was overall survival, measured from the date of randomisation until the date of death from any cause. The efficacy analysis followed the intention-to-treat principle, and only patients who received treatment were included in the safety analysis. The non-inferiority margin was set at 1·08. The trial is registered with ClinicalTrials.gov, number NCT01761266.\nFINDINGS: Between March 1, 2013 and July 30, 2015, 1492 patients were recruited. 954 eligible patients were randomly assigned to lenvatinib (n=478) or sorafenib (n=476). Median survival time for lenvatinib of 13·6 months (95% CI 12·1-14·9) was non-inferior to sorafenib (12·3 months, 10·4-13·9; hazard ratio 0·92, 95% CI 0·79-1·06), meeting criteria for non-inferiority. The most common any-grade adverse events were hypertension (201 [42%]), diarrhoea (184 [39%]), decreased appetite (162 [34%]), and decreased weight (147 [31%]) for lenvatinib, and palmar-plantar erythrodysaesthesia (249 [52%]), diarrhoea (220 [46%]), hypertension (144 [30%]), and decreased appetite (127 [27%]) for sorafenib.\nINTERPRETATION: Lenvatinib was non-inferior to sorafenib in overall survival in untreated advanced hepatocellular carcinoma. The safety and tolerability profiles of lenvatinib were consistent with those previously observed.\nFUNDING: Eisai Inc.","container-title":"Lancet (London, England)","DOI":"10.1016/S0140-6736(18)30207-1","ISSN":"1474-547X","issue":"10126","journalAbbreviation":"Lancet","language":"eng","note":"PMID: 29433850","page":"1163-1173","source":"PubMed","title":"Lenvatinib versus sorafenib in first-line treatment of patients with unresectable hepatocellular carcinoma: a randomised phase 3 non-inferiority trial","title-short":"Lenvatinib versus sorafenib in first-line treatment of patients with unresectable hepatocellular carcinoma","volume":"391","author":[{"family":"Kudo","given":"Masatoshi"},{"family":"Finn","given":"Richard S."},{"family":"Qin","given":"Shukui"},{"family":"Han","given":"Kwang-Hyub"},{"family":"Ikeda","given":"Kenji"},{"family":"Piscaglia","given":"Fabio"},{"family":"Baron","given":"Ari"},{"family":"Park","given":"Joong-Won"},{"family":"Han","given":"Guohong"},{"family":"Jassem","given":"Jacek"},{"family":"Blanc","given":"Jean Frederic"},{"family":"Vogel","given":"Arndt"},{"family":"Komov","given":"Dmitry"},{"family":"Evans","given":"T. R. Jeffry"},{"family":"Lopez","given":"Carlos"},{"family":"Dutcus","given":"Corina"},{"family":"Guo","given":"Matthew"},{"family":"Saito","given":"Kenichi"},{"family":"Kraljevic","given":"Silvija"},{"family":"Tamai","given":"Toshiyuki"},{"family":"Ren","given":"Min"},{"family":"Cheng","given":"Ann-Lii"}],"issued":{"date-parts":[["2018",3,24]]}},"label":"page"},{"id":2851,"uris":["http://zotero.org/users/5483459/items/NGX4GXTK"],"itemData":{"id":2851,"type":"article-journal","abstract":"BACKGROUND: Proteinuria monitoring is required in patients receiving lenvatinib, however, current methodology involves burdensome overnight urine collection.\nMETHODS: To determine whether the simpler urine protein:creatinine ratio (UPCR) calculated from spot urine samples could be accurately used for proteinuria monitoring in patients receiving lenvatinib, we evaluated the correlation between UPCR and 24-hour urine protein results from the phase 3 REFLECT study. Paired data (323 tests, 154 patients) were analysed.\nRESULTS: Regression analysis showed a statistically significant correlation between UPCR and 24-hour urine protein (R2: 0.75; P &lt; 2 × 10-16). A UPCR cut-off value of 2.4 had 96.9% sensitivity, 82.5% specificity for delineating between grade 2 and 3 proteinuria. Using this UPCR cut-off value to determine the need for further testing could reduce the need for 24-hour urine collection in ~74% of patients.\nCONCLUSION: Incorporation of UPCR into the current algorithm for proteinuria management can enable optimisation of lenvatinib treatment, while minimising patient inconvenience.\nCLINICAL TRIAL REGISTRATION: NCT01761266.","container-title":"British Journal of Cancer","DOI":"10.1038/s41416-019-0506-6","ISSN":"1532-1827","issue":"3","journalAbbreviation":"Br J Cancer","language":"eng","note":"PMID: 31249394\nPMCID: PMC6738107","page":"218-221","source":"PubMed","title":"Urine protein:creatinine ratio vs 24-hour urine protein for proteinuria management: analysis from the phase 3 REFLECT study of lenvatinib vs sorafenib in hepatocellular carcinoma","title-short":"Urine protein","volume":"121","author":[{"family":"Evans","given":"Thomas R. Jeffry"},{"family":"Kudo","given":"Masatoshi"},{"family":"Finn","given":"Richard S."},{"family":"Han","given":"Kwang-Hyub"},{"family":"Cheng","given":"Ann-Lii"},{"family":"Ikeda","given":"Masafumi"},{"family":"Kraljevic","given":"Silvija"},{"family":"Ren","given":"Min"},{"family":"Dutcus","given":"Corina E."},{"family":"Piscaglia","given":"Fabio"},{"family":"Sung","given":"Max W."}],"issued":{"date-parts":[["2019",7]]}},"label":"page"}],"schema":"https://github.com/citation-style-language/schema/raw/master/csl-citation.json"} </w:instrText>
      </w:r>
      <w:r>
        <w:fldChar w:fldCharType="separate"/>
      </w:r>
      <w:r w:rsidRPr="00852090">
        <w:t>[2,23–25]</w:t>
      </w:r>
      <w:r>
        <w:fldChar w:fldCharType="end"/>
      </w:r>
      <w:r>
        <w:t xml:space="preserve">. </w:t>
      </w:r>
      <w:bookmarkEnd w:id="221"/>
      <w:r>
        <w:t>Основные результаты исследования представлены в таблице 4-</w:t>
      </w:r>
      <w:r w:rsidR="00046149">
        <w:t>3</w:t>
      </w:r>
      <w:r>
        <w:t>.</w:t>
      </w:r>
    </w:p>
    <w:p w14:paraId="5E8650F4" w14:textId="77777777" w:rsidR="006D4450" w:rsidRDefault="006D4450" w:rsidP="006D4450">
      <w:pPr>
        <w:rPr>
          <w:b/>
          <w:bCs/>
        </w:rPr>
      </w:pPr>
    </w:p>
    <w:p w14:paraId="29456BAB" w14:textId="773DC7CF" w:rsidR="00200EBA" w:rsidRPr="006D4450" w:rsidRDefault="00200EBA" w:rsidP="006D4450">
      <w:pPr>
        <w:rPr>
          <w:bCs/>
        </w:rPr>
      </w:pPr>
      <w:r w:rsidRPr="00DA42A3">
        <w:rPr>
          <w:b/>
          <w:bCs/>
        </w:rPr>
        <w:t>Таблица 4-</w:t>
      </w:r>
      <w:r w:rsidR="00046149">
        <w:rPr>
          <w:b/>
          <w:bCs/>
        </w:rPr>
        <w:t>3</w:t>
      </w:r>
      <w:r w:rsidR="006D4450">
        <w:rPr>
          <w:b/>
          <w:bCs/>
        </w:rPr>
        <w:t>.</w:t>
      </w:r>
      <w:r>
        <w:rPr>
          <w:b/>
          <w:bCs/>
        </w:rPr>
        <w:t xml:space="preserve"> </w:t>
      </w:r>
      <w:r w:rsidRPr="006D4450">
        <w:rPr>
          <w:bCs/>
        </w:rPr>
        <w:t xml:space="preserve">Результаты эффективности исследования REFLECT у больных с </w:t>
      </w:r>
      <w:r w:rsidR="006C7E4D" w:rsidRPr="006D4450">
        <w:rPr>
          <w:bCs/>
        </w:rPr>
        <w:t>ГЦР</w:t>
      </w:r>
      <w:r w:rsidRPr="006D4450">
        <w:rPr>
          <w:bCs/>
        </w:rPr>
        <w:t xml:space="preserve"> печени </w:t>
      </w:r>
      <w:r w:rsidRPr="006D4450">
        <w:rPr>
          <w:bCs/>
        </w:rPr>
        <w:fldChar w:fldCharType="begin"/>
      </w:r>
      <w:r w:rsidRPr="006D4450">
        <w:rPr>
          <w:bCs/>
        </w:rPr>
        <w:instrText xml:space="preserve"> ADDIN ZOTERO_ITEM CSL_CITATION {"citationID":"z4O7uDXl","properties":{"formattedCitation":"[2]","plainCitation":"[2]","noteIndex":0},"citationItems":[{"id":2745,"uris":["http://zotero.org/users/5483459/items/95XEZDWJ"],"itemData":{"id":2745,"type":"document","title":"European  Medicines Agency. SUMMARY OF PRODUCT CHARACTERISTICS. LENVIMA 4 mg, 10 mg hard capsules.26.11.2021"}}],"schema":"https://github.com/citation-style-language/schema/raw/master/csl-citation.json"} </w:instrText>
      </w:r>
      <w:r w:rsidRPr="006D4450">
        <w:rPr>
          <w:bCs/>
        </w:rPr>
        <w:fldChar w:fldCharType="separate"/>
      </w:r>
      <w:r w:rsidRPr="006D4450">
        <w:t>[2]</w:t>
      </w:r>
      <w:r w:rsidRPr="006D4450">
        <w:rPr>
          <w:bCs/>
        </w:rPr>
        <w:fldChar w:fldCharType="end"/>
      </w:r>
      <w:r w:rsidRPr="006D4450">
        <w:rPr>
          <w:bCs/>
        </w:rPr>
        <w:t>.</w:t>
      </w:r>
    </w:p>
    <w:tbl>
      <w:tblPr>
        <w:tblStyle w:val="a8"/>
        <w:tblW w:w="0" w:type="auto"/>
        <w:tblLook w:val="04A0" w:firstRow="1" w:lastRow="0" w:firstColumn="1" w:lastColumn="0" w:noHBand="0" w:noVBand="1"/>
      </w:tblPr>
      <w:tblGrid>
        <w:gridCol w:w="2122"/>
        <w:gridCol w:w="1842"/>
        <w:gridCol w:w="1560"/>
        <w:gridCol w:w="1984"/>
        <w:gridCol w:w="1838"/>
      </w:tblGrid>
      <w:tr w:rsidR="00200EBA" w14:paraId="254CFDBA" w14:textId="77777777" w:rsidTr="0054382D">
        <w:trPr>
          <w:trHeight w:val="64"/>
        </w:trPr>
        <w:tc>
          <w:tcPr>
            <w:tcW w:w="2122" w:type="dxa"/>
            <w:vMerge w:val="restart"/>
            <w:shd w:val="clear" w:color="auto" w:fill="D9D9D9" w:themeFill="background1" w:themeFillShade="D9"/>
            <w:vAlign w:val="center"/>
          </w:tcPr>
          <w:p w14:paraId="6740568F" w14:textId="77777777" w:rsidR="00200EBA" w:rsidRPr="002464F8" w:rsidRDefault="00200EBA" w:rsidP="00D050C7">
            <w:pPr>
              <w:jc w:val="center"/>
              <w:rPr>
                <w:b/>
                <w:bCs/>
              </w:rPr>
            </w:pPr>
            <w:r w:rsidRPr="002464F8">
              <w:rPr>
                <w:b/>
                <w:bCs/>
              </w:rPr>
              <w:t>Критерии эффективности</w:t>
            </w:r>
          </w:p>
        </w:tc>
        <w:tc>
          <w:tcPr>
            <w:tcW w:w="1842" w:type="dxa"/>
            <w:vMerge w:val="restart"/>
            <w:shd w:val="clear" w:color="auto" w:fill="D9D9D9" w:themeFill="background1" w:themeFillShade="D9"/>
            <w:vAlign w:val="center"/>
          </w:tcPr>
          <w:p w14:paraId="2A45AB2E" w14:textId="77777777" w:rsidR="00200EBA" w:rsidRPr="00DE6F2C" w:rsidRDefault="00200EBA" w:rsidP="00D050C7">
            <w:pPr>
              <w:jc w:val="center"/>
              <w:rPr>
                <w:b/>
                <w:bCs/>
              </w:rPr>
            </w:pPr>
            <w:r w:rsidRPr="002464F8">
              <w:rPr>
                <w:b/>
                <w:bCs/>
              </w:rPr>
              <w:t>Отношение рисков (ДИ 95%)</w:t>
            </w:r>
            <w:r w:rsidRPr="00DE6F2C">
              <w:rPr>
                <w:b/>
                <w:bCs/>
                <w:vertAlign w:val="superscript"/>
                <w:lang w:val="en-US"/>
              </w:rPr>
              <w:t>a</w:t>
            </w:r>
            <w:r w:rsidRPr="00DE6F2C">
              <w:rPr>
                <w:b/>
                <w:bCs/>
                <w:vertAlign w:val="superscript"/>
              </w:rPr>
              <w:t xml:space="preserve">, </w:t>
            </w:r>
            <w:r w:rsidRPr="00DE6F2C">
              <w:rPr>
                <w:b/>
                <w:bCs/>
                <w:vertAlign w:val="superscript"/>
                <w:lang w:val="en-US"/>
              </w:rPr>
              <w:t>b</w:t>
            </w:r>
          </w:p>
        </w:tc>
        <w:tc>
          <w:tcPr>
            <w:tcW w:w="1560" w:type="dxa"/>
            <w:vMerge w:val="restart"/>
            <w:shd w:val="clear" w:color="auto" w:fill="D9D9D9" w:themeFill="background1" w:themeFillShade="D9"/>
            <w:vAlign w:val="center"/>
          </w:tcPr>
          <w:p w14:paraId="4DC4C785" w14:textId="46BC7DCF" w:rsidR="00200EBA" w:rsidRPr="00EA5E21" w:rsidRDefault="00200EBA" w:rsidP="00D050C7">
            <w:pPr>
              <w:jc w:val="center"/>
              <w:rPr>
                <w:b/>
                <w:bCs/>
                <w:lang w:val="en-US"/>
              </w:rPr>
            </w:pPr>
            <w:r w:rsidRPr="002464F8">
              <w:rPr>
                <w:b/>
                <w:bCs/>
                <w:lang w:val="en-US"/>
              </w:rPr>
              <w:t>P</w:t>
            </w:r>
            <w:r w:rsidRPr="002464F8">
              <w:rPr>
                <w:b/>
                <w:bCs/>
              </w:rPr>
              <w:t>-уровень</w:t>
            </w:r>
            <w:r w:rsidRPr="00EA5E21">
              <w:rPr>
                <w:b/>
                <w:bCs/>
                <w:vertAlign w:val="superscript"/>
                <w:lang w:val="en-US"/>
              </w:rPr>
              <w:t>d</w:t>
            </w:r>
          </w:p>
        </w:tc>
        <w:tc>
          <w:tcPr>
            <w:tcW w:w="3822" w:type="dxa"/>
            <w:gridSpan w:val="2"/>
            <w:shd w:val="clear" w:color="auto" w:fill="D9D9D9" w:themeFill="background1" w:themeFillShade="D9"/>
            <w:vAlign w:val="center"/>
          </w:tcPr>
          <w:p w14:paraId="112721EB" w14:textId="23411D66" w:rsidR="00200EBA" w:rsidRPr="00D050C7" w:rsidRDefault="00200EBA" w:rsidP="00F534CD">
            <w:pPr>
              <w:jc w:val="center"/>
              <w:rPr>
                <w:b/>
                <w:bCs/>
                <w:lang w:val="en-US"/>
              </w:rPr>
            </w:pPr>
            <w:r w:rsidRPr="002464F8">
              <w:rPr>
                <w:b/>
                <w:bCs/>
              </w:rPr>
              <w:t>Медиана</w:t>
            </w:r>
            <w:r w:rsidR="0051157F">
              <w:rPr>
                <w:b/>
                <w:bCs/>
              </w:rPr>
              <w:t xml:space="preserve"> </w:t>
            </w:r>
            <w:r w:rsidR="0051157F" w:rsidRPr="002464F8">
              <w:rPr>
                <w:b/>
                <w:bCs/>
              </w:rPr>
              <w:t>(ДИ 95%)</w:t>
            </w:r>
            <w:r w:rsidR="0051157F" w:rsidRPr="00D050C7">
              <w:rPr>
                <w:b/>
                <w:bCs/>
                <w:vertAlign w:val="superscript"/>
                <w:lang w:val="en-US"/>
              </w:rPr>
              <w:t>e</w:t>
            </w:r>
          </w:p>
        </w:tc>
      </w:tr>
      <w:tr w:rsidR="00200EBA" w14:paraId="702C66C0" w14:textId="77777777" w:rsidTr="007047F7">
        <w:trPr>
          <w:trHeight w:val="595"/>
        </w:trPr>
        <w:tc>
          <w:tcPr>
            <w:tcW w:w="2122" w:type="dxa"/>
            <w:vMerge/>
            <w:shd w:val="clear" w:color="auto" w:fill="D9D9D9" w:themeFill="background1" w:themeFillShade="D9"/>
            <w:vAlign w:val="center"/>
          </w:tcPr>
          <w:p w14:paraId="15AE9BBE" w14:textId="77777777" w:rsidR="00200EBA" w:rsidRPr="002464F8" w:rsidRDefault="00200EBA" w:rsidP="00D050C7">
            <w:pPr>
              <w:jc w:val="center"/>
              <w:rPr>
                <w:b/>
                <w:bCs/>
              </w:rPr>
            </w:pPr>
          </w:p>
        </w:tc>
        <w:tc>
          <w:tcPr>
            <w:tcW w:w="1842" w:type="dxa"/>
            <w:vMerge/>
            <w:shd w:val="clear" w:color="auto" w:fill="D9D9D9" w:themeFill="background1" w:themeFillShade="D9"/>
            <w:vAlign w:val="center"/>
          </w:tcPr>
          <w:p w14:paraId="66999353" w14:textId="77777777" w:rsidR="00200EBA" w:rsidRPr="002464F8" w:rsidRDefault="00200EBA" w:rsidP="00D050C7">
            <w:pPr>
              <w:jc w:val="center"/>
              <w:rPr>
                <w:b/>
                <w:bCs/>
              </w:rPr>
            </w:pPr>
          </w:p>
        </w:tc>
        <w:tc>
          <w:tcPr>
            <w:tcW w:w="1560" w:type="dxa"/>
            <w:vMerge/>
            <w:shd w:val="clear" w:color="auto" w:fill="D9D9D9" w:themeFill="background1" w:themeFillShade="D9"/>
            <w:vAlign w:val="center"/>
          </w:tcPr>
          <w:p w14:paraId="2CB5C60C" w14:textId="77777777" w:rsidR="00200EBA" w:rsidRPr="002464F8" w:rsidRDefault="00200EBA" w:rsidP="00D050C7">
            <w:pPr>
              <w:jc w:val="center"/>
              <w:rPr>
                <w:b/>
                <w:bCs/>
              </w:rPr>
            </w:pPr>
          </w:p>
        </w:tc>
        <w:tc>
          <w:tcPr>
            <w:tcW w:w="1984" w:type="dxa"/>
            <w:shd w:val="clear" w:color="auto" w:fill="D9D9D9" w:themeFill="background1" w:themeFillShade="D9"/>
            <w:vAlign w:val="center"/>
          </w:tcPr>
          <w:p w14:paraId="547B8D9B" w14:textId="77777777" w:rsidR="00200EBA" w:rsidRPr="002464F8" w:rsidRDefault="00200EBA" w:rsidP="00D050C7">
            <w:pPr>
              <w:jc w:val="center"/>
              <w:rPr>
                <w:b/>
                <w:bCs/>
              </w:rPr>
            </w:pPr>
            <w:r w:rsidRPr="002464F8">
              <w:rPr>
                <w:b/>
                <w:bCs/>
              </w:rPr>
              <w:t>Ленватиниб</w:t>
            </w:r>
          </w:p>
          <w:p w14:paraId="22F44595" w14:textId="77777777" w:rsidR="00200EBA" w:rsidRPr="002464F8" w:rsidRDefault="00200EBA" w:rsidP="00D050C7">
            <w:pPr>
              <w:jc w:val="center"/>
              <w:rPr>
                <w:b/>
                <w:bCs/>
              </w:rPr>
            </w:pPr>
            <w:r w:rsidRPr="002464F8">
              <w:rPr>
                <w:b/>
                <w:bCs/>
              </w:rPr>
              <w:t>(N= 478)</w:t>
            </w:r>
          </w:p>
        </w:tc>
        <w:tc>
          <w:tcPr>
            <w:tcW w:w="1838" w:type="dxa"/>
            <w:shd w:val="clear" w:color="auto" w:fill="D9D9D9" w:themeFill="background1" w:themeFillShade="D9"/>
            <w:vAlign w:val="center"/>
          </w:tcPr>
          <w:p w14:paraId="101E298B" w14:textId="77777777" w:rsidR="00200EBA" w:rsidRPr="002464F8" w:rsidRDefault="00200EBA" w:rsidP="00D050C7">
            <w:pPr>
              <w:jc w:val="center"/>
              <w:rPr>
                <w:b/>
                <w:bCs/>
              </w:rPr>
            </w:pPr>
            <w:r w:rsidRPr="002464F8">
              <w:rPr>
                <w:b/>
                <w:bCs/>
              </w:rPr>
              <w:t>Сорафениб (N= 476)</w:t>
            </w:r>
          </w:p>
        </w:tc>
      </w:tr>
      <w:tr w:rsidR="00200EBA" w14:paraId="6443D750" w14:textId="77777777" w:rsidTr="007047F7">
        <w:trPr>
          <w:trHeight w:val="344"/>
        </w:trPr>
        <w:tc>
          <w:tcPr>
            <w:tcW w:w="2122" w:type="dxa"/>
            <w:vAlign w:val="center"/>
          </w:tcPr>
          <w:p w14:paraId="726EC8DC" w14:textId="483335E8" w:rsidR="00200EBA" w:rsidRPr="0051157F" w:rsidRDefault="005D6EC8" w:rsidP="00A85019">
            <w:pPr>
              <w:jc w:val="center"/>
              <w:rPr>
                <w:lang w:val="en-US"/>
              </w:rPr>
            </w:pPr>
            <w:r>
              <w:t>ОВ</w:t>
            </w:r>
            <w:r w:rsidR="0051157F" w:rsidRPr="00D050C7">
              <w:rPr>
                <w:vertAlign w:val="superscript"/>
                <w:lang w:val="en-US"/>
              </w:rPr>
              <w:t>g</w:t>
            </w:r>
            <w:r w:rsidR="0051157F">
              <w:rPr>
                <w:lang w:val="en-US"/>
              </w:rPr>
              <w:t xml:space="preserve"> </w:t>
            </w:r>
            <w:r w:rsidR="0051157F" w:rsidRPr="00E9448A">
              <w:t>(mRECIST)</w:t>
            </w:r>
          </w:p>
        </w:tc>
        <w:tc>
          <w:tcPr>
            <w:tcW w:w="1842" w:type="dxa"/>
            <w:vAlign w:val="center"/>
          </w:tcPr>
          <w:p w14:paraId="1F1C9C88" w14:textId="4D677559" w:rsidR="00200EBA" w:rsidRDefault="008356A7" w:rsidP="008356A7">
            <w:pPr>
              <w:jc w:val="center"/>
            </w:pPr>
            <w:r>
              <w:t>0,92 (0,79</w:t>
            </w:r>
            <w:r>
              <w:rPr>
                <w:lang w:val="en-US"/>
              </w:rPr>
              <w:t>;</w:t>
            </w:r>
            <w:r>
              <w:t>1,06)</w:t>
            </w:r>
          </w:p>
        </w:tc>
        <w:tc>
          <w:tcPr>
            <w:tcW w:w="1560" w:type="dxa"/>
            <w:vAlign w:val="center"/>
          </w:tcPr>
          <w:p w14:paraId="27ADC395" w14:textId="111C29B6" w:rsidR="00200EBA" w:rsidRDefault="008356A7" w:rsidP="00A85019">
            <w:pPr>
              <w:jc w:val="center"/>
            </w:pPr>
            <w:r>
              <w:t>Нет данных</w:t>
            </w:r>
          </w:p>
        </w:tc>
        <w:tc>
          <w:tcPr>
            <w:tcW w:w="1984" w:type="dxa"/>
            <w:vAlign w:val="center"/>
          </w:tcPr>
          <w:p w14:paraId="5034EB1E" w14:textId="2626DB2F" w:rsidR="00200EBA" w:rsidRDefault="00200EBA" w:rsidP="008356A7">
            <w:pPr>
              <w:jc w:val="center"/>
            </w:pPr>
            <w:r>
              <w:t>13</w:t>
            </w:r>
            <w:r w:rsidR="006D4450">
              <w:t>,</w:t>
            </w:r>
            <w:r>
              <w:t>6 (12</w:t>
            </w:r>
            <w:r w:rsidR="006D4450">
              <w:t>,</w:t>
            </w:r>
            <w:r>
              <w:t>1</w:t>
            </w:r>
            <w:r w:rsidR="008356A7">
              <w:rPr>
                <w:lang w:val="en-US"/>
              </w:rPr>
              <w:t>;</w:t>
            </w:r>
            <w:r>
              <w:t xml:space="preserve"> 14</w:t>
            </w:r>
            <w:r w:rsidR="006D4450">
              <w:t>,</w:t>
            </w:r>
            <w:r>
              <w:t>9)</w:t>
            </w:r>
          </w:p>
        </w:tc>
        <w:tc>
          <w:tcPr>
            <w:tcW w:w="1838" w:type="dxa"/>
            <w:vAlign w:val="center"/>
          </w:tcPr>
          <w:p w14:paraId="192CBC63" w14:textId="08655166" w:rsidR="00200EBA" w:rsidRDefault="00200EBA" w:rsidP="008356A7">
            <w:pPr>
              <w:jc w:val="center"/>
            </w:pPr>
            <w:r>
              <w:t>12</w:t>
            </w:r>
            <w:r w:rsidR="006D4450">
              <w:t>,</w:t>
            </w:r>
            <w:r>
              <w:t>3 (10</w:t>
            </w:r>
            <w:r w:rsidR="006D4450">
              <w:t>,</w:t>
            </w:r>
            <w:r>
              <w:t>4</w:t>
            </w:r>
            <w:r w:rsidR="008356A7">
              <w:rPr>
                <w:lang w:val="en-US"/>
              </w:rPr>
              <w:t>;</w:t>
            </w:r>
            <w:r>
              <w:t xml:space="preserve"> 13</w:t>
            </w:r>
            <w:r w:rsidR="006D4450">
              <w:t>,</w:t>
            </w:r>
            <w:r>
              <w:t>9)</w:t>
            </w:r>
          </w:p>
        </w:tc>
      </w:tr>
      <w:tr w:rsidR="00200EBA" w14:paraId="089A7439" w14:textId="77777777" w:rsidTr="007047F7">
        <w:trPr>
          <w:trHeight w:val="277"/>
        </w:trPr>
        <w:tc>
          <w:tcPr>
            <w:tcW w:w="2122" w:type="dxa"/>
            <w:vAlign w:val="center"/>
          </w:tcPr>
          <w:p w14:paraId="19A7FE7E" w14:textId="6FA7D899" w:rsidR="00200EBA" w:rsidRDefault="005D6EC8" w:rsidP="00A85019">
            <w:pPr>
              <w:jc w:val="center"/>
            </w:pPr>
            <w:r>
              <w:t>ВБП</w:t>
            </w:r>
            <w:r w:rsidR="00200EBA">
              <w:t xml:space="preserve"> </w:t>
            </w:r>
            <w:r w:rsidR="00200EBA" w:rsidRPr="00E9448A">
              <w:t>(mRECIST)</w:t>
            </w:r>
          </w:p>
        </w:tc>
        <w:tc>
          <w:tcPr>
            <w:tcW w:w="1842" w:type="dxa"/>
            <w:vAlign w:val="center"/>
          </w:tcPr>
          <w:p w14:paraId="5CDAE6DD" w14:textId="35080DE6" w:rsidR="00200EBA" w:rsidRDefault="008356A7" w:rsidP="008356A7">
            <w:pPr>
              <w:jc w:val="center"/>
            </w:pPr>
            <w:r>
              <w:t>0,</w:t>
            </w:r>
            <w:r>
              <w:rPr>
                <w:lang w:val="en-US"/>
              </w:rPr>
              <w:t>64</w:t>
            </w:r>
            <w:r>
              <w:t xml:space="preserve"> (0,</w:t>
            </w:r>
            <w:r>
              <w:rPr>
                <w:lang w:val="en-US"/>
              </w:rPr>
              <w:t>55; 0</w:t>
            </w:r>
            <w:r>
              <w:t>,</w:t>
            </w:r>
            <w:r>
              <w:rPr>
                <w:lang w:val="en-US"/>
              </w:rPr>
              <w:t>75</w:t>
            </w:r>
            <w:r>
              <w:t>)</w:t>
            </w:r>
          </w:p>
        </w:tc>
        <w:tc>
          <w:tcPr>
            <w:tcW w:w="1560" w:type="dxa"/>
            <w:vAlign w:val="center"/>
          </w:tcPr>
          <w:p w14:paraId="54D783E0" w14:textId="1F234DE0" w:rsidR="00200EBA" w:rsidRDefault="00200EBA" w:rsidP="00A85019">
            <w:pPr>
              <w:jc w:val="center"/>
            </w:pPr>
            <w:r>
              <w:t>&lt;0</w:t>
            </w:r>
            <w:r w:rsidR="006D4450">
              <w:t>,</w:t>
            </w:r>
            <w:r>
              <w:t>00001</w:t>
            </w:r>
          </w:p>
        </w:tc>
        <w:tc>
          <w:tcPr>
            <w:tcW w:w="1984" w:type="dxa"/>
            <w:vAlign w:val="center"/>
          </w:tcPr>
          <w:p w14:paraId="6AEB0F2D" w14:textId="0585DD60" w:rsidR="00200EBA" w:rsidRPr="008356A7" w:rsidRDefault="008356A7" w:rsidP="008356A7">
            <w:pPr>
              <w:jc w:val="center"/>
              <w:rPr>
                <w:lang w:val="en-US"/>
              </w:rPr>
            </w:pPr>
            <w:r>
              <w:rPr>
                <w:lang w:val="en-US"/>
              </w:rPr>
              <w:t>7,3 (5,6; 7,5)</w:t>
            </w:r>
          </w:p>
        </w:tc>
        <w:tc>
          <w:tcPr>
            <w:tcW w:w="1838" w:type="dxa"/>
            <w:vAlign w:val="center"/>
          </w:tcPr>
          <w:p w14:paraId="56B21347" w14:textId="7DCD9856" w:rsidR="00200EBA" w:rsidRDefault="008356A7" w:rsidP="008356A7">
            <w:pPr>
              <w:jc w:val="center"/>
            </w:pPr>
            <w:r>
              <w:rPr>
                <w:lang w:val="en-US"/>
              </w:rPr>
              <w:t>3,6 (3,6; 3,7)</w:t>
            </w:r>
          </w:p>
        </w:tc>
      </w:tr>
      <w:tr w:rsidR="00200EBA" w14:paraId="6B6D3353" w14:textId="77777777" w:rsidTr="008356A7">
        <w:trPr>
          <w:trHeight w:val="274"/>
        </w:trPr>
        <w:tc>
          <w:tcPr>
            <w:tcW w:w="9346" w:type="dxa"/>
            <w:gridSpan w:val="5"/>
            <w:vAlign w:val="center"/>
          </w:tcPr>
          <w:p w14:paraId="286951A0" w14:textId="77777777" w:rsidR="00200EBA" w:rsidRDefault="00200EBA" w:rsidP="00A85019">
            <w:pPr>
              <w:jc w:val="center"/>
            </w:pPr>
            <w:r>
              <w:t>Проценты (ДИ 95%)</w:t>
            </w:r>
          </w:p>
        </w:tc>
      </w:tr>
      <w:tr w:rsidR="00200EBA" w14:paraId="01D97442" w14:textId="77777777" w:rsidTr="007047F7">
        <w:trPr>
          <w:trHeight w:val="254"/>
        </w:trPr>
        <w:tc>
          <w:tcPr>
            <w:tcW w:w="2122" w:type="dxa"/>
            <w:vAlign w:val="center"/>
          </w:tcPr>
          <w:p w14:paraId="5756ECF0" w14:textId="152D6530" w:rsidR="00200EBA" w:rsidRPr="00EA5E21" w:rsidRDefault="00200EBA" w:rsidP="00A85019">
            <w:pPr>
              <w:jc w:val="center"/>
            </w:pPr>
            <w:r>
              <w:t>Скорость объективного ответа</w:t>
            </w:r>
            <w:r w:rsidRPr="00EA5E21">
              <w:rPr>
                <w:vertAlign w:val="superscript"/>
                <w:lang w:val="en-US"/>
              </w:rPr>
              <w:t>c</w:t>
            </w:r>
            <w:r w:rsidRPr="00EA5E21">
              <w:rPr>
                <w:vertAlign w:val="superscript"/>
              </w:rPr>
              <w:t xml:space="preserve">. </w:t>
            </w:r>
            <w:r w:rsidRPr="00EA5E21">
              <w:rPr>
                <w:vertAlign w:val="superscript"/>
                <w:lang w:val="en-US"/>
              </w:rPr>
              <w:t>f</w:t>
            </w:r>
            <w:r w:rsidRPr="00EA5E21">
              <w:rPr>
                <w:vertAlign w:val="superscript"/>
              </w:rPr>
              <w:t xml:space="preserve">, </w:t>
            </w:r>
            <w:r w:rsidRPr="00EA5E21">
              <w:rPr>
                <w:vertAlign w:val="superscript"/>
                <w:lang w:val="en-US"/>
              </w:rPr>
              <w:t>g</w:t>
            </w:r>
          </w:p>
        </w:tc>
        <w:tc>
          <w:tcPr>
            <w:tcW w:w="1842" w:type="dxa"/>
            <w:vAlign w:val="center"/>
          </w:tcPr>
          <w:p w14:paraId="3CCCA1B5" w14:textId="7837F83B" w:rsidR="00200EBA" w:rsidRDefault="008356A7" w:rsidP="00A85019">
            <w:pPr>
              <w:jc w:val="center"/>
            </w:pPr>
            <w:r>
              <w:t>Нет данных</w:t>
            </w:r>
          </w:p>
        </w:tc>
        <w:tc>
          <w:tcPr>
            <w:tcW w:w="1560" w:type="dxa"/>
            <w:vAlign w:val="center"/>
          </w:tcPr>
          <w:p w14:paraId="11647386" w14:textId="502014CC" w:rsidR="00200EBA" w:rsidRDefault="00200EBA" w:rsidP="00A85019">
            <w:pPr>
              <w:jc w:val="center"/>
            </w:pPr>
            <w:r>
              <w:t>&lt;0</w:t>
            </w:r>
            <w:r w:rsidR="006D4450">
              <w:t>,</w:t>
            </w:r>
            <w:r>
              <w:t>00001</w:t>
            </w:r>
          </w:p>
        </w:tc>
        <w:tc>
          <w:tcPr>
            <w:tcW w:w="1984" w:type="dxa"/>
            <w:vAlign w:val="center"/>
          </w:tcPr>
          <w:p w14:paraId="55B09C31" w14:textId="77777777" w:rsidR="00200EBA" w:rsidRDefault="00200EBA" w:rsidP="00A85019">
            <w:pPr>
              <w:jc w:val="center"/>
            </w:pPr>
            <w:r>
              <w:t>41% (36%, 45%)</w:t>
            </w:r>
          </w:p>
        </w:tc>
        <w:tc>
          <w:tcPr>
            <w:tcW w:w="1838" w:type="dxa"/>
            <w:vAlign w:val="center"/>
          </w:tcPr>
          <w:p w14:paraId="7364ECB3" w14:textId="77777777" w:rsidR="00200EBA" w:rsidRDefault="00200EBA" w:rsidP="00A85019">
            <w:pPr>
              <w:jc w:val="center"/>
            </w:pPr>
            <w:r>
              <w:t>12% (9%, 15%)</w:t>
            </w:r>
          </w:p>
        </w:tc>
      </w:tr>
      <w:tr w:rsidR="00200EBA" w14:paraId="02B14621" w14:textId="77777777" w:rsidTr="00A85019">
        <w:trPr>
          <w:trHeight w:val="1104"/>
        </w:trPr>
        <w:tc>
          <w:tcPr>
            <w:tcW w:w="9346" w:type="dxa"/>
            <w:gridSpan w:val="5"/>
          </w:tcPr>
          <w:p w14:paraId="7D734D33" w14:textId="0423E6E4" w:rsidR="006D4450" w:rsidRPr="006D4450" w:rsidRDefault="006D4450" w:rsidP="00A85019">
            <w:pPr>
              <w:rPr>
                <w:b/>
                <w:sz w:val="20"/>
                <w:szCs w:val="20"/>
              </w:rPr>
            </w:pPr>
            <w:r w:rsidRPr="006D4450">
              <w:rPr>
                <w:b/>
                <w:sz w:val="20"/>
                <w:szCs w:val="20"/>
              </w:rPr>
              <w:t>Примечание:</w:t>
            </w:r>
          </w:p>
          <w:p w14:paraId="0E4DCABE" w14:textId="0A47BEE7" w:rsidR="00200EBA" w:rsidRPr="006D4450" w:rsidRDefault="00200EBA" w:rsidP="00A85019">
            <w:pPr>
              <w:rPr>
                <w:sz w:val="20"/>
                <w:szCs w:val="20"/>
              </w:rPr>
            </w:pPr>
            <w:r w:rsidRPr="006D4450">
              <w:rPr>
                <w:sz w:val="20"/>
                <w:szCs w:val="20"/>
                <w:vertAlign w:val="superscript"/>
                <w:lang w:val="en-US"/>
              </w:rPr>
              <w:t>a</w:t>
            </w:r>
            <w:r w:rsidRPr="006D4450">
              <w:rPr>
                <w:sz w:val="20"/>
                <w:szCs w:val="20"/>
              </w:rPr>
              <w:t>Отношение рисков для ленватиниба по сравнению с сорафенибом основано на модели Кокса, включающей группу лечения, как фактор.</w:t>
            </w:r>
          </w:p>
          <w:p w14:paraId="5967886E" w14:textId="77777777" w:rsidR="00200EBA" w:rsidRPr="006D4450" w:rsidRDefault="00200EBA" w:rsidP="00A85019">
            <w:pPr>
              <w:rPr>
                <w:sz w:val="20"/>
                <w:szCs w:val="20"/>
              </w:rPr>
            </w:pPr>
            <w:r w:rsidRPr="006D4450">
              <w:rPr>
                <w:sz w:val="20"/>
                <w:szCs w:val="20"/>
                <w:vertAlign w:val="superscript"/>
                <w:lang w:val="en-US"/>
              </w:rPr>
              <w:t>b</w:t>
            </w:r>
            <w:r w:rsidRPr="006D4450">
              <w:rPr>
                <w:sz w:val="20"/>
                <w:szCs w:val="20"/>
              </w:rPr>
              <w:t xml:space="preserve"> Стратификация по регионам (регион 1: Азиатско-Тихоокеанский регион; регион 2: Запад), ECOG (0, 1) и масса тела (&lt;60 кг, ≥60 кг)</w:t>
            </w:r>
          </w:p>
          <w:p w14:paraId="73E9D7A6" w14:textId="77777777" w:rsidR="00200EBA" w:rsidRPr="006D4450" w:rsidRDefault="00200EBA" w:rsidP="00A85019">
            <w:pPr>
              <w:rPr>
                <w:sz w:val="20"/>
                <w:szCs w:val="20"/>
              </w:rPr>
            </w:pPr>
            <w:r w:rsidRPr="006D4450">
              <w:rPr>
                <w:sz w:val="20"/>
                <w:szCs w:val="20"/>
              </w:rPr>
              <w:t>.</w:t>
            </w:r>
            <w:r w:rsidRPr="006D4450">
              <w:rPr>
                <w:sz w:val="20"/>
                <w:szCs w:val="20"/>
                <w:vertAlign w:val="superscript"/>
                <w:lang w:val="en-US"/>
              </w:rPr>
              <w:t>c</w:t>
            </w:r>
            <w:r w:rsidRPr="006D4450">
              <w:rPr>
                <w:sz w:val="20"/>
                <w:szCs w:val="20"/>
              </w:rPr>
              <w:t>Результаты основаны на подтвержденных и неподтвержденных ответах.</w:t>
            </w:r>
          </w:p>
          <w:p w14:paraId="6D02E686" w14:textId="098FA2CE" w:rsidR="00200EBA" w:rsidRPr="006D4450" w:rsidRDefault="00200EBA" w:rsidP="00A85019">
            <w:pPr>
              <w:rPr>
                <w:sz w:val="20"/>
                <w:szCs w:val="20"/>
              </w:rPr>
            </w:pPr>
            <w:r w:rsidRPr="006D4450">
              <w:rPr>
                <w:sz w:val="20"/>
                <w:szCs w:val="20"/>
                <w:vertAlign w:val="superscript"/>
                <w:lang w:val="en-US"/>
              </w:rPr>
              <w:t>d</w:t>
            </w:r>
            <w:r w:rsidRPr="006D4450">
              <w:rPr>
                <w:sz w:val="20"/>
                <w:szCs w:val="20"/>
              </w:rPr>
              <w:t xml:space="preserve"> P-значение для теста превосходства ленватиниба по сравнению с сорафенибом. Квартили оцениваются по методу Каплана-Мейера, а 95% ДИ оцениваются с помощью</w:t>
            </w:r>
          </w:p>
          <w:p w14:paraId="2352A030" w14:textId="7558A7A9" w:rsidR="00200EBA" w:rsidRPr="006D4450" w:rsidRDefault="007C7530" w:rsidP="00A85019">
            <w:pPr>
              <w:rPr>
                <w:sz w:val="20"/>
                <w:szCs w:val="20"/>
              </w:rPr>
            </w:pPr>
            <w:r w:rsidRPr="006D4450">
              <w:rPr>
                <w:sz w:val="20"/>
                <w:szCs w:val="20"/>
                <w:vertAlign w:val="superscript"/>
              </w:rPr>
              <w:t>е.</w:t>
            </w:r>
            <w:r w:rsidRPr="006D4450">
              <w:rPr>
                <w:sz w:val="20"/>
                <w:szCs w:val="20"/>
              </w:rPr>
              <w:t xml:space="preserve"> </w:t>
            </w:r>
            <w:r w:rsidR="00200EBA" w:rsidRPr="006D4450">
              <w:rPr>
                <w:sz w:val="20"/>
                <w:szCs w:val="20"/>
              </w:rPr>
              <w:t>обобщенный метод Брукмейера и Кроули</w:t>
            </w:r>
          </w:p>
          <w:p w14:paraId="07472346" w14:textId="4A2F8C34" w:rsidR="00200EBA" w:rsidRPr="006D4450" w:rsidRDefault="00200EBA" w:rsidP="00A85019">
            <w:pPr>
              <w:rPr>
                <w:sz w:val="20"/>
                <w:szCs w:val="20"/>
              </w:rPr>
            </w:pPr>
            <w:r w:rsidRPr="006D4450">
              <w:rPr>
                <w:sz w:val="20"/>
                <w:szCs w:val="20"/>
                <w:vertAlign w:val="superscript"/>
                <w:lang w:val="en-US"/>
              </w:rPr>
              <w:t>f</w:t>
            </w:r>
            <w:r w:rsidRPr="006D4450">
              <w:rPr>
                <w:sz w:val="20"/>
                <w:szCs w:val="20"/>
              </w:rPr>
              <w:t xml:space="preserve"> Частота ответов (полный или частичный ответ). Согласно ретроспективному анализу независимо</w:t>
            </w:r>
            <w:r w:rsidR="007C7530" w:rsidRPr="006D4450">
              <w:rPr>
                <w:sz w:val="20"/>
                <w:szCs w:val="20"/>
              </w:rPr>
              <w:t>й</w:t>
            </w:r>
            <w:r w:rsidRPr="006D4450">
              <w:rPr>
                <w:sz w:val="20"/>
                <w:szCs w:val="20"/>
              </w:rPr>
              <w:t xml:space="preserve"> радиологической оценки </w:t>
            </w:r>
            <w:r w:rsidR="005D6EC8" w:rsidRPr="006D4450">
              <w:rPr>
                <w:sz w:val="20"/>
                <w:szCs w:val="20"/>
              </w:rPr>
              <w:t>ВБП</w:t>
            </w:r>
            <w:r w:rsidRPr="006D4450">
              <w:rPr>
                <w:sz w:val="20"/>
                <w:szCs w:val="20"/>
              </w:rPr>
              <w:t xml:space="preserve"> составила 7,3 (95% ДИ 5,6, 7,4) месяца в группе ленватиниба и 6,2 (95% ДИ 3,7, 11,2) месяца в группе сорафениба</w:t>
            </w:r>
          </w:p>
          <w:p w14:paraId="33D80E81" w14:textId="10D1945B" w:rsidR="005D6EC8" w:rsidRDefault="005D6EC8" w:rsidP="0054382D">
            <w:r w:rsidRPr="006D4450">
              <w:rPr>
                <w:sz w:val="20"/>
                <w:szCs w:val="20"/>
              </w:rPr>
              <w:t>ВБП ‒ выживаемость без прогрессирования</w:t>
            </w:r>
            <w:r w:rsidR="0054382D">
              <w:rPr>
                <w:sz w:val="20"/>
                <w:szCs w:val="20"/>
              </w:rPr>
              <w:t xml:space="preserve">; </w:t>
            </w:r>
            <w:r w:rsidRPr="006D4450">
              <w:rPr>
                <w:sz w:val="20"/>
                <w:szCs w:val="20"/>
              </w:rPr>
              <w:t>ОВ ‒ общая выживаемость</w:t>
            </w:r>
          </w:p>
        </w:tc>
      </w:tr>
    </w:tbl>
    <w:p w14:paraId="65DC1C9A" w14:textId="77777777" w:rsidR="00200EBA" w:rsidRPr="00BE5C88" w:rsidRDefault="00200EBA" w:rsidP="00200EBA">
      <w:pPr>
        <w:ind w:firstLine="709"/>
      </w:pPr>
    </w:p>
    <w:p w14:paraId="48423E20" w14:textId="77777777" w:rsidR="00200EBA" w:rsidRDefault="00200EBA" w:rsidP="00200EBA">
      <w:pPr>
        <w:ind w:firstLine="709"/>
      </w:pPr>
      <w:r>
        <w:t>Средняя продолжительность лечения составила 5,7 месяца (Q1: 2,9, Q3: 11,1) в группе ленватиниба и 3,7 месяца (Q1: 1,8, Q3: 7,4) в группе сорафениба.</w:t>
      </w:r>
    </w:p>
    <w:p w14:paraId="779445F5" w14:textId="4C0B3FB9" w:rsidR="00200EBA" w:rsidRPr="00BE5C88" w:rsidRDefault="00200EBA" w:rsidP="007047F7">
      <w:pPr>
        <w:ind w:firstLine="709"/>
      </w:pPr>
      <w:r>
        <w:t xml:space="preserve">В обеих группах лечения в исследовании REFLECT медиана </w:t>
      </w:r>
      <w:r w:rsidR="005D6EC8">
        <w:t>ОВ</w:t>
      </w:r>
      <w:r>
        <w:t xml:space="preserve"> была примерно на 9 месяцев больше у субъектов, получавшие противораковую терапию после окончания исследования, чем у тех, у кого терапия не была продолжена. В группе ленватиниба медиана </w:t>
      </w:r>
      <w:r w:rsidR="00C2608A">
        <w:t>ОВ</w:t>
      </w:r>
      <w:r>
        <w:t xml:space="preserve"> составила 19,5 месяцев (95% ДИ: 15,7</w:t>
      </w:r>
      <w:r w:rsidR="007047F7">
        <w:t>;</w:t>
      </w:r>
      <w:r>
        <w:t xml:space="preserve"> 23,0) для субъектов, получавшие противораковую терапию после окончания исследования (43%) и 10,5 месяцев (95% ДИ: 8,6, 12,2) у тех, у кого терапия не была продолжена. В группе сорафениба медиана </w:t>
      </w:r>
      <w:r w:rsidR="00C2608A" w:rsidRPr="00C2608A">
        <w:t>ОВ</w:t>
      </w:r>
      <w:r w:rsidR="007B0217">
        <w:t xml:space="preserve"> составляла </w:t>
      </w:r>
      <w:r>
        <w:t xml:space="preserve">17,0 месяцев (95% ДИ: 14,2, 18,8) для субъектов, получивших противораковую терапию после окончания исследования (51%) и 7,9 месяца (95% ДИ: 6,6, 9,7) у тех, у кого терапия не была продолжена. Средняя </w:t>
      </w:r>
      <w:r w:rsidR="00501178">
        <w:t>ОВ</w:t>
      </w:r>
      <w:r w:rsidR="007B0217">
        <w:t xml:space="preserve"> </w:t>
      </w:r>
      <w:r>
        <w:t xml:space="preserve">была примерно на 2,5 месяца дольше в группе ленватиниба по сравнению с группой сорафениба в обеих подгруппах субъектов (с противораковой терапией после окончания исследования  или без нее) </w:t>
      </w:r>
      <w:r>
        <w:fldChar w:fldCharType="begin"/>
      </w:r>
      <w:r>
        <w:instrText xml:space="preserve"> ADDIN ZOTERO_ITEM CSL_CITATION {"citationID":"rEGRGxqp","properties":{"formattedCitation":"[2,23\\uc0\\u8211{}25]","plainCitation":"[2,23–25]","noteIndex":0},"citationItems":[{"id":2745,"uris":["http://zotero.org/users/5483459/items/95XEZDWJ"],"itemData":{"id":2745,"type":"document","title":"European  Medicines Agency. SUMMARY OF PRODUCT CHARACTERISTICS. LENVIMA 4 mg, 10 mg hard capsules.26.11.2021"},"label":"page"},{"id":2854,"uris":["http://zotero.org/users/5483459/items/CWATTWWG"],"itemData":{"id":2854,"type":"article-journal","abstract":"BACKGROUND: A phase 3, multinational, randomized, non-inferiority trial (REFLECT) compared the efficacy and safety of lenvatinib (LEN) and sorafenib (SOR) in patients with unresectable hepatocellular carcinoma (uHCC). LEN had an effect on overall survival (OS) compared to SOR, statistically confirmed by non-inferiority [OS: median = 13.6 months vs. 12.3 months; hazard ratio (HR) 0.92, 95% confidence interval (CI) 0.79-1.06], and demonstrated statistically significant improvements in progression-free survival (PFS) and the objective response rate (ORR) in the overall population. The results of a subset analysis that evaluated the efficacy and safety of LEN and SOR in the Japanese population are reported.\nMETHODS: The intent-to-treat population enrolled in Japan was analyzed.\nRESULTS: Of 954 patients in the overall population, 168 Japanese patients were assigned to the LEN arm (N = 81) or the SOR arm (N = 87). Median OS was 17.6 months for LEN vs. 17.8 months for SOR (HR 0.90; 95% CI 0.62-1.29). LEN showed statistically significant improvements over SOR in PFS (7.2 months vs. 4.6 months) and ORR (29.6% vs. 6.9%). The relative dose intensity of LEN and SOR in the Japanese population was lower than in the overall population. Frequently observed, related adverse events included palmar-plantar erythrodysaesthesia syndrome (PPES), hypertension, decreased appetite, and proteinuria in the LEN arm, and PPES, hypertension, diarrhea, and alopecia in the SOR arm.\nCONCLUSIONS: The efficacy and safety of LEN in the Japanese population were similar to those in the overall population of REFLECT. With manageable adverse events, LEN is a new treatment option for Japanese patients with uHCC.\nTRIAL REGISTRATION ID: ClinicalTrials.gov. No. NCT01761266.","container-title":"Journal of Gastroenterology","DOI":"10.1007/s00535-019-01642-1","ISSN":"1435-5922","issue":"1","journalAbbreviation":"J Gastroenterol","language":"eng","note":"PMID: 31720835\nPMCID: PMC6942573","page":"113-122","source":"PubMed","title":"REFLECT-a phase 3 trial comparing efficacy and safety of lenvatinib to sorafenib for the treatment of unresectable hepatocellular carcinoma: an analysis of Japanese subset","title-short":"REFLECT-a phase 3 trial comparing efficacy and safety of lenvatinib to sorafenib for the treatment of unresectable hepatocellular carcinoma","volume":"55","author":[{"family":"Yamashita","given":"Tatsuya"},{"family":"Kudo","given":"Masatoshi"},{"family":"Ikeda","given":"Kenji"},{"family":"Izumi","given":"Namiki"},{"family":"Tateishi","given":"Ryosuke"},{"family":"Ikeda","given":"Masafumi"},{"family":"Aikata","given":"Hiroshi"},{"family":"Kawaguchi","given":"Yasunori"},{"family":"Wada","given":"Yoshiyuki"},{"family":"Numata","given":"Kazushi"},{"family":"Inaba","given":"Yoshitaka"},{"family":"Kuromatsu","given":"Ryoko"},{"family":"Kobayashi","given":"Masahiro"},{"family":"Okusaka","given":"Takuji"},{"family":"Tamai","given":"Toshiyuki"},{"family":"Kitamura","given":"Chifumi"},{"family":"Saito","given":"Kenichi"},{"family":"Haruna","given":"Katsuya"},{"family":"Okita","given":"Kiwamu"},{"family":"Kumada","given":"Hiromitsu"}],"issued":{"date-parts":[["2020",1]]}},"label":"page"},{"id":2848,"uris":["http://zotero.org/users/5483459/items/UTA5FNBV"],"itemData":{"id":2848,"type":"article-journal","abstract":"BACKGROUND: In a phase 2 trial, lenvatinib, an inhibitor of VEGF receptors 1-3, FGF receptors 1-4, PDGF receptor α, RET, and KIT, showed activity in hepatocellular carcinoma. We aimed to compare overall survival in patients treated with lenvatinib versus sorafenib as a first-line treatment for unresectable hepatocellular carcinoma.\nMETHODS: This was an open-label, phase 3, multicentre, non-inferiority trial that recruited patients with unresectable hepatocellular carcinoma, who had not received treatment for advanced disease, at 154 sites in 20 countries throughout the Asia-Pacific, European, and North American regions. Patients were randomly assigned (1:1) via an interactive voice-web response system-with region; macroscopic portal vein invasion, extrahepatic spread, or both; Eastern Cooperative Oncology Group performance status; and bodyweight as stratification factors-to receive oral lenvatinib (12 mg/day for bodyweight ≥60 kg or 8 mg/day for bodyweight &lt;60 kg) or sorafenib 400 mg twice-daily in 28-day cycles. The primary endpoint was overall survival, measured from the date of randomisation until the date of death from any cause. The efficacy analysis followed the intention-to-treat principle, and only patients who received treatment were included in the safety analysis. The non-inferiority margin was set at 1·08. The trial is registered with ClinicalTrials.gov, number NCT01761266.\nFINDINGS: Between March 1, 2013 and July 30, 2015, 1492 patients were recruited. 954 eligible patients were randomly assigned to lenvatinib (n=478) or sorafenib (n=476). Median survival time for lenvatinib of 13·6 months (95% CI 12·1-14·9) was non-inferior to sorafenib (12·3 months, 10·4-13·9; hazard ratio 0·92, 95% CI 0·79-1·06), meeting criteria for non-inferiority. The most common any-grade adverse events were hypertension (201 [42%]), diarrhoea (184 [39%]), decreased appetite (162 [34%]), and decreased weight (147 [31%]) for lenvatinib, and palmar-plantar erythrodysaesthesia (249 [52%]), diarrhoea (220 [46%]), hypertension (144 [30%]), and decreased appetite (127 [27%]) for sorafenib.\nINTERPRETATION: Lenvatinib was non-inferior to sorafenib in overall survival in untreated advanced hepatocellular carcinoma. The safety and tolerability profiles of lenvatinib were consistent with those previously observed.\nFUNDING: Eisai Inc.","container-title":"Lancet (London, England)","DOI":"10.1016/S0140-6736(18)30207-1","ISSN":"1474-547X","issue":"10126","journalAbbreviation":"Lancet","language":"eng","note":"PMID: 29433850","page":"1163-1173","source":"PubMed","title":"Lenvatinib versus sorafenib in first-line treatment of patients with unresectable hepatocellular carcinoma: a randomised phase 3 non-inferiority trial","title-short":"Lenvatinib versus sorafenib in first-line treatment of patients with unresectable hepatocellular carcinoma","volume":"391","author":[{"family":"Kudo","given":"Masatoshi"},{"family":"Finn","given":"Richard S."},{"family":"Qin","given":"Shukui"},{"family":"Han","given":"Kwang-Hyub"},{"family":"Ikeda","given":"Kenji"},{"family":"Piscaglia","given":"Fabio"},{"family":"Baron","given":"Ari"},{"family":"Park","given":"Joong-Won"},{"family":"Han","given":"Guohong"},{"family":"Jassem","given":"Jacek"},{"family":"Blanc","given":"Jean Frederic"},{"family":"Vogel","given":"Arndt"},{"family":"Komov","given":"Dmitry"},{"family":"Evans","given":"T. R. Jeffry"},{"family":"Lopez","given":"Carlos"},{"family":"Dutcus","given":"Corina"},{"family":"Guo","given":"Matthew"},{"family":"Saito","given":"Kenichi"},{"family":"Kraljevic","given":"Silvija"},{"family":"Tamai","given":"Toshiyuki"},{"family":"Ren","given":"Min"},{"family":"Cheng","given":"Ann-Lii"}],"issued":{"date-parts":[["2018",3,24]]}},"label":"page"},{"id":2851,"uris":["http://zotero.org/users/5483459/items/NGX4GXTK"],"itemData":{"id":2851,"type":"article-journal","abstract":"BACKGROUND: Proteinuria monitoring is required in patients receiving lenvatinib, however, current methodology involves burdensome overnight urine collection.\nMETHODS: To determine whether the simpler urine protein:creatinine ratio (UPCR) calculated from spot urine samples could be accurately used for proteinuria monitoring in patients receiving lenvatinib, we evaluated the correlation between UPCR and 24-hour urine protein results from the phase 3 REFLECT study. Paired data (323 tests, 154 patients) were analysed.\nRESULTS: Regression analysis showed a statistically significant correlation between UPCR and 24-hour urine protein (R2: 0.75; P &lt; 2 × 10-16). A UPCR cut-off value of 2.4 had 96.9% sensitivity, 82.5% specificity for delineating between grade 2 and 3 proteinuria. Using this UPCR cut-off value to determine the need for further testing could reduce the need for 24-hour urine collection in ~74% of patients.\nCONCLUSION: Incorporation of UPCR into the current algorithm for proteinuria management can enable optimisation of lenvatinib treatment, while minimising patient inconvenience.\nCLINICAL TRIAL REGISTRATION: NCT01761266.","container-title":"British Journal of Cancer","DOI":"10.1038/s41416-019-0506-6","ISSN":"1532-1827","issue":"3","journalAbbreviation":"Br J Cancer","language":"eng","note":"PMID: 31249394\nPMCID: PMC6738107","page":"218-221","source":"PubMed","title":"Urine protein:creatinine ratio vs 24-hour urine protein for proteinuria management: analysis from the phase 3 REFLECT study of lenvatinib vs sorafenib in hepatocellular carcinoma","title-short":"Urine protein","volume":"121","author":[{"family":"Evans","given":"Thomas R. Jeffry"},{"family":"Kudo","given":"Masatoshi"},{"family":"Finn","given":"Richard S."},{"family":"Han","given":"Kwang-Hyub"},{"family":"Cheng","given":"Ann-Lii"},{"family":"Ikeda","given":"Masafumi"},{"family":"Kraljevic","given":"Silvija"},{"family":"Ren","given":"Min"},{"family":"Dutcus","given":"Corina E."},{"family":"Piscaglia","given":"Fabio"},{"family":"Sung","given":"Max W."}],"issued":{"date-parts":[["2019",7]]}},"label":"page"}],"schema":"https://github.com/citation-style-language/schema/raw/master/csl-citation.json"} </w:instrText>
      </w:r>
      <w:r>
        <w:fldChar w:fldCharType="separate"/>
      </w:r>
      <w:r w:rsidRPr="00852090">
        <w:t>[2,</w:t>
      </w:r>
      <w:r w:rsidR="007047F7">
        <w:t xml:space="preserve"> </w:t>
      </w:r>
      <w:r w:rsidRPr="00852090">
        <w:t>23–25]</w:t>
      </w:r>
      <w:r>
        <w:fldChar w:fldCharType="end"/>
      </w:r>
      <w:r w:rsidR="007047F7">
        <w:t>.</w:t>
      </w:r>
    </w:p>
    <w:p w14:paraId="0E4CB34E" w14:textId="4BFAE6D4" w:rsidR="00200EBA" w:rsidRPr="00F601F5" w:rsidRDefault="00585D6B" w:rsidP="00C22830">
      <w:pPr>
        <w:pStyle w:val="4"/>
        <w:rPr>
          <w:rFonts w:ascii="Times New Roman" w:hAnsi="Times New Roman"/>
          <w:sz w:val="24"/>
          <w:szCs w:val="24"/>
        </w:rPr>
      </w:pPr>
      <w:bookmarkStart w:id="222" w:name="_Toc126059760"/>
      <w:r w:rsidRPr="00F601F5">
        <w:rPr>
          <w:rFonts w:ascii="Times New Roman" w:hAnsi="Times New Roman"/>
          <w:sz w:val="24"/>
          <w:szCs w:val="24"/>
        </w:rPr>
        <w:t>4.3.1.3.</w:t>
      </w:r>
      <w:r w:rsidR="00F601F5" w:rsidRPr="00D050C7">
        <w:rPr>
          <w:rFonts w:ascii="Times New Roman" w:hAnsi="Times New Roman"/>
          <w:sz w:val="24"/>
          <w:szCs w:val="24"/>
        </w:rPr>
        <w:t xml:space="preserve"> </w:t>
      </w:r>
      <w:r w:rsidR="00200EBA" w:rsidRPr="00F601F5">
        <w:rPr>
          <w:rFonts w:ascii="Times New Roman" w:hAnsi="Times New Roman"/>
          <w:sz w:val="24"/>
          <w:szCs w:val="24"/>
        </w:rPr>
        <w:t>Рак эндометрия</w:t>
      </w:r>
      <w:bookmarkEnd w:id="222"/>
    </w:p>
    <w:p w14:paraId="6F37283F" w14:textId="77777777" w:rsidR="006D4450" w:rsidRDefault="006D4450" w:rsidP="00F601F5">
      <w:pPr>
        <w:ind w:firstLine="709"/>
      </w:pPr>
      <w:bookmarkStart w:id="223" w:name="_Hlk118211955"/>
    </w:p>
    <w:p w14:paraId="2F876F02" w14:textId="577644B8" w:rsidR="00200EBA" w:rsidRDefault="00200EBA" w:rsidP="00F601F5">
      <w:pPr>
        <w:ind w:firstLine="709"/>
      </w:pPr>
      <w:r>
        <w:t xml:space="preserve">Эффективность ленватиниба в комбинации с пембролизумабом изучали в регистрационном исследовании </w:t>
      </w:r>
      <w:r w:rsidR="006A5A20">
        <w:rPr>
          <w:lang w:val="en-US"/>
        </w:rPr>
        <w:t>III</w:t>
      </w:r>
      <w:r>
        <w:t xml:space="preserve"> фазы (</w:t>
      </w:r>
      <w:r w:rsidR="00421160" w:rsidRPr="0051438A">
        <w:rPr>
          <w:sz w:val="22"/>
          <w:szCs w:val="22"/>
          <w:lang w:val="en-US"/>
        </w:rPr>
        <w:t>MK</w:t>
      </w:r>
      <w:r w:rsidR="00421160" w:rsidRPr="00C22830">
        <w:rPr>
          <w:sz w:val="22"/>
          <w:szCs w:val="22"/>
        </w:rPr>
        <w:t>-3475-775/</w:t>
      </w:r>
      <w:r w:rsidR="00421160" w:rsidRPr="0051438A">
        <w:rPr>
          <w:sz w:val="22"/>
          <w:szCs w:val="22"/>
          <w:lang w:val="en-US"/>
        </w:rPr>
        <w:t>E</w:t>
      </w:r>
      <w:r w:rsidR="00421160" w:rsidRPr="00C22830">
        <w:rPr>
          <w:sz w:val="22"/>
          <w:szCs w:val="22"/>
        </w:rPr>
        <w:t>7080-</w:t>
      </w:r>
      <w:r w:rsidR="00421160" w:rsidRPr="0051438A">
        <w:rPr>
          <w:sz w:val="22"/>
          <w:szCs w:val="22"/>
          <w:lang w:val="en-US"/>
        </w:rPr>
        <w:t>G</w:t>
      </w:r>
      <w:r w:rsidR="00421160" w:rsidRPr="00C22830">
        <w:rPr>
          <w:sz w:val="22"/>
          <w:szCs w:val="22"/>
        </w:rPr>
        <w:t>000-309</w:t>
      </w:r>
      <w:r w:rsidR="00421160">
        <w:rPr>
          <w:sz w:val="22"/>
          <w:szCs w:val="22"/>
        </w:rPr>
        <w:t xml:space="preserve"> </w:t>
      </w:r>
      <w:r w:rsidR="00421160" w:rsidRPr="0051438A">
        <w:rPr>
          <w:sz w:val="22"/>
          <w:szCs w:val="22"/>
          <w:lang w:val="en-US"/>
        </w:rPr>
        <w:t>ClinicalTrials</w:t>
      </w:r>
      <w:r w:rsidR="00421160" w:rsidRPr="00C22830">
        <w:rPr>
          <w:sz w:val="22"/>
          <w:szCs w:val="22"/>
        </w:rPr>
        <w:t>.</w:t>
      </w:r>
      <w:r w:rsidR="00421160" w:rsidRPr="0051438A">
        <w:rPr>
          <w:sz w:val="22"/>
          <w:szCs w:val="22"/>
          <w:lang w:val="en-US"/>
        </w:rPr>
        <w:t>gov</w:t>
      </w:r>
      <w:r w:rsidR="00421160" w:rsidRPr="00C22830">
        <w:rPr>
          <w:sz w:val="22"/>
          <w:szCs w:val="22"/>
        </w:rPr>
        <w:t xml:space="preserve"> </w:t>
      </w:r>
      <w:r w:rsidR="00421160" w:rsidRPr="0051438A">
        <w:rPr>
          <w:sz w:val="22"/>
          <w:szCs w:val="22"/>
          <w:lang w:val="en-US"/>
        </w:rPr>
        <w:t>Identifier</w:t>
      </w:r>
      <w:r w:rsidR="00421160" w:rsidRPr="00C22830">
        <w:rPr>
          <w:sz w:val="22"/>
          <w:szCs w:val="22"/>
        </w:rPr>
        <w:t xml:space="preserve">: </w:t>
      </w:r>
      <w:r w:rsidR="00421160" w:rsidRPr="0051438A">
        <w:rPr>
          <w:sz w:val="22"/>
          <w:szCs w:val="22"/>
          <w:lang w:val="en-US"/>
        </w:rPr>
        <w:t>NCT</w:t>
      </w:r>
      <w:r w:rsidR="00421160" w:rsidRPr="00C22830">
        <w:rPr>
          <w:sz w:val="22"/>
          <w:szCs w:val="22"/>
        </w:rPr>
        <w:t>03517449</w:t>
      </w:r>
      <w:r>
        <w:t xml:space="preserve">). Было проведено рандомизированное, многоцентровое, открытое, </w:t>
      </w:r>
      <w:r>
        <w:lastRenderedPageBreak/>
        <w:t>активно-контролируемое исследование у пациенток с распространенным РЭ которые ранее лечились по крайней мере одной предшествующей химиотерапией на основе платины, в том числе в неоадъювантной и адъювантной терапии. Участники могли получить до 2 платиносодержащих препаратов, если один из них применялся в неоадъювантной или адъювантной терапии. Из исследования исключены пациентки с саркомой эндометрия (включая карциносаркому), или пациенок с активным аутоиммунным заболеванием или заболеванием, требующим иммуносупрессии.</w:t>
      </w:r>
    </w:p>
    <w:p w14:paraId="79BA77FD" w14:textId="77777777" w:rsidR="00200EBA" w:rsidRDefault="00200EBA" w:rsidP="00200EBA">
      <w:pPr>
        <w:tabs>
          <w:tab w:val="left" w:pos="851"/>
        </w:tabs>
        <w:ind w:firstLine="709"/>
      </w:pPr>
      <w:r>
        <w:t>Пациентки были рандомизированы в группы (1:1).</w:t>
      </w:r>
    </w:p>
    <w:p w14:paraId="019A2411" w14:textId="77777777" w:rsidR="00200EBA" w:rsidRDefault="00200EBA" w:rsidP="00200EBA">
      <w:pPr>
        <w:tabs>
          <w:tab w:val="left" w:pos="851"/>
        </w:tabs>
        <w:ind w:firstLine="709"/>
      </w:pPr>
      <w:r>
        <w:t>Группы лечения:</w:t>
      </w:r>
    </w:p>
    <w:p w14:paraId="11665D18" w14:textId="77777777" w:rsidR="00200EBA" w:rsidRDefault="00200EBA" w:rsidP="00200EBA">
      <w:pPr>
        <w:pStyle w:val="af3"/>
        <w:numPr>
          <w:ilvl w:val="0"/>
          <w:numId w:val="25"/>
        </w:numPr>
      </w:pPr>
      <w:r>
        <w:t>Ленватиниб 20 мг перорально один раз в день в комбинации с пембролизумабом 200 мг внутривенно каждые 3 недели.</w:t>
      </w:r>
    </w:p>
    <w:p w14:paraId="1F0E2F0C" w14:textId="77777777" w:rsidR="00200EBA" w:rsidRDefault="00200EBA" w:rsidP="00200EBA">
      <w:pPr>
        <w:pStyle w:val="af3"/>
        <w:numPr>
          <w:ilvl w:val="0"/>
          <w:numId w:val="25"/>
        </w:numPr>
      </w:pPr>
      <w:r>
        <w:t>По выбору исследователя: либо доксорубицин 60 мг/м</w:t>
      </w:r>
      <w:r w:rsidRPr="00D07E1E">
        <w:rPr>
          <w:vertAlign w:val="superscript"/>
        </w:rPr>
        <w:t>2</w:t>
      </w:r>
      <w:r>
        <w:t xml:space="preserve"> каждые 3 недели, либо паклитаксел 80 мг/м</w:t>
      </w:r>
      <w:r w:rsidRPr="00D07E1E">
        <w:rPr>
          <w:vertAlign w:val="superscript"/>
        </w:rPr>
        <w:t>2</w:t>
      </w:r>
      <w:r>
        <w:t xml:space="preserve"> еженедельно, 3 недели приема/1 неделя перерыва.</w:t>
      </w:r>
    </w:p>
    <w:p w14:paraId="7E2FAFB7" w14:textId="77777777" w:rsidR="00200EBA" w:rsidRDefault="00200EBA" w:rsidP="00200EBA"/>
    <w:p w14:paraId="06750B90" w14:textId="77777777" w:rsidR="00200EBA" w:rsidRDefault="00200EBA" w:rsidP="00B22A42">
      <w:pPr>
        <w:ind w:firstLine="709"/>
      </w:pPr>
      <w:r>
        <w:t>Лечение ленватинибом и пембролизумабом продолжалось до тех пор, пока не отмечалось прогрессирование РЭ согласно RECIST v1.1. или развивалась непереносимая токсичность, максимальная продолжительность исследования была 24 месяца.</w:t>
      </w:r>
    </w:p>
    <w:p w14:paraId="534949C9" w14:textId="77777777" w:rsidR="00200EBA" w:rsidRDefault="00200EBA" w:rsidP="00B22A42">
      <w:pPr>
        <w:ind w:firstLine="709"/>
      </w:pPr>
      <w:r>
        <w:t xml:space="preserve">Введение исследуемого препарата разрешалось после прогрессирования заболевания, определенного по RECIST, если исследователь считал, что пациент получает клиническую пользу и не развивалась непереносимая токсичность. </w:t>
      </w:r>
    </w:p>
    <w:p w14:paraId="3DA07FE2" w14:textId="28C8AE57" w:rsidR="00200EBA" w:rsidRDefault="00200EBA" w:rsidP="00B22A42">
      <w:pPr>
        <w:ind w:firstLine="709"/>
      </w:pPr>
      <w:bookmarkStart w:id="224" w:name="_Hlk118213049"/>
      <w:r>
        <w:t>В общей сложности 827 пациентов были включены в исследование и рандомизированы для получения ленватиниба в комбинации с пембролизумабом</w:t>
      </w:r>
      <w:r w:rsidR="00D82983">
        <w:t xml:space="preserve"> </w:t>
      </w:r>
      <w:r>
        <w:t xml:space="preserve">(n=411) или доксорубицином (n=306) или паклитакселом (n=110). </w:t>
      </w:r>
    </w:p>
    <w:bookmarkEnd w:id="224"/>
    <w:p w14:paraId="5156CF1A" w14:textId="707C85CB" w:rsidR="00200EBA" w:rsidRDefault="00200EBA" w:rsidP="00B22A42">
      <w:pPr>
        <w:ind w:firstLine="709"/>
      </w:pPr>
      <w:r>
        <w:t xml:space="preserve">Первичными показателями эффективности были ОВ и ВБП (согласно оценке BICR с использованием RECIST 1.1). Вторичные показатели эффективности включали ЧОО по оценке BICR с использованием RECIST 1.1. </w:t>
      </w:r>
      <w:bookmarkEnd w:id="223"/>
      <w:r>
        <w:t>Основные результаты исследования представлены в таблице 4.</w:t>
      </w:r>
      <w:r w:rsidR="00046149">
        <w:t>4</w:t>
      </w:r>
    </w:p>
    <w:p w14:paraId="5204065F" w14:textId="10A91E40" w:rsidR="00200EBA" w:rsidRDefault="00200EBA" w:rsidP="006D4450"/>
    <w:p w14:paraId="51AF1826" w14:textId="2F8FA646" w:rsidR="00200EBA" w:rsidRDefault="00200EBA" w:rsidP="00200EBA">
      <w:pPr>
        <w:rPr>
          <w:bCs/>
        </w:rPr>
      </w:pPr>
      <w:r w:rsidRPr="00046149">
        <w:rPr>
          <w:b/>
          <w:bCs/>
        </w:rPr>
        <w:t>Таблица 4-</w:t>
      </w:r>
      <w:r w:rsidR="00046149">
        <w:rPr>
          <w:b/>
          <w:bCs/>
        </w:rPr>
        <w:t>4</w:t>
      </w:r>
      <w:r w:rsidR="006D4450">
        <w:rPr>
          <w:b/>
          <w:bCs/>
        </w:rPr>
        <w:t>.</w:t>
      </w:r>
      <w:r w:rsidRPr="00B07248">
        <w:rPr>
          <w:b/>
          <w:bCs/>
        </w:rPr>
        <w:t xml:space="preserve"> </w:t>
      </w:r>
      <w:r w:rsidRPr="006D4450">
        <w:rPr>
          <w:bCs/>
        </w:rPr>
        <w:t xml:space="preserve">Результаты эффективности исследования </w:t>
      </w:r>
      <w:r w:rsidRPr="006D4450">
        <w:rPr>
          <w:bCs/>
          <w:sz w:val="22"/>
          <w:szCs w:val="22"/>
          <w:lang w:val="en-US"/>
        </w:rPr>
        <w:t>MK</w:t>
      </w:r>
      <w:r w:rsidRPr="006D4450">
        <w:rPr>
          <w:bCs/>
          <w:sz w:val="22"/>
          <w:szCs w:val="22"/>
        </w:rPr>
        <w:t>-3475-775/</w:t>
      </w:r>
      <w:r w:rsidRPr="006D4450">
        <w:rPr>
          <w:bCs/>
          <w:sz w:val="22"/>
          <w:szCs w:val="22"/>
          <w:lang w:val="en-US"/>
        </w:rPr>
        <w:t>E</w:t>
      </w:r>
      <w:r w:rsidRPr="006D4450">
        <w:rPr>
          <w:bCs/>
          <w:sz w:val="22"/>
          <w:szCs w:val="22"/>
        </w:rPr>
        <w:t>7080-</w:t>
      </w:r>
      <w:r w:rsidRPr="006D4450">
        <w:rPr>
          <w:bCs/>
          <w:sz w:val="22"/>
          <w:szCs w:val="22"/>
          <w:lang w:val="en-US"/>
        </w:rPr>
        <w:t>G</w:t>
      </w:r>
      <w:r w:rsidRPr="006D4450">
        <w:rPr>
          <w:bCs/>
          <w:sz w:val="22"/>
          <w:szCs w:val="22"/>
        </w:rPr>
        <w:t>000-309</w:t>
      </w:r>
      <w:r w:rsidRPr="006D4450">
        <w:rPr>
          <w:bCs/>
        </w:rPr>
        <w:t xml:space="preserve"> у больных с </w:t>
      </w:r>
      <w:r w:rsidR="001978AF" w:rsidRPr="006D4450">
        <w:rPr>
          <w:bCs/>
        </w:rPr>
        <w:t>РЭ</w:t>
      </w:r>
      <w:r w:rsidRPr="006D4450">
        <w:rPr>
          <w:bCs/>
        </w:rPr>
        <w:t xml:space="preserve"> </w:t>
      </w:r>
      <w:r w:rsidRPr="006D4450">
        <w:rPr>
          <w:bCs/>
        </w:rPr>
        <w:fldChar w:fldCharType="begin"/>
      </w:r>
      <w:r w:rsidRPr="006D4450">
        <w:rPr>
          <w:bCs/>
        </w:rPr>
        <w:instrText xml:space="preserve"> ADDIN ZOTERO_ITEM CSL_CITATION {"citationID":"ZPvUlmWo","properties":{"formattedCitation":"[2]","plainCitation":"[2]","noteIndex":0},"citationItems":[{"id":2745,"uris":["http://zotero.org/users/5483459/items/95XEZDWJ"],"itemData":{"id":2745,"type":"document","title":"European  Medicines Agency. SUMMARY OF PRODUCT CHARACTERISTICS. LENVIMA 4 mg, 10 mg hard capsules.26.11.2021"}}],"schema":"https://github.com/citation-style-language/schema/raw/master/csl-citation.json"} </w:instrText>
      </w:r>
      <w:r w:rsidRPr="006D4450">
        <w:rPr>
          <w:bCs/>
        </w:rPr>
        <w:fldChar w:fldCharType="separate"/>
      </w:r>
      <w:r w:rsidRPr="006D4450">
        <w:t>[2]</w:t>
      </w:r>
      <w:r w:rsidRPr="006D4450">
        <w:rPr>
          <w:bCs/>
        </w:rPr>
        <w:fldChar w:fldCharType="end"/>
      </w:r>
      <w:r w:rsidR="006D4450">
        <w:rPr>
          <w:bCs/>
        </w:rPr>
        <w:t>.</w:t>
      </w:r>
    </w:p>
    <w:tbl>
      <w:tblPr>
        <w:tblStyle w:val="a8"/>
        <w:tblW w:w="9351" w:type="dxa"/>
        <w:tblLook w:val="04A0" w:firstRow="1" w:lastRow="0" w:firstColumn="1" w:lastColumn="0" w:noHBand="0" w:noVBand="1"/>
      </w:tblPr>
      <w:tblGrid>
        <w:gridCol w:w="3397"/>
        <w:gridCol w:w="2977"/>
        <w:gridCol w:w="2977"/>
      </w:tblGrid>
      <w:tr w:rsidR="00200EBA" w:rsidRPr="004321D6" w14:paraId="7FBA3236" w14:textId="77777777" w:rsidTr="0054382D">
        <w:trPr>
          <w:trHeight w:val="239"/>
          <w:tblHeader/>
        </w:trPr>
        <w:tc>
          <w:tcPr>
            <w:tcW w:w="3397" w:type="dxa"/>
            <w:vMerge w:val="restart"/>
            <w:shd w:val="clear" w:color="auto" w:fill="D9D9D9" w:themeFill="background1" w:themeFillShade="D9"/>
            <w:vAlign w:val="center"/>
          </w:tcPr>
          <w:p w14:paraId="453E56FA" w14:textId="77777777" w:rsidR="00200EBA" w:rsidRPr="004321D6" w:rsidRDefault="00200EBA" w:rsidP="00A85019">
            <w:pPr>
              <w:pStyle w:val="afff8"/>
              <w:rPr>
                <w:b/>
                <w:bCs/>
                <w:sz w:val="24"/>
              </w:rPr>
            </w:pPr>
            <w:r w:rsidRPr="004321D6">
              <w:rPr>
                <w:b/>
                <w:bCs/>
                <w:sz w:val="24"/>
              </w:rPr>
              <w:t>Критерии эффективности</w:t>
            </w:r>
          </w:p>
        </w:tc>
        <w:tc>
          <w:tcPr>
            <w:tcW w:w="5954" w:type="dxa"/>
            <w:gridSpan w:val="2"/>
            <w:shd w:val="clear" w:color="auto" w:fill="D9D9D9" w:themeFill="background1" w:themeFillShade="D9"/>
            <w:vAlign w:val="center"/>
          </w:tcPr>
          <w:p w14:paraId="039B8140" w14:textId="77777777" w:rsidR="00200EBA" w:rsidRPr="004321D6" w:rsidRDefault="00200EBA" w:rsidP="00A85019">
            <w:pPr>
              <w:pStyle w:val="afff8"/>
              <w:jc w:val="center"/>
              <w:rPr>
                <w:b/>
                <w:bCs/>
                <w:sz w:val="24"/>
              </w:rPr>
            </w:pPr>
            <w:r w:rsidRPr="004321D6">
              <w:rPr>
                <w:b/>
                <w:bCs/>
                <w:sz w:val="24"/>
              </w:rPr>
              <w:t>Группы</w:t>
            </w:r>
          </w:p>
        </w:tc>
      </w:tr>
      <w:tr w:rsidR="00200EBA" w:rsidRPr="004321D6" w14:paraId="1D84CDC6" w14:textId="77777777" w:rsidTr="0054382D">
        <w:trPr>
          <w:trHeight w:val="595"/>
          <w:tblHeader/>
        </w:trPr>
        <w:tc>
          <w:tcPr>
            <w:tcW w:w="3397" w:type="dxa"/>
            <w:vMerge/>
            <w:shd w:val="clear" w:color="auto" w:fill="D9D9D9" w:themeFill="background1" w:themeFillShade="D9"/>
            <w:vAlign w:val="center"/>
          </w:tcPr>
          <w:p w14:paraId="25254A23" w14:textId="77777777" w:rsidR="00200EBA" w:rsidRPr="004321D6" w:rsidRDefault="00200EBA" w:rsidP="00A85019">
            <w:pPr>
              <w:pStyle w:val="afff8"/>
              <w:rPr>
                <w:b/>
                <w:bCs/>
                <w:sz w:val="24"/>
              </w:rPr>
            </w:pPr>
          </w:p>
        </w:tc>
        <w:tc>
          <w:tcPr>
            <w:tcW w:w="2977" w:type="dxa"/>
            <w:shd w:val="clear" w:color="auto" w:fill="D9D9D9" w:themeFill="background1" w:themeFillShade="D9"/>
            <w:vAlign w:val="center"/>
          </w:tcPr>
          <w:p w14:paraId="07E8EE5E" w14:textId="29C8C394" w:rsidR="00200EBA" w:rsidRPr="004321D6" w:rsidRDefault="00200EBA" w:rsidP="0054382D">
            <w:pPr>
              <w:pStyle w:val="afff8"/>
              <w:jc w:val="center"/>
              <w:rPr>
                <w:b/>
                <w:bCs/>
                <w:sz w:val="24"/>
              </w:rPr>
            </w:pPr>
            <w:r w:rsidRPr="004321D6">
              <w:rPr>
                <w:b/>
                <w:bCs/>
                <w:sz w:val="24"/>
              </w:rPr>
              <w:t>Ленватиниб + пембролизумаб</w:t>
            </w:r>
            <w:r w:rsidR="0054382D">
              <w:rPr>
                <w:b/>
                <w:bCs/>
                <w:sz w:val="24"/>
              </w:rPr>
              <w:t xml:space="preserve"> </w:t>
            </w:r>
            <w:r w:rsidRPr="004321D6">
              <w:rPr>
                <w:b/>
                <w:bCs/>
                <w:sz w:val="24"/>
              </w:rPr>
              <w:t>(N= 411)</w:t>
            </w:r>
          </w:p>
        </w:tc>
        <w:tc>
          <w:tcPr>
            <w:tcW w:w="2977" w:type="dxa"/>
            <w:shd w:val="clear" w:color="auto" w:fill="D9D9D9" w:themeFill="background1" w:themeFillShade="D9"/>
            <w:vAlign w:val="center"/>
          </w:tcPr>
          <w:p w14:paraId="2AD08B82" w14:textId="229447E2" w:rsidR="00200EBA" w:rsidRPr="004321D6" w:rsidRDefault="00200EBA" w:rsidP="0054382D">
            <w:pPr>
              <w:pStyle w:val="afff8"/>
              <w:jc w:val="center"/>
              <w:rPr>
                <w:b/>
                <w:bCs/>
                <w:sz w:val="24"/>
              </w:rPr>
            </w:pPr>
            <w:r w:rsidRPr="004321D6">
              <w:rPr>
                <w:b/>
                <w:bCs/>
                <w:sz w:val="24"/>
              </w:rPr>
              <w:t>Доксорубицин + паклитаксел</w:t>
            </w:r>
            <w:r w:rsidR="0054382D">
              <w:rPr>
                <w:b/>
                <w:bCs/>
                <w:sz w:val="24"/>
              </w:rPr>
              <w:t xml:space="preserve"> </w:t>
            </w:r>
            <w:r w:rsidRPr="004321D6">
              <w:rPr>
                <w:b/>
                <w:bCs/>
                <w:sz w:val="24"/>
              </w:rPr>
              <w:t>(N= 416)</w:t>
            </w:r>
          </w:p>
        </w:tc>
      </w:tr>
      <w:tr w:rsidR="00200EBA" w:rsidRPr="004321D6" w14:paraId="20F19C95" w14:textId="77777777" w:rsidTr="0054382D">
        <w:trPr>
          <w:trHeight w:val="232"/>
        </w:trPr>
        <w:tc>
          <w:tcPr>
            <w:tcW w:w="3397" w:type="dxa"/>
            <w:vAlign w:val="center"/>
          </w:tcPr>
          <w:p w14:paraId="0AD6ECB7" w14:textId="06E91A5B" w:rsidR="00200EBA" w:rsidRPr="006D4450" w:rsidRDefault="005D6EC8" w:rsidP="00A85019">
            <w:pPr>
              <w:pStyle w:val="afff8"/>
              <w:rPr>
                <w:sz w:val="24"/>
              </w:rPr>
            </w:pPr>
            <w:r>
              <w:rPr>
                <w:sz w:val="24"/>
              </w:rPr>
              <w:t>ОВ</w:t>
            </w:r>
          </w:p>
        </w:tc>
        <w:tc>
          <w:tcPr>
            <w:tcW w:w="2977" w:type="dxa"/>
            <w:vAlign w:val="center"/>
          </w:tcPr>
          <w:p w14:paraId="7243DC67" w14:textId="145CFACC" w:rsidR="00200EBA" w:rsidRPr="004321D6" w:rsidRDefault="00200EBA" w:rsidP="008356A7">
            <w:pPr>
              <w:pStyle w:val="afff8"/>
              <w:jc w:val="center"/>
              <w:rPr>
                <w:sz w:val="24"/>
              </w:rPr>
            </w:pPr>
            <w:r w:rsidRPr="004321D6">
              <w:rPr>
                <w:sz w:val="24"/>
              </w:rPr>
              <w:t>13</w:t>
            </w:r>
            <w:r w:rsidR="008356A7">
              <w:rPr>
                <w:sz w:val="24"/>
              </w:rPr>
              <w:t>,</w:t>
            </w:r>
            <w:r w:rsidRPr="004321D6">
              <w:rPr>
                <w:sz w:val="24"/>
              </w:rPr>
              <w:t>6 (12</w:t>
            </w:r>
            <w:r w:rsidR="008356A7">
              <w:rPr>
                <w:sz w:val="24"/>
              </w:rPr>
              <w:t>,</w:t>
            </w:r>
            <w:r w:rsidRPr="004321D6">
              <w:rPr>
                <w:sz w:val="24"/>
              </w:rPr>
              <w:t>1</w:t>
            </w:r>
            <w:r w:rsidR="008356A7">
              <w:rPr>
                <w:sz w:val="24"/>
                <w:lang w:val="en-US"/>
              </w:rPr>
              <w:t>;</w:t>
            </w:r>
            <w:r w:rsidRPr="004321D6">
              <w:rPr>
                <w:sz w:val="24"/>
              </w:rPr>
              <w:t xml:space="preserve"> 14</w:t>
            </w:r>
            <w:r w:rsidR="008356A7">
              <w:rPr>
                <w:sz w:val="24"/>
              </w:rPr>
              <w:t>,</w:t>
            </w:r>
            <w:r w:rsidRPr="004321D6">
              <w:rPr>
                <w:sz w:val="24"/>
              </w:rPr>
              <w:t>9)</w:t>
            </w:r>
          </w:p>
        </w:tc>
        <w:tc>
          <w:tcPr>
            <w:tcW w:w="2977" w:type="dxa"/>
            <w:vAlign w:val="center"/>
          </w:tcPr>
          <w:p w14:paraId="306B56E7" w14:textId="7B532683" w:rsidR="00200EBA" w:rsidRPr="004321D6" w:rsidRDefault="00200EBA" w:rsidP="008356A7">
            <w:pPr>
              <w:pStyle w:val="afff8"/>
              <w:jc w:val="center"/>
              <w:rPr>
                <w:sz w:val="24"/>
              </w:rPr>
            </w:pPr>
            <w:r w:rsidRPr="004321D6">
              <w:rPr>
                <w:sz w:val="24"/>
              </w:rPr>
              <w:t>12</w:t>
            </w:r>
            <w:r w:rsidR="008356A7">
              <w:rPr>
                <w:sz w:val="24"/>
              </w:rPr>
              <w:t>,</w:t>
            </w:r>
            <w:r w:rsidRPr="004321D6">
              <w:rPr>
                <w:sz w:val="24"/>
              </w:rPr>
              <w:t>3 (10</w:t>
            </w:r>
            <w:r w:rsidR="008356A7">
              <w:rPr>
                <w:sz w:val="24"/>
              </w:rPr>
              <w:t>,</w:t>
            </w:r>
            <w:r w:rsidRPr="004321D6">
              <w:rPr>
                <w:sz w:val="24"/>
              </w:rPr>
              <w:t>4</w:t>
            </w:r>
            <w:r w:rsidR="008356A7">
              <w:rPr>
                <w:sz w:val="24"/>
                <w:lang w:val="en-US"/>
              </w:rPr>
              <w:t>;</w:t>
            </w:r>
            <w:r w:rsidRPr="004321D6">
              <w:rPr>
                <w:sz w:val="24"/>
              </w:rPr>
              <w:t xml:space="preserve"> 13</w:t>
            </w:r>
            <w:r w:rsidR="008356A7">
              <w:rPr>
                <w:sz w:val="24"/>
              </w:rPr>
              <w:t>,</w:t>
            </w:r>
            <w:r w:rsidRPr="004321D6">
              <w:rPr>
                <w:sz w:val="24"/>
              </w:rPr>
              <w:t>9)</w:t>
            </w:r>
          </w:p>
        </w:tc>
      </w:tr>
      <w:tr w:rsidR="00200EBA" w:rsidRPr="004321D6" w14:paraId="5BF2F3F8" w14:textId="77777777" w:rsidTr="0054382D">
        <w:trPr>
          <w:trHeight w:val="505"/>
        </w:trPr>
        <w:tc>
          <w:tcPr>
            <w:tcW w:w="3397" w:type="dxa"/>
            <w:vAlign w:val="center"/>
          </w:tcPr>
          <w:p w14:paraId="7010D099" w14:textId="77777777" w:rsidR="00200EBA" w:rsidRPr="004321D6" w:rsidRDefault="00200EBA" w:rsidP="00A85019">
            <w:pPr>
              <w:pStyle w:val="afff8"/>
              <w:rPr>
                <w:sz w:val="24"/>
              </w:rPr>
            </w:pPr>
            <w:r w:rsidRPr="004321D6">
              <w:rPr>
                <w:sz w:val="24"/>
              </w:rPr>
              <w:t>Количество (%) пациентов с событием</w:t>
            </w:r>
          </w:p>
        </w:tc>
        <w:tc>
          <w:tcPr>
            <w:tcW w:w="2977" w:type="dxa"/>
            <w:vAlign w:val="center"/>
          </w:tcPr>
          <w:p w14:paraId="501F80EE" w14:textId="77777777" w:rsidR="00200EBA" w:rsidRPr="004321D6" w:rsidRDefault="00200EBA" w:rsidP="00A85019">
            <w:pPr>
              <w:pStyle w:val="afff8"/>
              <w:jc w:val="center"/>
              <w:rPr>
                <w:sz w:val="24"/>
              </w:rPr>
            </w:pPr>
            <w:r w:rsidRPr="004321D6">
              <w:rPr>
                <w:sz w:val="24"/>
              </w:rPr>
              <w:t>188 (46%)</w:t>
            </w:r>
          </w:p>
        </w:tc>
        <w:tc>
          <w:tcPr>
            <w:tcW w:w="2977" w:type="dxa"/>
            <w:vAlign w:val="center"/>
          </w:tcPr>
          <w:p w14:paraId="63A21455" w14:textId="77777777" w:rsidR="00200EBA" w:rsidRPr="004321D6" w:rsidRDefault="00200EBA" w:rsidP="00A85019">
            <w:pPr>
              <w:pStyle w:val="afff8"/>
              <w:jc w:val="center"/>
              <w:rPr>
                <w:sz w:val="24"/>
              </w:rPr>
            </w:pPr>
            <w:r w:rsidRPr="004321D6">
              <w:rPr>
                <w:sz w:val="24"/>
              </w:rPr>
              <w:t>245 (59%)</w:t>
            </w:r>
          </w:p>
        </w:tc>
      </w:tr>
      <w:tr w:rsidR="00200EBA" w:rsidRPr="004321D6" w14:paraId="14546A45" w14:textId="77777777" w:rsidTr="0054382D">
        <w:trPr>
          <w:trHeight w:val="64"/>
        </w:trPr>
        <w:tc>
          <w:tcPr>
            <w:tcW w:w="3397" w:type="dxa"/>
            <w:vAlign w:val="center"/>
          </w:tcPr>
          <w:p w14:paraId="12864AF0" w14:textId="77777777" w:rsidR="00200EBA" w:rsidRPr="004321D6" w:rsidRDefault="00200EBA" w:rsidP="00A85019">
            <w:pPr>
              <w:pStyle w:val="afff8"/>
              <w:rPr>
                <w:sz w:val="24"/>
              </w:rPr>
            </w:pPr>
            <w:r w:rsidRPr="004321D6">
              <w:rPr>
                <w:sz w:val="24"/>
              </w:rPr>
              <w:t>Медиана в месяцах (95%ДИ)</w:t>
            </w:r>
          </w:p>
        </w:tc>
        <w:tc>
          <w:tcPr>
            <w:tcW w:w="2977" w:type="dxa"/>
            <w:vAlign w:val="center"/>
          </w:tcPr>
          <w:p w14:paraId="44F5847F" w14:textId="155C929B" w:rsidR="00200EBA" w:rsidRPr="004321D6" w:rsidRDefault="00200EBA" w:rsidP="008356A7">
            <w:pPr>
              <w:pStyle w:val="afff8"/>
              <w:jc w:val="center"/>
              <w:rPr>
                <w:sz w:val="24"/>
              </w:rPr>
            </w:pPr>
            <w:r w:rsidRPr="004321D6">
              <w:rPr>
                <w:sz w:val="24"/>
              </w:rPr>
              <w:t>7</w:t>
            </w:r>
            <w:r w:rsidR="008356A7">
              <w:rPr>
                <w:sz w:val="24"/>
              </w:rPr>
              <w:t>,</w:t>
            </w:r>
            <w:r w:rsidRPr="004321D6">
              <w:rPr>
                <w:sz w:val="24"/>
              </w:rPr>
              <w:t>2 (5</w:t>
            </w:r>
            <w:r w:rsidR="008356A7">
              <w:rPr>
                <w:sz w:val="24"/>
              </w:rPr>
              <w:t>,</w:t>
            </w:r>
            <w:r w:rsidRPr="004321D6">
              <w:rPr>
                <w:sz w:val="24"/>
              </w:rPr>
              <w:t>7</w:t>
            </w:r>
            <w:r w:rsidR="008356A7">
              <w:rPr>
                <w:sz w:val="24"/>
                <w:lang w:val="en-US"/>
              </w:rPr>
              <w:t>;</w:t>
            </w:r>
            <w:r w:rsidRPr="004321D6">
              <w:rPr>
                <w:sz w:val="24"/>
              </w:rPr>
              <w:t xml:space="preserve"> 7</w:t>
            </w:r>
            <w:r w:rsidR="008356A7">
              <w:rPr>
                <w:sz w:val="24"/>
              </w:rPr>
              <w:t>,</w:t>
            </w:r>
            <w:r w:rsidRPr="004321D6">
              <w:rPr>
                <w:sz w:val="24"/>
              </w:rPr>
              <w:t>6)</w:t>
            </w:r>
          </w:p>
        </w:tc>
        <w:tc>
          <w:tcPr>
            <w:tcW w:w="2977" w:type="dxa"/>
            <w:vAlign w:val="center"/>
          </w:tcPr>
          <w:p w14:paraId="19E8D587" w14:textId="02244101" w:rsidR="00200EBA" w:rsidRPr="004321D6" w:rsidRDefault="00200EBA" w:rsidP="008356A7">
            <w:pPr>
              <w:pStyle w:val="afff8"/>
              <w:jc w:val="center"/>
              <w:rPr>
                <w:sz w:val="24"/>
              </w:rPr>
            </w:pPr>
            <w:r w:rsidRPr="004321D6">
              <w:rPr>
                <w:sz w:val="24"/>
              </w:rPr>
              <w:t>11</w:t>
            </w:r>
            <w:r w:rsidR="008356A7">
              <w:rPr>
                <w:sz w:val="24"/>
              </w:rPr>
              <w:t>,</w:t>
            </w:r>
            <w:r w:rsidRPr="004321D6">
              <w:rPr>
                <w:sz w:val="24"/>
              </w:rPr>
              <w:t>4 (10</w:t>
            </w:r>
            <w:r w:rsidR="008356A7">
              <w:rPr>
                <w:sz w:val="24"/>
              </w:rPr>
              <w:t>,</w:t>
            </w:r>
            <w:r w:rsidRPr="004321D6">
              <w:rPr>
                <w:sz w:val="24"/>
              </w:rPr>
              <w:t>5</w:t>
            </w:r>
            <w:r w:rsidR="008356A7">
              <w:rPr>
                <w:sz w:val="24"/>
                <w:lang w:val="en-US"/>
              </w:rPr>
              <w:t>;</w:t>
            </w:r>
            <w:r w:rsidRPr="004321D6">
              <w:rPr>
                <w:sz w:val="24"/>
              </w:rPr>
              <w:t xml:space="preserve"> 12</w:t>
            </w:r>
            <w:r w:rsidR="008356A7">
              <w:rPr>
                <w:sz w:val="24"/>
              </w:rPr>
              <w:t>,</w:t>
            </w:r>
            <w:r w:rsidRPr="004321D6">
              <w:rPr>
                <w:sz w:val="24"/>
              </w:rPr>
              <w:t>9)</w:t>
            </w:r>
          </w:p>
        </w:tc>
      </w:tr>
      <w:tr w:rsidR="00200EBA" w:rsidRPr="004321D6" w14:paraId="79FD8995" w14:textId="77777777" w:rsidTr="0054382D">
        <w:trPr>
          <w:trHeight w:val="64"/>
        </w:trPr>
        <w:tc>
          <w:tcPr>
            <w:tcW w:w="3397" w:type="dxa"/>
            <w:vAlign w:val="center"/>
          </w:tcPr>
          <w:p w14:paraId="057DA4D3" w14:textId="77777777" w:rsidR="00200EBA" w:rsidRPr="004321D6" w:rsidRDefault="00200EBA" w:rsidP="00A85019">
            <w:pPr>
              <w:pStyle w:val="afff8"/>
              <w:rPr>
                <w:sz w:val="24"/>
              </w:rPr>
            </w:pPr>
            <w:r w:rsidRPr="004321D6">
              <w:rPr>
                <w:sz w:val="24"/>
              </w:rPr>
              <w:t>Отношение рисков (ДИ 95%)</w:t>
            </w:r>
            <w:r w:rsidRPr="004321D6">
              <w:rPr>
                <w:sz w:val="24"/>
                <w:vertAlign w:val="superscript"/>
                <w:lang w:val="en-US"/>
              </w:rPr>
              <w:t>a</w:t>
            </w:r>
          </w:p>
        </w:tc>
        <w:tc>
          <w:tcPr>
            <w:tcW w:w="5954" w:type="dxa"/>
            <w:gridSpan w:val="2"/>
            <w:vAlign w:val="center"/>
          </w:tcPr>
          <w:p w14:paraId="4028D844" w14:textId="0DE6EE31" w:rsidR="00200EBA" w:rsidRPr="004321D6" w:rsidRDefault="00200EBA" w:rsidP="008356A7">
            <w:pPr>
              <w:pStyle w:val="afff8"/>
              <w:jc w:val="center"/>
              <w:rPr>
                <w:sz w:val="24"/>
              </w:rPr>
            </w:pPr>
            <w:r w:rsidRPr="004321D6">
              <w:rPr>
                <w:sz w:val="24"/>
              </w:rPr>
              <w:t>3</w:t>
            </w:r>
            <w:r w:rsidR="008356A7">
              <w:rPr>
                <w:sz w:val="24"/>
              </w:rPr>
              <w:t>,</w:t>
            </w:r>
            <w:r w:rsidRPr="004321D6">
              <w:rPr>
                <w:sz w:val="24"/>
              </w:rPr>
              <w:t>8 (3</w:t>
            </w:r>
            <w:r w:rsidR="008356A7">
              <w:rPr>
                <w:sz w:val="24"/>
              </w:rPr>
              <w:t>,</w:t>
            </w:r>
            <w:r w:rsidRPr="004321D6">
              <w:rPr>
                <w:sz w:val="24"/>
              </w:rPr>
              <w:t>6</w:t>
            </w:r>
            <w:r w:rsidR="008356A7">
              <w:rPr>
                <w:sz w:val="24"/>
                <w:lang w:val="en-US"/>
              </w:rPr>
              <w:t>;</w:t>
            </w:r>
            <w:r w:rsidRPr="004321D6">
              <w:rPr>
                <w:sz w:val="24"/>
              </w:rPr>
              <w:t xml:space="preserve"> 4</w:t>
            </w:r>
            <w:r w:rsidR="008356A7">
              <w:rPr>
                <w:sz w:val="24"/>
              </w:rPr>
              <w:t>,</w:t>
            </w:r>
            <w:r w:rsidRPr="004321D6">
              <w:rPr>
                <w:sz w:val="24"/>
              </w:rPr>
              <w:t>2)</w:t>
            </w:r>
          </w:p>
        </w:tc>
      </w:tr>
      <w:tr w:rsidR="00200EBA" w:rsidRPr="004321D6" w14:paraId="18B3D361" w14:textId="77777777" w:rsidTr="0054382D">
        <w:trPr>
          <w:trHeight w:val="265"/>
        </w:trPr>
        <w:tc>
          <w:tcPr>
            <w:tcW w:w="3397" w:type="dxa"/>
            <w:vAlign w:val="center"/>
          </w:tcPr>
          <w:p w14:paraId="0E941404" w14:textId="77777777" w:rsidR="00200EBA" w:rsidRPr="004321D6" w:rsidRDefault="00200EBA" w:rsidP="00A85019">
            <w:pPr>
              <w:pStyle w:val="afff8"/>
              <w:rPr>
                <w:sz w:val="24"/>
              </w:rPr>
            </w:pPr>
            <w:r w:rsidRPr="004321D6">
              <w:rPr>
                <w:sz w:val="24"/>
                <w:lang w:val="en-US"/>
              </w:rPr>
              <w:t>P</w:t>
            </w:r>
            <w:r w:rsidRPr="004321D6">
              <w:rPr>
                <w:sz w:val="24"/>
              </w:rPr>
              <w:t>-уровень</w:t>
            </w:r>
            <w:r w:rsidRPr="004321D6">
              <w:rPr>
                <w:sz w:val="24"/>
                <w:lang w:val="en-US"/>
              </w:rPr>
              <w:t xml:space="preserve"> </w:t>
            </w:r>
            <w:r w:rsidRPr="004321D6">
              <w:rPr>
                <w:sz w:val="24"/>
                <w:vertAlign w:val="superscript"/>
                <w:lang w:val="en-US"/>
              </w:rPr>
              <w:t>b</w:t>
            </w:r>
          </w:p>
        </w:tc>
        <w:tc>
          <w:tcPr>
            <w:tcW w:w="5954" w:type="dxa"/>
            <w:gridSpan w:val="2"/>
            <w:vAlign w:val="center"/>
          </w:tcPr>
          <w:p w14:paraId="61D08CBB" w14:textId="7B97C8BA" w:rsidR="00200EBA" w:rsidRPr="004321D6" w:rsidRDefault="00200EBA" w:rsidP="00A85019">
            <w:pPr>
              <w:pStyle w:val="afff8"/>
              <w:jc w:val="center"/>
              <w:rPr>
                <w:sz w:val="24"/>
              </w:rPr>
            </w:pPr>
            <w:r w:rsidRPr="004321D6">
              <w:rPr>
                <w:sz w:val="24"/>
              </w:rPr>
              <w:t>&lt;0</w:t>
            </w:r>
            <w:r w:rsidR="008356A7">
              <w:rPr>
                <w:sz w:val="24"/>
              </w:rPr>
              <w:t>,</w:t>
            </w:r>
            <w:r w:rsidRPr="004321D6">
              <w:rPr>
                <w:sz w:val="24"/>
              </w:rPr>
              <w:t>0001</w:t>
            </w:r>
          </w:p>
        </w:tc>
      </w:tr>
      <w:tr w:rsidR="00200EBA" w:rsidRPr="004321D6" w14:paraId="2F464695" w14:textId="77777777" w:rsidTr="0054382D">
        <w:trPr>
          <w:trHeight w:val="256"/>
        </w:trPr>
        <w:tc>
          <w:tcPr>
            <w:tcW w:w="3397" w:type="dxa"/>
            <w:vAlign w:val="center"/>
          </w:tcPr>
          <w:p w14:paraId="45C0E3DD" w14:textId="37A4CC22" w:rsidR="00200EBA" w:rsidRPr="004321D6" w:rsidRDefault="005D6EC8" w:rsidP="00A85019">
            <w:pPr>
              <w:pStyle w:val="afff8"/>
              <w:rPr>
                <w:sz w:val="24"/>
              </w:rPr>
            </w:pPr>
            <w:r>
              <w:rPr>
                <w:sz w:val="24"/>
              </w:rPr>
              <w:t>ВБП</w:t>
            </w:r>
            <w:r w:rsidR="00200EBA" w:rsidRPr="004321D6">
              <w:rPr>
                <w:sz w:val="24"/>
              </w:rPr>
              <w:t xml:space="preserve"> (mRECIST)</w:t>
            </w:r>
          </w:p>
        </w:tc>
        <w:tc>
          <w:tcPr>
            <w:tcW w:w="2977" w:type="dxa"/>
            <w:vAlign w:val="center"/>
          </w:tcPr>
          <w:p w14:paraId="13F274E6" w14:textId="77777777" w:rsidR="00200EBA" w:rsidRPr="004321D6" w:rsidRDefault="00200EBA" w:rsidP="00A85019">
            <w:pPr>
              <w:pStyle w:val="afff8"/>
              <w:rPr>
                <w:sz w:val="24"/>
              </w:rPr>
            </w:pPr>
          </w:p>
        </w:tc>
        <w:tc>
          <w:tcPr>
            <w:tcW w:w="2977" w:type="dxa"/>
            <w:vAlign w:val="center"/>
          </w:tcPr>
          <w:p w14:paraId="577B4656" w14:textId="77777777" w:rsidR="00200EBA" w:rsidRPr="004321D6" w:rsidRDefault="00200EBA" w:rsidP="00A85019">
            <w:pPr>
              <w:pStyle w:val="afff8"/>
              <w:rPr>
                <w:sz w:val="24"/>
              </w:rPr>
            </w:pPr>
          </w:p>
        </w:tc>
      </w:tr>
      <w:tr w:rsidR="00200EBA" w:rsidRPr="004321D6" w14:paraId="59A7AE43" w14:textId="77777777" w:rsidTr="0054382D">
        <w:trPr>
          <w:trHeight w:val="497"/>
        </w:trPr>
        <w:tc>
          <w:tcPr>
            <w:tcW w:w="3397" w:type="dxa"/>
            <w:vAlign w:val="center"/>
          </w:tcPr>
          <w:p w14:paraId="360E86D7" w14:textId="77777777" w:rsidR="00200EBA" w:rsidRPr="004321D6" w:rsidRDefault="00200EBA" w:rsidP="00A85019">
            <w:pPr>
              <w:pStyle w:val="afff8"/>
              <w:rPr>
                <w:sz w:val="24"/>
              </w:rPr>
            </w:pPr>
            <w:r w:rsidRPr="004321D6">
              <w:rPr>
                <w:sz w:val="24"/>
              </w:rPr>
              <w:t>Количество (%) пациентов с событием</w:t>
            </w:r>
          </w:p>
        </w:tc>
        <w:tc>
          <w:tcPr>
            <w:tcW w:w="2977" w:type="dxa"/>
            <w:vAlign w:val="center"/>
          </w:tcPr>
          <w:p w14:paraId="6657AF3C" w14:textId="77777777" w:rsidR="00200EBA" w:rsidRPr="004321D6" w:rsidRDefault="00200EBA" w:rsidP="00A85019">
            <w:pPr>
              <w:pStyle w:val="afff8"/>
              <w:jc w:val="center"/>
              <w:rPr>
                <w:sz w:val="24"/>
              </w:rPr>
            </w:pPr>
            <w:r w:rsidRPr="004321D6">
              <w:rPr>
                <w:sz w:val="24"/>
              </w:rPr>
              <w:t>281 (68%)</w:t>
            </w:r>
          </w:p>
        </w:tc>
        <w:tc>
          <w:tcPr>
            <w:tcW w:w="2977" w:type="dxa"/>
            <w:vAlign w:val="center"/>
          </w:tcPr>
          <w:p w14:paraId="4CEA756D" w14:textId="77777777" w:rsidR="00200EBA" w:rsidRPr="004321D6" w:rsidRDefault="00200EBA" w:rsidP="00A85019">
            <w:pPr>
              <w:pStyle w:val="afff8"/>
              <w:jc w:val="center"/>
              <w:rPr>
                <w:sz w:val="24"/>
              </w:rPr>
            </w:pPr>
            <w:r w:rsidRPr="004321D6">
              <w:rPr>
                <w:sz w:val="24"/>
              </w:rPr>
              <w:t>286 (69%)</w:t>
            </w:r>
          </w:p>
        </w:tc>
      </w:tr>
      <w:tr w:rsidR="00200EBA" w:rsidRPr="004321D6" w14:paraId="5000046F" w14:textId="77777777" w:rsidTr="0054382D">
        <w:trPr>
          <w:trHeight w:val="405"/>
        </w:trPr>
        <w:tc>
          <w:tcPr>
            <w:tcW w:w="3397" w:type="dxa"/>
            <w:vAlign w:val="center"/>
          </w:tcPr>
          <w:p w14:paraId="10D52E1D" w14:textId="77777777" w:rsidR="00200EBA" w:rsidRPr="004321D6" w:rsidRDefault="00200EBA" w:rsidP="00A85019">
            <w:pPr>
              <w:pStyle w:val="afff8"/>
              <w:rPr>
                <w:sz w:val="24"/>
              </w:rPr>
            </w:pPr>
            <w:r w:rsidRPr="004321D6">
              <w:rPr>
                <w:sz w:val="24"/>
              </w:rPr>
              <w:t>Медиана в месяцах (95%ДИ)</w:t>
            </w:r>
          </w:p>
        </w:tc>
        <w:tc>
          <w:tcPr>
            <w:tcW w:w="2977" w:type="dxa"/>
            <w:vAlign w:val="center"/>
          </w:tcPr>
          <w:p w14:paraId="5D56C5FB" w14:textId="19ABB1A2" w:rsidR="00200EBA" w:rsidRPr="004321D6" w:rsidRDefault="00200EBA" w:rsidP="008356A7">
            <w:pPr>
              <w:pStyle w:val="afff8"/>
              <w:jc w:val="center"/>
              <w:rPr>
                <w:sz w:val="24"/>
              </w:rPr>
            </w:pPr>
            <w:r w:rsidRPr="004321D6">
              <w:rPr>
                <w:sz w:val="24"/>
              </w:rPr>
              <w:t>7</w:t>
            </w:r>
            <w:r w:rsidR="008356A7">
              <w:rPr>
                <w:sz w:val="24"/>
              </w:rPr>
              <w:t>,</w:t>
            </w:r>
            <w:r w:rsidRPr="004321D6">
              <w:rPr>
                <w:sz w:val="24"/>
              </w:rPr>
              <w:t>2 (5</w:t>
            </w:r>
            <w:r w:rsidR="008356A7">
              <w:rPr>
                <w:sz w:val="24"/>
              </w:rPr>
              <w:t>,</w:t>
            </w:r>
            <w:r w:rsidRPr="004321D6">
              <w:rPr>
                <w:sz w:val="24"/>
              </w:rPr>
              <w:t>7</w:t>
            </w:r>
            <w:r w:rsidR="008356A7">
              <w:rPr>
                <w:sz w:val="24"/>
                <w:lang w:val="en-US"/>
              </w:rPr>
              <w:t>;</w:t>
            </w:r>
            <w:r w:rsidRPr="004321D6">
              <w:rPr>
                <w:sz w:val="24"/>
              </w:rPr>
              <w:t xml:space="preserve"> 7</w:t>
            </w:r>
            <w:r w:rsidR="008356A7">
              <w:rPr>
                <w:sz w:val="24"/>
              </w:rPr>
              <w:t>,</w:t>
            </w:r>
            <w:r w:rsidRPr="004321D6">
              <w:rPr>
                <w:sz w:val="24"/>
              </w:rPr>
              <w:t>6)</w:t>
            </w:r>
          </w:p>
        </w:tc>
        <w:tc>
          <w:tcPr>
            <w:tcW w:w="2977" w:type="dxa"/>
            <w:vAlign w:val="center"/>
          </w:tcPr>
          <w:p w14:paraId="64F617E8" w14:textId="6201B318" w:rsidR="00200EBA" w:rsidRPr="004321D6" w:rsidRDefault="00200EBA" w:rsidP="008356A7">
            <w:pPr>
              <w:pStyle w:val="afff8"/>
              <w:jc w:val="center"/>
              <w:rPr>
                <w:sz w:val="24"/>
              </w:rPr>
            </w:pPr>
            <w:r w:rsidRPr="004321D6">
              <w:rPr>
                <w:sz w:val="24"/>
              </w:rPr>
              <w:t>3</w:t>
            </w:r>
            <w:r w:rsidR="008356A7">
              <w:rPr>
                <w:sz w:val="24"/>
              </w:rPr>
              <w:t>,</w:t>
            </w:r>
            <w:r w:rsidRPr="004321D6">
              <w:rPr>
                <w:sz w:val="24"/>
              </w:rPr>
              <w:t>8 (3</w:t>
            </w:r>
            <w:r w:rsidR="008356A7">
              <w:rPr>
                <w:sz w:val="24"/>
              </w:rPr>
              <w:t>,</w:t>
            </w:r>
            <w:r w:rsidRPr="004321D6">
              <w:rPr>
                <w:sz w:val="24"/>
              </w:rPr>
              <w:t>6</w:t>
            </w:r>
            <w:r w:rsidR="008356A7">
              <w:rPr>
                <w:sz w:val="24"/>
                <w:lang w:val="en-US"/>
              </w:rPr>
              <w:t>;</w:t>
            </w:r>
            <w:r w:rsidRPr="004321D6">
              <w:rPr>
                <w:sz w:val="24"/>
              </w:rPr>
              <w:t xml:space="preserve"> 4</w:t>
            </w:r>
            <w:r w:rsidR="008356A7">
              <w:rPr>
                <w:sz w:val="24"/>
              </w:rPr>
              <w:t>,</w:t>
            </w:r>
            <w:r w:rsidRPr="004321D6">
              <w:rPr>
                <w:sz w:val="24"/>
              </w:rPr>
              <w:t>2)</w:t>
            </w:r>
          </w:p>
        </w:tc>
      </w:tr>
      <w:tr w:rsidR="00200EBA" w:rsidRPr="004321D6" w14:paraId="1B5D9FD3" w14:textId="77777777" w:rsidTr="0054382D">
        <w:trPr>
          <w:trHeight w:val="64"/>
        </w:trPr>
        <w:tc>
          <w:tcPr>
            <w:tcW w:w="3397" w:type="dxa"/>
            <w:vAlign w:val="center"/>
          </w:tcPr>
          <w:p w14:paraId="2BB6F868" w14:textId="77777777" w:rsidR="00200EBA" w:rsidRPr="004321D6" w:rsidRDefault="00200EBA" w:rsidP="00A85019">
            <w:pPr>
              <w:pStyle w:val="afff8"/>
              <w:rPr>
                <w:sz w:val="24"/>
              </w:rPr>
            </w:pPr>
            <w:r w:rsidRPr="004321D6">
              <w:rPr>
                <w:sz w:val="24"/>
              </w:rPr>
              <w:t>Отношение рисков (ДИ 95%)</w:t>
            </w:r>
            <w:r w:rsidRPr="004321D6">
              <w:rPr>
                <w:sz w:val="24"/>
                <w:vertAlign w:val="superscript"/>
                <w:lang w:val="en-US"/>
              </w:rPr>
              <w:t>a</w:t>
            </w:r>
          </w:p>
        </w:tc>
        <w:tc>
          <w:tcPr>
            <w:tcW w:w="5954" w:type="dxa"/>
            <w:gridSpan w:val="2"/>
            <w:vAlign w:val="center"/>
          </w:tcPr>
          <w:p w14:paraId="25647EB5" w14:textId="70CC89D8" w:rsidR="00200EBA" w:rsidRPr="004321D6" w:rsidRDefault="00200EBA" w:rsidP="008356A7">
            <w:pPr>
              <w:pStyle w:val="afff8"/>
              <w:jc w:val="center"/>
              <w:rPr>
                <w:sz w:val="24"/>
              </w:rPr>
            </w:pPr>
            <w:r w:rsidRPr="004321D6">
              <w:rPr>
                <w:sz w:val="24"/>
              </w:rPr>
              <w:t>0</w:t>
            </w:r>
            <w:r w:rsidR="008356A7">
              <w:rPr>
                <w:sz w:val="24"/>
              </w:rPr>
              <w:t>,</w:t>
            </w:r>
            <w:r w:rsidRPr="004321D6">
              <w:rPr>
                <w:sz w:val="24"/>
              </w:rPr>
              <w:t>56 (0</w:t>
            </w:r>
            <w:r w:rsidR="008356A7">
              <w:rPr>
                <w:sz w:val="24"/>
              </w:rPr>
              <w:t>,</w:t>
            </w:r>
            <w:r w:rsidRPr="004321D6">
              <w:rPr>
                <w:sz w:val="24"/>
              </w:rPr>
              <w:t>47</w:t>
            </w:r>
            <w:r w:rsidR="008356A7">
              <w:rPr>
                <w:sz w:val="24"/>
                <w:lang w:val="en-US"/>
              </w:rPr>
              <w:t>;</w:t>
            </w:r>
            <w:r w:rsidRPr="004321D6">
              <w:rPr>
                <w:sz w:val="24"/>
              </w:rPr>
              <w:t xml:space="preserve"> 0</w:t>
            </w:r>
            <w:r w:rsidR="008356A7">
              <w:rPr>
                <w:sz w:val="24"/>
              </w:rPr>
              <w:t>,</w:t>
            </w:r>
            <w:r w:rsidRPr="004321D6">
              <w:rPr>
                <w:sz w:val="24"/>
              </w:rPr>
              <w:t>66)</w:t>
            </w:r>
          </w:p>
        </w:tc>
      </w:tr>
      <w:tr w:rsidR="00200EBA" w:rsidRPr="004321D6" w14:paraId="3093E3AC" w14:textId="77777777" w:rsidTr="0054382D">
        <w:trPr>
          <w:trHeight w:val="283"/>
        </w:trPr>
        <w:tc>
          <w:tcPr>
            <w:tcW w:w="3397" w:type="dxa"/>
            <w:vAlign w:val="center"/>
          </w:tcPr>
          <w:p w14:paraId="71C932B9" w14:textId="4837FB3C" w:rsidR="00200EBA" w:rsidRPr="004321D6" w:rsidRDefault="00200EBA" w:rsidP="00A85019">
            <w:pPr>
              <w:pStyle w:val="afff8"/>
              <w:rPr>
                <w:sz w:val="24"/>
              </w:rPr>
            </w:pPr>
            <w:r w:rsidRPr="004321D6">
              <w:rPr>
                <w:sz w:val="24"/>
                <w:lang w:val="en-US"/>
              </w:rPr>
              <w:t>P</w:t>
            </w:r>
            <w:r w:rsidRPr="004321D6">
              <w:rPr>
                <w:sz w:val="24"/>
              </w:rPr>
              <w:t>-уровень</w:t>
            </w:r>
            <w:r w:rsidRPr="004321D6">
              <w:rPr>
                <w:sz w:val="24"/>
                <w:vertAlign w:val="superscript"/>
                <w:lang w:val="en-US"/>
              </w:rPr>
              <w:t>b</w:t>
            </w:r>
          </w:p>
        </w:tc>
        <w:tc>
          <w:tcPr>
            <w:tcW w:w="5954" w:type="dxa"/>
            <w:gridSpan w:val="2"/>
            <w:vAlign w:val="center"/>
          </w:tcPr>
          <w:p w14:paraId="4EABD193" w14:textId="40D1252C" w:rsidR="00200EBA" w:rsidRPr="004321D6" w:rsidRDefault="00200EBA" w:rsidP="00A85019">
            <w:pPr>
              <w:pStyle w:val="afff8"/>
              <w:jc w:val="center"/>
              <w:rPr>
                <w:sz w:val="24"/>
              </w:rPr>
            </w:pPr>
            <w:r w:rsidRPr="004321D6">
              <w:rPr>
                <w:sz w:val="24"/>
              </w:rPr>
              <w:t>&lt;0</w:t>
            </w:r>
            <w:r w:rsidR="008356A7">
              <w:rPr>
                <w:sz w:val="24"/>
              </w:rPr>
              <w:t>,</w:t>
            </w:r>
            <w:r w:rsidRPr="004321D6">
              <w:rPr>
                <w:sz w:val="24"/>
              </w:rPr>
              <w:t>0001</w:t>
            </w:r>
          </w:p>
        </w:tc>
      </w:tr>
      <w:tr w:rsidR="00200EBA" w:rsidRPr="004321D6" w14:paraId="5F6B3CD9" w14:textId="77777777" w:rsidTr="0054382D">
        <w:trPr>
          <w:trHeight w:val="64"/>
        </w:trPr>
        <w:tc>
          <w:tcPr>
            <w:tcW w:w="3397" w:type="dxa"/>
            <w:vAlign w:val="center"/>
          </w:tcPr>
          <w:p w14:paraId="34920D36" w14:textId="77777777" w:rsidR="00200EBA" w:rsidRPr="004321D6" w:rsidRDefault="00200EBA" w:rsidP="00A85019">
            <w:pPr>
              <w:pStyle w:val="afff8"/>
              <w:rPr>
                <w:sz w:val="24"/>
              </w:rPr>
            </w:pPr>
            <w:r w:rsidRPr="004321D6">
              <w:rPr>
                <w:sz w:val="24"/>
              </w:rPr>
              <w:t>Частота объективного ответа</w:t>
            </w:r>
          </w:p>
        </w:tc>
        <w:tc>
          <w:tcPr>
            <w:tcW w:w="2977" w:type="dxa"/>
            <w:vAlign w:val="center"/>
          </w:tcPr>
          <w:p w14:paraId="62118E48" w14:textId="77777777" w:rsidR="00200EBA" w:rsidRPr="004321D6" w:rsidRDefault="00200EBA" w:rsidP="00A85019">
            <w:pPr>
              <w:pStyle w:val="afff8"/>
              <w:jc w:val="center"/>
              <w:rPr>
                <w:sz w:val="24"/>
              </w:rPr>
            </w:pPr>
          </w:p>
        </w:tc>
        <w:tc>
          <w:tcPr>
            <w:tcW w:w="2977" w:type="dxa"/>
            <w:vAlign w:val="center"/>
          </w:tcPr>
          <w:p w14:paraId="568C4CCD" w14:textId="77777777" w:rsidR="00200EBA" w:rsidRPr="004321D6" w:rsidRDefault="00200EBA" w:rsidP="00A85019">
            <w:pPr>
              <w:pStyle w:val="afff8"/>
              <w:jc w:val="center"/>
              <w:rPr>
                <w:sz w:val="24"/>
              </w:rPr>
            </w:pPr>
          </w:p>
        </w:tc>
      </w:tr>
      <w:tr w:rsidR="00200EBA" w:rsidRPr="004321D6" w14:paraId="1E5A8399" w14:textId="77777777" w:rsidTr="0054382D">
        <w:trPr>
          <w:trHeight w:val="549"/>
        </w:trPr>
        <w:tc>
          <w:tcPr>
            <w:tcW w:w="3397" w:type="dxa"/>
            <w:vAlign w:val="center"/>
          </w:tcPr>
          <w:p w14:paraId="300A2BA5" w14:textId="063AE642" w:rsidR="00200EBA" w:rsidRPr="004321D6" w:rsidRDefault="00200EBA" w:rsidP="00A85019">
            <w:pPr>
              <w:pStyle w:val="afff8"/>
              <w:rPr>
                <w:sz w:val="24"/>
              </w:rPr>
            </w:pPr>
            <w:r w:rsidRPr="004321D6">
              <w:rPr>
                <w:sz w:val="24"/>
              </w:rPr>
              <w:lastRenderedPageBreak/>
              <w:t>Количество (%) пациентов с событием</w:t>
            </w:r>
            <w:r w:rsidR="001B0FDB" w:rsidRPr="00A04BAB">
              <w:rPr>
                <w:sz w:val="24"/>
                <w:vertAlign w:val="superscript"/>
              </w:rPr>
              <w:t>с</w:t>
            </w:r>
            <w:r w:rsidR="001B0FDB">
              <w:rPr>
                <w:sz w:val="24"/>
                <w:vertAlign w:val="superscript"/>
              </w:rPr>
              <w:t xml:space="preserve"> </w:t>
            </w:r>
            <w:r w:rsidR="001B0FDB" w:rsidRPr="004321D6">
              <w:rPr>
                <w:sz w:val="24"/>
              </w:rPr>
              <w:t>(ДИ 95%)</w:t>
            </w:r>
          </w:p>
        </w:tc>
        <w:tc>
          <w:tcPr>
            <w:tcW w:w="2977" w:type="dxa"/>
            <w:vAlign w:val="center"/>
          </w:tcPr>
          <w:p w14:paraId="1139387A" w14:textId="07978E86" w:rsidR="00200EBA" w:rsidRPr="004321D6" w:rsidRDefault="00200EBA" w:rsidP="008356A7">
            <w:pPr>
              <w:pStyle w:val="afff8"/>
              <w:jc w:val="center"/>
              <w:rPr>
                <w:sz w:val="24"/>
              </w:rPr>
            </w:pPr>
            <w:r w:rsidRPr="004321D6">
              <w:rPr>
                <w:sz w:val="24"/>
              </w:rPr>
              <w:t>32% (27</w:t>
            </w:r>
            <w:r w:rsidR="008356A7">
              <w:rPr>
                <w:sz w:val="24"/>
                <w:lang w:val="en-US"/>
              </w:rPr>
              <w:t>;</w:t>
            </w:r>
            <w:r w:rsidRPr="004321D6">
              <w:rPr>
                <w:sz w:val="24"/>
              </w:rPr>
              <w:t xml:space="preserve"> 37)</w:t>
            </w:r>
          </w:p>
        </w:tc>
        <w:tc>
          <w:tcPr>
            <w:tcW w:w="2977" w:type="dxa"/>
            <w:vAlign w:val="center"/>
          </w:tcPr>
          <w:p w14:paraId="5B386A7F" w14:textId="77494855" w:rsidR="00200EBA" w:rsidRPr="004321D6" w:rsidRDefault="00200EBA" w:rsidP="008356A7">
            <w:pPr>
              <w:pStyle w:val="afff8"/>
              <w:jc w:val="center"/>
              <w:rPr>
                <w:sz w:val="24"/>
              </w:rPr>
            </w:pPr>
            <w:r w:rsidRPr="004321D6">
              <w:rPr>
                <w:sz w:val="24"/>
              </w:rPr>
              <w:t>15% (11</w:t>
            </w:r>
            <w:r w:rsidR="008356A7">
              <w:rPr>
                <w:sz w:val="24"/>
                <w:lang w:val="en-US"/>
              </w:rPr>
              <w:t xml:space="preserve">; </w:t>
            </w:r>
            <w:r w:rsidRPr="004321D6">
              <w:rPr>
                <w:sz w:val="24"/>
              </w:rPr>
              <w:t>18)</w:t>
            </w:r>
          </w:p>
        </w:tc>
      </w:tr>
      <w:tr w:rsidR="00200EBA" w:rsidRPr="004321D6" w14:paraId="1FBC8985" w14:textId="77777777" w:rsidTr="0054382D">
        <w:trPr>
          <w:trHeight w:val="262"/>
        </w:trPr>
        <w:tc>
          <w:tcPr>
            <w:tcW w:w="3397" w:type="dxa"/>
            <w:vAlign w:val="center"/>
          </w:tcPr>
          <w:p w14:paraId="117748EB" w14:textId="77777777" w:rsidR="00200EBA" w:rsidRPr="004321D6" w:rsidRDefault="00200EBA" w:rsidP="00A85019">
            <w:pPr>
              <w:pStyle w:val="afff8"/>
              <w:rPr>
                <w:sz w:val="24"/>
              </w:rPr>
            </w:pPr>
            <w:r w:rsidRPr="004321D6">
              <w:rPr>
                <w:sz w:val="24"/>
              </w:rPr>
              <w:t>Полный ответ</w:t>
            </w:r>
          </w:p>
        </w:tc>
        <w:tc>
          <w:tcPr>
            <w:tcW w:w="2977" w:type="dxa"/>
            <w:vAlign w:val="center"/>
          </w:tcPr>
          <w:p w14:paraId="28352C06" w14:textId="77777777" w:rsidR="00200EBA" w:rsidRPr="004321D6" w:rsidRDefault="00200EBA" w:rsidP="00A85019">
            <w:pPr>
              <w:pStyle w:val="afff8"/>
              <w:jc w:val="center"/>
              <w:rPr>
                <w:sz w:val="24"/>
              </w:rPr>
            </w:pPr>
            <w:r w:rsidRPr="004321D6">
              <w:rPr>
                <w:sz w:val="24"/>
              </w:rPr>
              <w:t>7%</w:t>
            </w:r>
          </w:p>
        </w:tc>
        <w:tc>
          <w:tcPr>
            <w:tcW w:w="2977" w:type="dxa"/>
            <w:vAlign w:val="center"/>
          </w:tcPr>
          <w:p w14:paraId="1AE6B50E" w14:textId="77777777" w:rsidR="00200EBA" w:rsidRPr="004321D6" w:rsidRDefault="00200EBA" w:rsidP="00A85019">
            <w:pPr>
              <w:pStyle w:val="afff8"/>
              <w:jc w:val="center"/>
              <w:rPr>
                <w:sz w:val="24"/>
              </w:rPr>
            </w:pPr>
            <w:r w:rsidRPr="004321D6">
              <w:rPr>
                <w:sz w:val="24"/>
              </w:rPr>
              <w:t>3%</w:t>
            </w:r>
          </w:p>
        </w:tc>
      </w:tr>
      <w:tr w:rsidR="00200EBA" w:rsidRPr="004321D6" w14:paraId="7A4B6355" w14:textId="77777777" w:rsidTr="0054382D">
        <w:trPr>
          <w:trHeight w:val="265"/>
        </w:trPr>
        <w:tc>
          <w:tcPr>
            <w:tcW w:w="3397" w:type="dxa"/>
            <w:vAlign w:val="center"/>
          </w:tcPr>
          <w:p w14:paraId="1EF465F8" w14:textId="77777777" w:rsidR="00200EBA" w:rsidRPr="004321D6" w:rsidRDefault="00200EBA" w:rsidP="00A85019">
            <w:pPr>
              <w:pStyle w:val="afff8"/>
              <w:rPr>
                <w:sz w:val="24"/>
              </w:rPr>
            </w:pPr>
            <w:r w:rsidRPr="004321D6">
              <w:rPr>
                <w:sz w:val="24"/>
              </w:rPr>
              <w:t>Частичный ответ</w:t>
            </w:r>
          </w:p>
        </w:tc>
        <w:tc>
          <w:tcPr>
            <w:tcW w:w="2977" w:type="dxa"/>
            <w:vAlign w:val="center"/>
          </w:tcPr>
          <w:p w14:paraId="20F8ACD8" w14:textId="77777777" w:rsidR="00200EBA" w:rsidRPr="004321D6" w:rsidRDefault="00200EBA" w:rsidP="00A85019">
            <w:pPr>
              <w:pStyle w:val="afff8"/>
              <w:jc w:val="center"/>
              <w:rPr>
                <w:sz w:val="24"/>
              </w:rPr>
            </w:pPr>
            <w:r w:rsidRPr="004321D6">
              <w:rPr>
                <w:sz w:val="24"/>
              </w:rPr>
              <w:t>25%</w:t>
            </w:r>
          </w:p>
        </w:tc>
        <w:tc>
          <w:tcPr>
            <w:tcW w:w="2977" w:type="dxa"/>
            <w:vAlign w:val="center"/>
          </w:tcPr>
          <w:p w14:paraId="7F0B9476" w14:textId="77777777" w:rsidR="00200EBA" w:rsidRPr="004321D6" w:rsidRDefault="00200EBA" w:rsidP="00A85019">
            <w:pPr>
              <w:pStyle w:val="afff8"/>
              <w:jc w:val="center"/>
              <w:rPr>
                <w:sz w:val="24"/>
              </w:rPr>
            </w:pPr>
            <w:r w:rsidRPr="004321D6">
              <w:rPr>
                <w:sz w:val="24"/>
              </w:rPr>
              <w:t>12%</w:t>
            </w:r>
          </w:p>
        </w:tc>
      </w:tr>
      <w:tr w:rsidR="00200EBA" w:rsidRPr="004321D6" w14:paraId="701B8CFF" w14:textId="77777777" w:rsidTr="0054382D">
        <w:trPr>
          <w:trHeight w:val="131"/>
        </w:trPr>
        <w:tc>
          <w:tcPr>
            <w:tcW w:w="3397" w:type="dxa"/>
            <w:vAlign w:val="center"/>
          </w:tcPr>
          <w:p w14:paraId="392EA672" w14:textId="26AE0032" w:rsidR="00200EBA" w:rsidRPr="004321D6" w:rsidRDefault="00200EBA" w:rsidP="00A85019">
            <w:pPr>
              <w:pStyle w:val="afff8"/>
              <w:rPr>
                <w:sz w:val="24"/>
              </w:rPr>
            </w:pPr>
            <w:r w:rsidRPr="004321D6">
              <w:rPr>
                <w:sz w:val="24"/>
                <w:lang w:val="en-US"/>
              </w:rPr>
              <w:t>P</w:t>
            </w:r>
            <w:r w:rsidRPr="004321D6">
              <w:rPr>
                <w:sz w:val="24"/>
              </w:rPr>
              <w:t>-уровень</w:t>
            </w:r>
            <w:r w:rsidRPr="004321D6">
              <w:rPr>
                <w:sz w:val="24"/>
                <w:vertAlign w:val="superscript"/>
                <w:lang w:val="en-US"/>
              </w:rPr>
              <w:t>d</w:t>
            </w:r>
          </w:p>
        </w:tc>
        <w:tc>
          <w:tcPr>
            <w:tcW w:w="5954" w:type="dxa"/>
            <w:gridSpan w:val="2"/>
            <w:vAlign w:val="center"/>
          </w:tcPr>
          <w:p w14:paraId="15120A23" w14:textId="3DD11012" w:rsidR="00200EBA" w:rsidRPr="004321D6" w:rsidRDefault="008356A7" w:rsidP="008356A7">
            <w:pPr>
              <w:pStyle w:val="afff8"/>
              <w:jc w:val="center"/>
              <w:rPr>
                <w:sz w:val="24"/>
              </w:rPr>
            </w:pPr>
            <w:r>
              <w:rPr>
                <w:sz w:val="24"/>
              </w:rPr>
              <w:t>&lt;0,0001</w:t>
            </w:r>
          </w:p>
        </w:tc>
      </w:tr>
      <w:tr w:rsidR="00200EBA" w:rsidRPr="004321D6" w14:paraId="5656F1EE" w14:textId="77777777" w:rsidTr="0054382D">
        <w:trPr>
          <w:trHeight w:val="563"/>
        </w:trPr>
        <w:tc>
          <w:tcPr>
            <w:tcW w:w="3397" w:type="dxa"/>
            <w:vAlign w:val="center"/>
          </w:tcPr>
          <w:p w14:paraId="6BFCF9E3" w14:textId="30E8A992" w:rsidR="00200EBA" w:rsidRPr="001978AF" w:rsidRDefault="00200EBA" w:rsidP="00A85019">
            <w:pPr>
              <w:pStyle w:val="afff8"/>
              <w:rPr>
                <w:sz w:val="24"/>
              </w:rPr>
            </w:pPr>
            <w:r w:rsidRPr="004321D6">
              <w:rPr>
                <w:sz w:val="24"/>
              </w:rPr>
              <w:t xml:space="preserve">Длительность ответа </w:t>
            </w:r>
            <w:r w:rsidRPr="004321D6">
              <w:rPr>
                <w:sz w:val="24"/>
                <w:vertAlign w:val="superscript"/>
              </w:rPr>
              <w:t xml:space="preserve"> </w:t>
            </w:r>
            <w:r w:rsidRPr="004321D6">
              <w:rPr>
                <w:sz w:val="24"/>
              </w:rPr>
              <w:t>(медиана</w:t>
            </w:r>
            <w:r w:rsidRPr="004321D6">
              <w:rPr>
                <w:sz w:val="24"/>
                <w:vertAlign w:val="superscript"/>
              </w:rPr>
              <w:t xml:space="preserve"> </w:t>
            </w:r>
            <w:r w:rsidRPr="004321D6">
              <w:rPr>
                <w:sz w:val="24"/>
              </w:rPr>
              <w:t>в месяцах)</w:t>
            </w:r>
            <w:r w:rsidR="001978AF" w:rsidRPr="00D050C7">
              <w:rPr>
                <w:sz w:val="24"/>
                <w:vertAlign w:val="superscript"/>
                <w:lang w:val="en-US"/>
              </w:rPr>
              <w:t>e</w:t>
            </w:r>
          </w:p>
        </w:tc>
        <w:tc>
          <w:tcPr>
            <w:tcW w:w="2977" w:type="dxa"/>
            <w:vAlign w:val="center"/>
          </w:tcPr>
          <w:p w14:paraId="630B5EFE" w14:textId="6D393AAF" w:rsidR="00200EBA" w:rsidRPr="004321D6" w:rsidRDefault="00200EBA" w:rsidP="008356A7">
            <w:pPr>
              <w:pStyle w:val="afff8"/>
              <w:jc w:val="center"/>
              <w:rPr>
                <w:sz w:val="24"/>
              </w:rPr>
            </w:pPr>
            <w:r w:rsidRPr="004321D6">
              <w:rPr>
                <w:sz w:val="24"/>
              </w:rPr>
              <w:t>14</w:t>
            </w:r>
            <w:r w:rsidR="008356A7">
              <w:rPr>
                <w:sz w:val="24"/>
              </w:rPr>
              <w:t>,</w:t>
            </w:r>
            <w:r w:rsidRPr="004321D6">
              <w:rPr>
                <w:sz w:val="24"/>
              </w:rPr>
              <w:t>4 (1</w:t>
            </w:r>
            <w:r w:rsidR="008356A7">
              <w:rPr>
                <w:sz w:val="24"/>
              </w:rPr>
              <w:t>,</w:t>
            </w:r>
            <w:r w:rsidRPr="004321D6">
              <w:rPr>
                <w:sz w:val="24"/>
              </w:rPr>
              <w:t>6+</w:t>
            </w:r>
            <w:r w:rsidR="008356A7">
              <w:rPr>
                <w:sz w:val="24"/>
                <w:lang w:val="en-US"/>
              </w:rPr>
              <w:t>;</w:t>
            </w:r>
            <w:r w:rsidRPr="004321D6">
              <w:rPr>
                <w:sz w:val="24"/>
              </w:rPr>
              <w:t xml:space="preserve"> 23</w:t>
            </w:r>
            <w:r w:rsidR="008356A7">
              <w:rPr>
                <w:sz w:val="24"/>
              </w:rPr>
              <w:t>,</w:t>
            </w:r>
            <w:r w:rsidRPr="004321D6">
              <w:rPr>
                <w:sz w:val="24"/>
              </w:rPr>
              <w:t>7+)</w:t>
            </w:r>
          </w:p>
        </w:tc>
        <w:tc>
          <w:tcPr>
            <w:tcW w:w="2977" w:type="dxa"/>
            <w:vAlign w:val="center"/>
          </w:tcPr>
          <w:p w14:paraId="464814E8" w14:textId="4B65A0F4" w:rsidR="00200EBA" w:rsidRPr="004321D6" w:rsidRDefault="00200EBA" w:rsidP="008356A7">
            <w:pPr>
              <w:pStyle w:val="afff8"/>
              <w:jc w:val="center"/>
              <w:rPr>
                <w:sz w:val="24"/>
              </w:rPr>
            </w:pPr>
            <w:r w:rsidRPr="004321D6">
              <w:rPr>
                <w:sz w:val="24"/>
              </w:rPr>
              <w:t>5</w:t>
            </w:r>
            <w:r w:rsidR="008356A7">
              <w:rPr>
                <w:sz w:val="24"/>
              </w:rPr>
              <w:t>,</w:t>
            </w:r>
            <w:r w:rsidRPr="004321D6">
              <w:rPr>
                <w:sz w:val="24"/>
              </w:rPr>
              <w:t>7 (0</w:t>
            </w:r>
            <w:r w:rsidR="008356A7">
              <w:rPr>
                <w:sz w:val="24"/>
              </w:rPr>
              <w:t>,</w:t>
            </w:r>
            <w:r w:rsidRPr="004321D6">
              <w:rPr>
                <w:sz w:val="24"/>
              </w:rPr>
              <w:t>0+</w:t>
            </w:r>
            <w:r w:rsidR="008356A7">
              <w:rPr>
                <w:sz w:val="24"/>
                <w:lang w:val="en-US"/>
              </w:rPr>
              <w:t>;</w:t>
            </w:r>
            <w:r w:rsidRPr="004321D6">
              <w:rPr>
                <w:sz w:val="24"/>
              </w:rPr>
              <w:t xml:space="preserve"> 24</w:t>
            </w:r>
            <w:r w:rsidR="008356A7">
              <w:rPr>
                <w:sz w:val="24"/>
              </w:rPr>
              <w:t>,</w:t>
            </w:r>
            <w:r w:rsidRPr="004321D6">
              <w:rPr>
                <w:sz w:val="24"/>
              </w:rPr>
              <w:t>2+)</w:t>
            </w:r>
          </w:p>
        </w:tc>
      </w:tr>
      <w:tr w:rsidR="00200EBA" w:rsidRPr="004321D6" w14:paraId="14D68BD2" w14:textId="77777777" w:rsidTr="0054382D">
        <w:trPr>
          <w:trHeight w:val="563"/>
        </w:trPr>
        <w:tc>
          <w:tcPr>
            <w:tcW w:w="9351" w:type="dxa"/>
            <w:gridSpan w:val="3"/>
          </w:tcPr>
          <w:p w14:paraId="039D6ABB" w14:textId="526F4910" w:rsidR="008356A7" w:rsidRPr="008356A7" w:rsidRDefault="008356A7" w:rsidP="00A85019">
            <w:pPr>
              <w:pStyle w:val="afff8"/>
              <w:rPr>
                <w:b/>
                <w:szCs w:val="20"/>
              </w:rPr>
            </w:pPr>
            <w:r w:rsidRPr="008356A7">
              <w:rPr>
                <w:b/>
                <w:szCs w:val="20"/>
              </w:rPr>
              <w:t>Примечание:</w:t>
            </w:r>
          </w:p>
          <w:p w14:paraId="608C15A5" w14:textId="0F2117DE" w:rsidR="00200EBA" w:rsidRPr="008356A7" w:rsidRDefault="00200EBA" w:rsidP="00A85019">
            <w:pPr>
              <w:pStyle w:val="afff8"/>
              <w:rPr>
                <w:szCs w:val="20"/>
              </w:rPr>
            </w:pPr>
            <w:r w:rsidRPr="008356A7">
              <w:rPr>
                <w:szCs w:val="20"/>
                <w:vertAlign w:val="superscript"/>
                <w:lang w:val="en-US"/>
              </w:rPr>
              <w:t>a</w:t>
            </w:r>
            <w:r w:rsidRPr="008356A7">
              <w:rPr>
                <w:szCs w:val="20"/>
              </w:rPr>
              <w:t xml:space="preserve"> На основе модели стратифицированной регрессии Кокса</w:t>
            </w:r>
          </w:p>
          <w:p w14:paraId="79274124" w14:textId="77777777" w:rsidR="00200EBA" w:rsidRPr="008356A7" w:rsidRDefault="00200EBA" w:rsidP="00A85019">
            <w:pPr>
              <w:pStyle w:val="afff8"/>
              <w:rPr>
                <w:szCs w:val="20"/>
              </w:rPr>
            </w:pPr>
            <w:r w:rsidRPr="008356A7">
              <w:rPr>
                <w:szCs w:val="20"/>
                <w:vertAlign w:val="superscript"/>
              </w:rPr>
              <w:t>b</w:t>
            </w:r>
            <w:r w:rsidRPr="008356A7">
              <w:rPr>
                <w:szCs w:val="20"/>
              </w:rPr>
              <w:t xml:space="preserve"> Одностороннее значение p на основе стратифицированного логарифмического рангового критерия</w:t>
            </w:r>
          </w:p>
          <w:p w14:paraId="71FAF8FD" w14:textId="77777777" w:rsidR="00200EBA" w:rsidRPr="008356A7" w:rsidRDefault="00200EBA" w:rsidP="00A85019">
            <w:pPr>
              <w:pStyle w:val="afff8"/>
              <w:rPr>
                <w:szCs w:val="20"/>
              </w:rPr>
            </w:pPr>
            <w:r w:rsidRPr="008356A7">
              <w:rPr>
                <w:szCs w:val="20"/>
                <w:vertAlign w:val="superscript"/>
              </w:rPr>
              <w:t>c</w:t>
            </w:r>
            <w:r w:rsidRPr="008356A7">
              <w:rPr>
                <w:szCs w:val="20"/>
              </w:rPr>
              <w:t xml:space="preserve"> Ответ: лучший объективный ответ как подтвержденный полный ответ или частичный ответ.</w:t>
            </w:r>
          </w:p>
          <w:p w14:paraId="442EE5F1" w14:textId="6151AD6B" w:rsidR="00200EBA" w:rsidRPr="008356A7" w:rsidRDefault="00200EBA" w:rsidP="00A85019">
            <w:pPr>
              <w:pStyle w:val="afff8"/>
              <w:rPr>
                <w:szCs w:val="20"/>
              </w:rPr>
            </w:pPr>
            <w:r w:rsidRPr="008356A7">
              <w:rPr>
                <w:szCs w:val="20"/>
                <w:vertAlign w:val="superscript"/>
              </w:rPr>
              <w:t>d</w:t>
            </w:r>
            <w:r w:rsidR="008356A7" w:rsidRPr="008356A7">
              <w:rPr>
                <w:szCs w:val="20"/>
              </w:rPr>
              <w:t xml:space="preserve"> На </w:t>
            </w:r>
            <w:r w:rsidRPr="008356A7">
              <w:rPr>
                <w:szCs w:val="20"/>
              </w:rPr>
              <w:t>основе метода Миеттинена и Нурминена, стратифицированного по функциональному статусу ECOG, географическому региону,</w:t>
            </w:r>
          </w:p>
          <w:p w14:paraId="563814E8" w14:textId="77777777" w:rsidR="00200EBA" w:rsidRPr="008356A7" w:rsidRDefault="00200EBA" w:rsidP="00A85019">
            <w:pPr>
              <w:pStyle w:val="afff8"/>
              <w:rPr>
                <w:szCs w:val="20"/>
              </w:rPr>
            </w:pPr>
            <w:r w:rsidRPr="008356A7">
              <w:rPr>
                <w:szCs w:val="20"/>
              </w:rPr>
              <w:t>и история тазовой радиации.</w:t>
            </w:r>
          </w:p>
          <w:p w14:paraId="05E20CE1" w14:textId="678A513C" w:rsidR="00200EBA" w:rsidRPr="008356A7" w:rsidRDefault="00200EBA" w:rsidP="00A85019">
            <w:pPr>
              <w:pStyle w:val="afff8"/>
              <w:rPr>
                <w:szCs w:val="20"/>
              </w:rPr>
            </w:pPr>
            <w:r w:rsidRPr="008356A7">
              <w:rPr>
                <w:szCs w:val="20"/>
                <w:vertAlign w:val="superscript"/>
              </w:rPr>
              <w:t>e</w:t>
            </w:r>
            <w:r w:rsidR="001B0FDB" w:rsidRPr="008356A7">
              <w:rPr>
                <w:szCs w:val="20"/>
                <w:vertAlign w:val="superscript"/>
              </w:rPr>
              <w:t>.</w:t>
            </w:r>
            <w:r w:rsidRPr="008356A7">
              <w:rPr>
                <w:szCs w:val="20"/>
                <w:vertAlign w:val="superscript"/>
              </w:rPr>
              <w:t xml:space="preserve"> </w:t>
            </w:r>
            <w:r w:rsidRPr="008356A7">
              <w:rPr>
                <w:szCs w:val="20"/>
              </w:rPr>
              <w:t>На основе оценки Каплана-Мейера.</w:t>
            </w:r>
          </w:p>
          <w:p w14:paraId="4086F7A0" w14:textId="33F1EA45" w:rsidR="005D6EC8" w:rsidRPr="005D6EC8" w:rsidRDefault="005D6EC8" w:rsidP="0054382D">
            <w:r w:rsidRPr="008356A7">
              <w:rPr>
                <w:sz w:val="20"/>
                <w:szCs w:val="20"/>
              </w:rPr>
              <w:t>ВБП ‒ вы</w:t>
            </w:r>
            <w:r w:rsidR="0054382D">
              <w:rPr>
                <w:sz w:val="20"/>
                <w:szCs w:val="20"/>
              </w:rPr>
              <w:t xml:space="preserve">живаемость без прогрессирования; </w:t>
            </w:r>
            <w:r w:rsidRPr="008356A7">
              <w:rPr>
                <w:szCs w:val="20"/>
              </w:rPr>
              <w:t>ОВ ‒ общая выживаемость.</w:t>
            </w:r>
          </w:p>
        </w:tc>
      </w:tr>
    </w:tbl>
    <w:p w14:paraId="05BEB0D6" w14:textId="77777777" w:rsidR="00200EBA" w:rsidRDefault="00200EBA" w:rsidP="00B22A42">
      <w:pPr>
        <w:ind w:firstLine="709"/>
      </w:pPr>
    </w:p>
    <w:p w14:paraId="7F92C865" w14:textId="77D4A4A6" w:rsidR="00200EBA" w:rsidRDefault="00200EBA" w:rsidP="00B22A42">
      <w:pPr>
        <w:ind w:firstLine="709"/>
      </w:pPr>
      <w:bookmarkStart w:id="225" w:name="_Hlk118212933"/>
      <w:r>
        <w:t xml:space="preserve">В ходе исследования </w:t>
      </w:r>
      <w:r w:rsidR="005B40C6">
        <w:t>установлено</w:t>
      </w:r>
      <w:r>
        <w:t>, что м</w:t>
      </w:r>
      <w:r w:rsidRPr="00B618F3">
        <w:t xml:space="preserve">едиана </w:t>
      </w:r>
      <w:r w:rsidR="00B6366A">
        <w:t>ОВ</w:t>
      </w:r>
      <w:r w:rsidRPr="00B618F3">
        <w:t xml:space="preserve"> была выше при применении ленватиниба в сочетании с пембролизумабом, чем </w:t>
      </w:r>
      <w:r>
        <w:t>в группе сравнения</w:t>
      </w:r>
      <w:r w:rsidRPr="00B618F3">
        <w:t xml:space="preserve"> (популяция </w:t>
      </w:r>
      <w:r w:rsidR="00B55D92">
        <w:t>популяция c достаточным статусом системы репарации</w:t>
      </w:r>
      <w:r w:rsidR="00B55D92" w:rsidRPr="00B618F3">
        <w:t xml:space="preserve"> </w:t>
      </w:r>
      <w:r w:rsidR="00B55D92">
        <w:t>(</w:t>
      </w:r>
      <w:r w:rsidRPr="00B618F3">
        <w:t>pMMR</w:t>
      </w:r>
      <w:r w:rsidR="00B55D92">
        <w:t>)</w:t>
      </w:r>
      <w:r w:rsidRPr="00B618F3">
        <w:t>: 17,4 против 12,0 месяцев; отношение риска смерти 0,68; 95% ДИ от 0,56 до 0,84; P&lt;0,001; в целом: 18,3 против 11,4 месяцев; отношение рисков 0,62; 95% ДИ от 0,51 до 0,75; P&lt;0,001)</w:t>
      </w:r>
      <w:r w:rsidRPr="00FC6AAB">
        <w:t xml:space="preserve"> (</w:t>
      </w:r>
      <w:r>
        <w:t xml:space="preserve">таблица </w:t>
      </w:r>
      <w:r w:rsidRPr="00046149">
        <w:t>4.</w:t>
      </w:r>
      <w:r w:rsidR="00046149" w:rsidRPr="00046149">
        <w:t>4</w:t>
      </w:r>
      <w:r w:rsidR="00046149">
        <w:t>).</w:t>
      </w:r>
    </w:p>
    <w:p w14:paraId="3D1ED5E9" w14:textId="77777777" w:rsidR="00200EBA" w:rsidRDefault="00200EBA" w:rsidP="00B22A42">
      <w:pPr>
        <w:ind w:firstLine="709"/>
      </w:pPr>
      <w:r>
        <w:t>В общей сложности 121/411 (29%) пациентов, получавших ленватиниб и пембролизумаб, получили продолжение исследуемой терапии после прогрессирования заболевания, определенного по RECIST. Средняя продолжительность постпрогрессирующей терапии составила 2,8 месяца. Оценка состояния опухоли проводилась каждые 8 недель.</w:t>
      </w:r>
    </w:p>
    <w:p w14:paraId="63011200" w14:textId="04A92147" w:rsidR="00200EBA" w:rsidRDefault="00200EBA" w:rsidP="00B22A42">
      <w:pPr>
        <w:ind w:firstLine="709"/>
      </w:pPr>
      <w:r w:rsidRPr="00B73AB9">
        <w:t xml:space="preserve">Комбинация ленватиниба и пембролизумаба привела к значительно более длительному </w:t>
      </w:r>
      <w:r w:rsidR="00367DDA">
        <w:t xml:space="preserve">ВБП </w:t>
      </w:r>
      <w:r w:rsidRPr="00B73AB9">
        <w:t xml:space="preserve">заболевания и </w:t>
      </w:r>
      <w:r w:rsidR="00367DDA">
        <w:t>ОВ</w:t>
      </w:r>
      <w:r w:rsidRPr="00B73AB9">
        <w:t xml:space="preserve"> по сравнению с</w:t>
      </w:r>
      <w:r>
        <w:t xml:space="preserve">о стандартной </w:t>
      </w:r>
      <w:r w:rsidRPr="00B73AB9">
        <w:t xml:space="preserve">химиотерапией у пациенток с распространенным </w:t>
      </w:r>
      <w:r w:rsidR="00D82983">
        <w:t>РЭ</w:t>
      </w:r>
      <w:r>
        <w:t xml:space="preserve"> </w:t>
      </w:r>
      <w:bookmarkEnd w:id="225"/>
      <w:r>
        <w:fldChar w:fldCharType="begin"/>
      </w:r>
      <w:r>
        <w:instrText xml:space="preserve"> ADDIN ZOTERO_ITEM CSL_CITATION {"citationID":"7Jyj13xG","properties":{"formattedCitation":"[2,29]","plainCitation":"[2,29]","noteIndex":0},"citationItems":[{"id":2745,"uris":["http://zotero.org/users/5483459/items/95XEZDWJ"],"itemData":{"id":2745,"type":"document","title":"European  Medicines Agency. SUMMARY OF PRODUCT CHARACTERISTICS. LENVIMA 4 mg, 10 mg hard capsules.26.11.2021"},"label":"page"},{"id":2857,"uris":["http://zotero.org/users/5483459/items/SZ7CQQKP"],"itemData":{"id":2857,"type":"article-journal","abstract":"BACKGROUND: Standard therapy for advanced endometrial cancer after failure of platinum-based chemotherapy remains unclear.\nMETHODS: In this phase 3 trial, we randomly assigned, in a 1:1 ratio, patients with advanced endometrial cancer who had previously received at least one platinum-based chemotherapy regimen to receive either lenvatinib (20 mg, administered orally once daily) plus pembrolizumab (200 mg, administered intravenously every 3 weeks) or chemotherapy of the treating physician's choice (doxorubicin at 60 mg per square meter of body-surface area, administered intravenously every 3 weeks, or paclitaxel at 80 mg per square meter, administered intravenously weekly [with a cycle of 3 weeks on and 1 week off]). The two primary end points were progression-free survival as assessed on blinded independent central review according to the Response Evaluation Criteria in Solid Tumors, version 1.1, and overall survival. The end points were evaluated in patients with mismatch repair-proficient (pMMR) disease and in all patients. Safety was also assessed.\nRESULTS: A total of 827 patients (697 with pMMR disease and 130 with mismatch repair-deficient disease) were randomly assigned to receive lenvatinib plus pembrolizumab (411 patients) or chemotherapy (416 patients). The median progression-free survival was longer with lenvatinib plus pembrolizumab than with chemotherapy (pMMR population: 6.6 vs. 3.8 months; hazard ratio for progression or death, 0.60; 95% confidence interval [CI], 0.50 to 0.72; P&lt;0.001; overall: 7.2 vs. 3.8 months; hazard ratio, 0.56; 95% CI, 0.47 to 0.66; P&lt;0.001). The median overall survival was longer with lenvatinib plus pembrolizumab than with chemotherapy (pMMR population: 17.4 vs. 12.0 months; hazard ratio for death, 0.68; 95% CI, 0.56 to 0.84; P&lt;0.001; overall: 18.3 vs. 11.4 months; hazard ratio, 0.62; 95% CI, 0.51 to 0.75; P&lt;0.001). Adverse events of grade 3 or higher occurred in 88.9% of the patients who received lenvatinib plus pembrolizumab and in 72.7% of those who received chemotherapy.\nCONCLUSIONS: Lenvatinib plus pembrolizumab led to significantly longer progression-free survival and overall survival than chemotherapy among patients with advanced endometrial cancer. (Funded by Eisai and Merck Sharp and Dohme [a subsidiary of Merck]; Study 309-KEYNOTE-775 ClinicalTrials.gov number, NCT03517449.).","container-title":"The New England Journal of Medicine","DOI":"10.1056/NEJMoa2108330","ISSN":"1533-4406","issue":"5","journalAbbreviation":"N Engl J Med","language":"eng","note":"PMID: 35045221","page":"437-448","source":"PubMed","title":"Lenvatinib plus Pembrolizumab for Advanced Endometrial Cancer","volume":"386","author":[{"family":"Makker","given":"Vicky"},{"family":"Colombo","given":"Nicoletta"},{"family":"Casado Herráez","given":"Antonio"},{"family":"Santin","given":"Alessandro D."},{"family":"Colomba","given":"Emeline"},{"family":"Miller","given":"David S."},{"family":"Fujiwara","given":"Keiichi"},{"family":"Pignata","given":"Sandro"},{"family":"Baron-Hay","given":"Sally"},{"family":"Ray-Coquard","given":"Isabelle"},{"family":"Shapira-Frommer","given":"Ronnie"},{"family":"Ushijima","given":"Kimio"},{"family":"Sakata","given":"Jun"},{"family":"Yonemori","given":"Kan"},{"family":"Kim","given":"Yong Man"},{"family":"Guerra","given":"Eva M."},{"family":"Sanli","given":"Ulus A."},{"family":"McCormack","given":"Mary M."},{"family":"Smith","given":"Alan D."},{"family":"Keefe","given":"Stephen"},{"family":"Bird","given":"Steven"},{"family":"Dutta","given":"Lea"},{"family":"Orlowski","given":"Robert J."},{"family":"Lorusso","given":"Domenica"},{"literal":"Study 309–KEYNOTE-775 Investigators"}],"issued":{"date-parts":[["2022",2,3]]}},"label":"page"}],"schema":"https://github.com/citation-style-language/schema/raw/master/csl-citation.json"} </w:instrText>
      </w:r>
      <w:r>
        <w:fldChar w:fldCharType="separate"/>
      </w:r>
      <w:r w:rsidRPr="00852090">
        <w:t>[2,</w:t>
      </w:r>
      <w:r w:rsidR="007047F7">
        <w:t xml:space="preserve"> </w:t>
      </w:r>
      <w:r w:rsidRPr="00852090">
        <w:t>29]</w:t>
      </w:r>
      <w:r>
        <w:fldChar w:fldCharType="end"/>
      </w:r>
      <w:r>
        <w:t>.</w:t>
      </w:r>
    </w:p>
    <w:p w14:paraId="5564366B" w14:textId="77777777" w:rsidR="00B22A42" w:rsidRDefault="00B22A42" w:rsidP="00200EBA">
      <w:pPr>
        <w:ind w:firstLine="851"/>
      </w:pPr>
    </w:p>
    <w:p w14:paraId="3B1C7958" w14:textId="0D7C21FF" w:rsidR="00200EBA" w:rsidRPr="00F601F5" w:rsidRDefault="00585D6B" w:rsidP="00B22A42">
      <w:pPr>
        <w:pStyle w:val="4"/>
        <w:spacing w:before="0" w:after="0"/>
        <w:rPr>
          <w:rFonts w:ascii="Times New Roman" w:hAnsi="Times New Roman"/>
          <w:sz w:val="24"/>
          <w:szCs w:val="24"/>
        </w:rPr>
      </w:pPr>
      <w:bookmarkStart w:id="226" w:name="_Toc126059761"/>
      <w:r w:rsidRPr="00F601F5">
        <w:rPr>
          <w:rFonts w:ascii="Times New Roman" w:hAnsi="Times New Roman"/>
          <w:sz w:val="24"/>
          <w:szCs w:val="24"/>
        </w:rPr>
        <w:t>4.3.1.4.</w:t>
      </w:r>
      <w:r w:rsidR="00F601F5" w:rsidRPr="005F12B8">
        <w:rPr>
          <w:rFonts w:ascii="Times New Roman" w:hAnsi="Times New Roman"/>
          <w:sz w:val="24"/>
          <w:szCs w:val="24"/>
        </w:rPr>
        <w:t xml:space="preserve"> </w:t>
      </w:r>
      <w:r w:rsidR="00200EBA" w:rsidRPr="00F601F5">
        <w:rPr>
          <w:rFonts w:ascii="Times New Roman" w:hAnsi="Times New Roman"/>
          <w:sz w:val="24"/>
          <w:szCs w:val="24"/>
        </w:rPr>
        <w:t>Почечно-клеточный рак</w:t>
      </w:r>
      <w:bookmarkEnd w:id="226"/>
    </w:p>
    <w:p w14:paraId="5B07D4AD" w14:textId="77777777" w:rsidR="008356A7" w:rsidRDefault="008356A7" w:rsidP="00B22A42">
      <w:pPr>
        <w:ind w:firstLine="993"/>
      </w:pPr>
    </w:p>
    <w:p w14:paraId="4E67FBA9" w14:textId="64B0505C" w:rsidR="00200EBA" w:rsidRDefault="00200EBA" w:rsidP="00B22A42">
      <w:pPr>
        <w:ind w:firstLine="709"/>
      </w:pPr>
      <w:r w:rsidRPr="00F601F5">
        <w:t>Ленватиниб в комбинации с</w:t>
      </w:r>
      <w:r>
        <w:t xml:space="preserve"> пембролизумабом или эверолимусом проявляет </w:t>
      </w:r>
      <w:bookmarkStart w:id="227" w:name="_Hlk118213136"/>
      <w:r>
        <w:t xml:space="preserve">активность в отношении распространенного почечно-клеточного рака </w:t>
      </w:r>
      <w:r>
        <w:fldChar w:fldCharType="begin"/>
      </w:r>
      <w:r>
        <w:instrText xml:space="preserve"> ADDIN ZOTERO_ITEM CSL_CITATION {"citationID":"H1qbZmK9","properties":{"formattedCitation":"[26\\uc0\\u8211{}28]","plainCitation":"[26–28]","noteIndex":0},"citationItems":[{"id":2860,"uris":["http://zotero.org/users/5483459/items/F6D5PBMH"],"itemData":{"id":2860,"type":"article-journal","abstract":"BACKGROUND: Lenvatinib in combination with pembrolizumab or everolimus has activity against advanced renal cell carcinoma. The efficacy of these regimens as compared with that of sunitinib is unclear.\nMETHODS: In this phase 3 trial, we randomly assigned (in a 1:1:1 ratio) patients with advanced renal cell carcinoma and no previous systemic therapy to receive lenvatinib (20 mg orally once daily) plus pembrolizumab (200 mg intravenously once every 3 weeks), lenvatinib (18 mg orally once daily) plus everolimus (5 mg orally once daily), or sunitinib (50 mg orally once daily, alternating 4 weeks receiving treatment and 2 weeks without treatment). The primary end point was progression-free survival, as assessed by an independent review committee in accordance with Response Evaluation Criteria in Solid Tumors, version 1.1. Overall survival and safety were also evaluated.\nRESULTS: A total of 1069 patients were randomly assigned to receive lenvatinib plus pembrolizumab (355 patients), lenvatinib plus everolimus (357), or sunitinib (357). Progression-free survival was longer with lenvatinib plus pembrolizumab than with sunitinib (median, 23.9 vs. 9.2 months; hazard ratio for disease progression or death, 0.39; 95% confidence interval [CI], 0.32 to 0.49; P&lt;0.001) and was longer with lenvatinib plus everolimus than with sunitinib (median, 14.7 vs. 9.2 months; hazard ratio, 0.65; 95% CI, 0.53 to 0.80; P&lt;0.001). Overall survival was longer with lenvatinib plus pembrolizumab than with sunitinib (hazard ratio for death, 0.66; 95% CI, 0.49 to 0.88; P = 0.005) but was not longer with lenvatinib plus everolimus than with sunitinib (hazard ratio, 1.15; 95% CI, 0.88 to 1.50; P = 0.30). Grade 3 or higher adverse events emerged or worsened during treatment in 82.4% of the patients who received lenvatinib plus pembrolizumab, 83.1% of those who received lenvatinib plus everolimus, and 71.8% of those who received sunitinib. Grade 3 or higher adverse events occurring in at least 10% of the patients in any group included hypertension, diarrhea, and elevated lipase levels.\nCONCLUSIONS: Lenvatinib plus pembrolizumab was associated with significantly longer progression-free survival and overall survival than sunitinib. (Funded by Eisai and Merck Sharp and Dohme; CLEAR ClinicalTrials.gov number, NCT02811861.).","container-title":"The New England Journal of Medicine","DOI":"10.1056/NEJMoa2035716","ISSN":"1533-4406","issue":"14","journalAbbreviation":"N Engl J Med","language":"eng","note":"PMID: 33616314","page":"1289-1300","source":"PubMed","title":"Lenvatinib plus Pembrolizumab or Everolimus for Advanced Renal Cell Carcinoma","volume":"384","author":[{"family":"Motzer","given":"Robert"},{"family":"Alekseev","given":"Boris"},{"family":"Rha","given":"Sun-Young"},{"family":"Porta","given":"Camillo"},{"family":"Eto","given":"Masatoshi"},{"family":"Powles","given":"Thomas"},{"family":"Grünwald","given":"Viktor"},{"family":"Hutson","given":"Thomas E."},{"family":"Kopyltsov","given":"Evgeny"},{"family":"Méndez-Vidal","given":"María J."},{"family":"Kozlov","given":"Vadim"},{"family":"Alyasova","given":"Anna"},{"family":"Hong","given":"Sung-Hoo"},{"family":"Kapoor","given":"Anil"},{"family":"Alonso Gordoa","given":"Teresa"},{"family":"Merchan","given":"Jaime R."},{"family":"Winquist","given":"Eric"},{"family":"Maroto","given":"Pablo"},{"family":"Goh","given":"Jeffrey C."},{"family":"Kim","given":"Miso"},{"family":"Gurney","given":"Howard"},{"family":"Patel","given":"Vijay"},{"family":"Peer","given":"Avivit"},{"family":"Procopio","given":"Giuseppe"},{"family":"Takagi","given":"Toshio"},{"family":"Melichar","given":"Bohuslav"},{"family":"Rolland","given":"Frederic"},{"family":"De Giorgi","given":"Ugo"},{"family":"Wong","given":"Shirley"},{"family":"Bedke","given":"Jens"},{"family":"Schmidinger","given":"Manuela"},{"family":"Dutcus","given":"Corina E."},{"family":"Smith","given":"Alan D."},{"family":"Dutta","given":"Lea"},{"family":"Mody","given":"Kalgi"},{"family":"Perini","given":"Rodolfo F."},{"family":"Xing","given":"Dongyuan"},{"family":"Choueiri","given":"Toni K."},{"literal":"CLEAR Trial Investigators"}],"issued":{"date-parts":[["2021",4,8]]}},"label":"page"},{"id":2653,"uris":["http://zotero.org/users/5483459/items/4RCY3Z5J"],"itemData":{"id":2653,"type":"document","title":"PRODUCT MONOGRAPH INCLUDING PATIENT MEDICATION INFORMATION PrLENVIMA® Lenvatinib capsules 4mg and 10mg Lenvatinib (as lenvatinib mesylate) Multiple Receptor Tyrosine Kinase Inhibitor Antineoplastic Agent, ATC code:L01XE29. Eisai Limited.2018."},"label":"page"},{"id":2862,"uris":["http://zotero.org/users/5483459/items/AM737HGQ"],"itemData":{"id":2862,"type":"article-journal","abstract":"BACKGROUND: Results from the phase 3 CLEAR study showed that lenvatinib plus pembrolizumab improved progression-free survival and overall survival compared with sunitinib in patients with advanced renal cell carcinoma. We aimed to assess the health-related quality-of-life (HRQOL) outcomes from the CLEAR study.\nMETHODS: This open-label, randomised, phase 3 study was done across 200 hospitals and cancer centres in 20 countries. Patients were required to be 18 years or older, with advanced clear-cell renal cell carcinoma, and a Karnofsky performance status of 70% or higher. Patients who had received previous systemic anticancer therapy for renal cell carcinoma were not eligible. Patients were randomly assigned (1:1:1) to lenvatinib (oral 20 mg per day) plus pembrolizumab (intravenous 200 mg every 21 days), lenvatinib (oral 18 mg per day) plus everolimus (oral 5 mg per day) in 21-day cycles, or sunitinib (oral 50 mg per day, 4 weeks on followed by 2 weeks off). Patients were assigned to treatments with a computer-generated randomisation scheme and were stratified by geographical region and Memorial Sloan Kettering Cancer Center prognostic groups. The primary endpoint, previously reported, was progression-free survival, and HRQOL was a secondary endpoint. Most HRQOL analyses were done in patients who underwent randomisation, received at least one dose of study treatment, and had any HRQOL data. Completion and compliance analyses were done in the full analysis set. Functional Assessment of Cancer Therapy Kidney Symptom Index-Disease-Related Symptoms (FKSI-DRS), European Organisation for the Research and Treatment of Cancer Quality of Life Questionnaire-Core 30 (EORTC QLQ-C30), and the EQ-5D-3 Level (EQ-5D-3L) preference questionnaire were administered at baseline and on day 1 of each subsequent 21-day cycle. This study is registered with ClinicalTrials.gov, NCT02811861, and is closed to new participants.\nFINDINGS: Between Oct 13, 2016, and July 24, 2019, 355 patients were randomly assigned to the lenvatinib plus pembrolizumab group, 357 to the lenvatinib plus everolimus group, and 357 to the sunitinib group. Median follow-up for HRQOL analyses was 12·9 months (IQR 5·6-22·3). Because of the promising efficacy and safety results of lenvatinib plus pembrolizumab in the first-line setting, we focus the HRQOL results in this report on that combination versus sunitinib. Mean change from baseline in the lenvatinib plus pembrolizumab group compared with the sunitinib group was -1·75 (SE 0·59) versus -2·19 (0·66) for FKSI-DRS, -5·93 (0·86) versus -6·73 (0·94) for EORTC QLQ-C30 global health status/quality of life (GHS/QOL), and -4·96 (0·85) versus -6·64 (0·94) for the EQ-5D visual analogue scale (VAS). Median time to first deterioration in the lenvatinib plus pembrolizumab group compared with the sunitinib group was 9·14 weeks (95% CI 6·43-12·14) versus 12·14 weeks (9·14-15·29; HR 1·13 [95% CI 0·94-1·35], log-rank p=0·20) for FKSI-DRS, 12·00 weeks (7·29-15·14) versus 9·14 weeks (6·29-12·14; 0·88 [0·74-1·05], log-rank p=0·17) for EORTC QLQ-C30 GHS/QOL, and 9·43 weeks (6·43-12·29) versus 9·14 weeks (6·29-12·00; 0·83 [0·70-0·99], log-rank p=0·041) for the EQ-5D VAS. Median time to definitive deterioration in the lenvatinib plus pembrolizumab group compared with the sunitinib group was 134·14 weeks (95% CI 120·00-not estimable) versus 117·43 weeks (90·14-131·29; HR 0·70 [95% CI 0·53-0·92], log-rank p=0·0081) for FKSI-DRS, 114·29 weeks (102·14-153·29) versus 75·14 weeks (57·29-105·14; 0·60 [0·47-0·77], log-rank p&lt;0·0001) for EORTC QLQ-C30 GHS/QOL, and 124·86 weeks (94·71-134·57) versus 74·86 weeks (54·14-96·00; 0·67 [0·53-0·85], log-rank p=0·0012) for the EQ-5D VAS. No outcomes on any of the instruments significantly favoured sunitinib over lenvatinib plus pembrolizumab. Most HRQOL comparisons of lenvatinib plus everolimus versus sunitinib were similar or favoured sunitinib.\nINTERPRETATION: These HRQOL results demonstrate that patients given lenvatinib plus pembrolizumab treatment had similar or favourable scores compared with patients given sunitinib, particularly with respect to time to definitive deterioration. These results support the efficacy and safety profile of lenvatinib plus pembrolizumab as first-line therapy for patients with advanced renal cell carcinoma.\nFUNDING: Eisai (Nutley, NJ, USA) and Merck Sharp &amp; Dohme, a subsidiary of Merck &amp; Co (Kenilworth, NJ, USA).","container-title":"The Lancet. Oncology","DOI":"10.1016/S1470-2045(22)00212-1","ISSN":"1474-5488","issue":"6","journalAbbreviation":"Lancet Oncol","language":"eng","note":"PMID: 35489363","page":"768-780","source":"PubMed","title":"Health-related quality-of-life outcomes in patients with advanced renal cell carcinoma treated with lenvatinib plus pembrolizumab or everolimus versus sunitinib (CLEAR): a randomised, phase 3 study","title-short":"Health-related quality-of-life outcomes in patients with advanced renal cell carcinoma treated with lenvatinib plus pembrolizumab or everolimus versus sunitinib (CLEAR)","volume":"23","author":[{"family":"Motzer","given":"Robert"},{"family":"Porta","given":"Camillo"},{"family":"Alekseev","given":"Boris"},{"family":"Rha","given":"Sun Young"},{"family":"Choueiri","given":"Toni K."},{"family":"Mendez-Vidal","given":"Maria Jose"},{"family":"Hong","given":"Sung-Hoo"},{"family":"Kapoor","given":"Anil"},{"family":"Goh","given":"Jeffrey C."},{"family":"Eto","given":"Masatoshi"},{"family":"Bennett","given":"Lee"},{"family":"Wang","given":"Jinyi"},{"family":"Pan","given":"Jie Janice"},{"family":"Saretsky","given":"Todd L."},{"family":"Perini","given":"Rodolfo F."},{"family":"He","given":"Cixin Steven"},{"family":"Mody","given":"Kalgi"},{"family":"Cella","given":"David"}],"issued":{"date-parts":[["2022",6]]}},"label":"page"}],"schema":"https://github.com/citation-style-language/schema/raw/master/csl-citation.json"} </w:instrText>
      </w:r>
      <w:r>
        <w:fldChar w:fldCharType="separate"/>
      </w:r>
      <w:r w:rsidRPr="00852090">
        <w:t>[26–28]</w:t>
      </w:r>
      <w:r>
        <w:fldChar w:fldCharType="end"/>
      </w:r>
      <w:r>
        <w:t>.</w:t>
      </w:r>
    </w:p>
    <w:p w14:paraId="062E624E" w14:textId="79CBCE36" w:rsidR="00200EBA" w:rsidRDefault="00200EBA" w:rsidP="00B22A42">
      <w:pPr>
        <w:ind w:firstLine="709"/>
      </w:pPr>
      <w:r>
        <w:t xml:space="preserve">Было проведено регистрационное исследование </w:t>
      </w:r>
      <w:r w:rsidR="006A5A20">
        <w:rPr>
          <w:lang w:val="en-US"/>
        </w:rPr>
        <w:t>III</w:t>
      </w:r>
      <w:r w:rsidR="006A5A20" w:rsidRPr="00D050C7">
        <w:t xml:space="preserve"> </w:t>
      </w:r>
      <w:r>
        <w:t>фазы у пациентов с распространенным п</w:t>
      </w:r>
      <w:r w:rsidR="00224300">
        <w:t>о</w:t>
      </w:r>
      <w:r>
        <w:t>ч</w:t>
      </w:r>
      <w:r w:rsidR="00224300">
        <w:t>е</w:t>
      </w:r>
      <w:r>
        <w:t xml:space="preserve">но-клеточным раком без предшествующей системной терапии (E7080, </w:t>
      </w:r>
      <w:r w:rsidRPr="00843860">
        <w:rPr>
          <w:lang w:val="en-US"/>
        </w:rPr>
        <w:t>CLEAR</w:t>
      </w:r>
      <w:r>
        <w:t xml:space="preserve">. </w:t>
      </w:r>
      <w:r w:rsidRPr="00843860">
        <w:rPr>
          <w:lang w:val="en-US"/>
        </w:rPr>
        <w:t>ClinicalTrials</w:t>
      </w:r>
      <w:r w:rsidRPr="00593C83">
        <w:t>.</w:t>
      </w:r>
      <w:r w:rsidRPr="00843860">
        <w:rPr>
          <w:lang w:val="en-US"/>
        </w:rPr>
        <w:t>gov</w:t>
      </w:r>
      <w:r w:rsidRPr="00593C83">
        <w:t xml:space="preserve"> </w:t>
      </w:r>
      <w:r w:rsidRPr="00843860">
        <w:rPr>
          <w:lang w:val="en-US"/>
        </w:rPr>
        <w:t>Identifier</w:t>
      </w:r>
      <w:r w:rsidRPr="00593C83">
        <w:t xml:space="preserve">: </w:t>
      </w:r>
      <w:r w:rsidRPr="00843860">
        <w:rPr>
          <w:lang w:val="en-US"/>
        </w:rPr>
        <w:t>NCT</w:t>
      </w:r>
      <w:r w:rsidRPr="00593C83">
        <w:t>02811861</w:t>
      </w:r>
      <w:r>
        <w:t>)</w:t>
      </w:r>
      <w:r w:rsidRPr="00593C83">
        <w:t xml:space="preserve">. </w:t>
      </w:r>
      <w:r>
        <w:t>Пациенты были</w:t>
      </w:r>
      <w:r w:rsidRPr="00915271">
        <w:t xml:space="preserve"> </w:t>
      </w:r>
      <w:r>
        <w:t>рандомизированы в три группы (в соотношении 1:1:1) для получения:</w:t>
      </w:r>
    </w:p>
    <w:p w14:paraId="3C7E10FE" w14:textId="77777777" w:rsidR="00200EBA" w:rsidRDefault="00200EBA" w:rsidP="00200EBA">
      <w:pPr>
        <w:pStyle w:val="af3"/>
        <w:numPr>
          <w:ilvl w:val="0"/>
          <w:numId w:val="26"/>
        </w:numPr>
        <w:ind w:left="993"/>
      </w:pPr>
      <w:r>
        <w:t>ленватиниба (20 мг перорально один раз в день) плюс пембролизумаб (200 мг внутривенно один раз в день) 3 недели);</w:t>
      </w:r>
    </w:p>
    <w:p w14:paraId="4B5EC520" w14:textId="1AB2F970" w:rsidR="00200EBA" w:rsidRDefault="00200EBA" w:rsidP="00200EBA">
      <w:pPr>
        <w:pStyle w:val="af3"/>
        <w:numPr>
          <w:ilvl w:val="0"/>
          <w:numId w:val="26"/>
        </w:numPr>
        <w:ind w:left="993"/>
      </w:pPr>
      <w:r>
        <w:t>ленватиниб (18 мг перорально один раз в день) плюс эверолимус (5 мг перорально один раз в день);</w:t>
      </w:r>
    </w:p>
    <w:p w14:paraId="0DBD4933" w14:textId="77777777" w:rsidR="00200EBA" w:rsidRDefault="00200EBA" w:rsidP="00200EBA">
      <w:pPr>
        <w:pStyle w:val="af3"/>
        <w:numPr>
          <w:ilvl w:val="0"/>
          <w:numId w:val="26"/>
        </w:numPr>
        <w:ind w:left="993"/>
      </w:pPr>
      <w:r>
        <w:t>сунитиниб (50 мг перорально один раз в день, чередуя 4 недели лечения и 2 недели без лечения).</w:t>
      </w:r>
    </w:p>
    <w:p w14:paraId="31ADE492" w14:textId="343B2D8D" w:rsidR="00200EBA" w:rsidRDefault="00200EBA" w:rsidP="00B22A42">
      <w:pPr>
        <w:ind w:firstLine="709"/>
      </w:pPr>
      <w:r>
        <w:lastRenderedPageBreak/>
        <w:t xml:space="preserve"> Первичной конечной точкой была </w:t>
      </w:r>
      <w:r w:rsidR="00D45A39">
        <w:t>В</w:t>
      </w:r>
      <w:r w:rsidR="008F47B1">
        <w:t>БП</w:t>
      </w:r>
      <w:r>
        <w:t xml:space="preserve"> по оценке Независимого комитета по оценке данных, оценка проводилась в соответствии с </w:t>
      </w:r>
      <w:r w:rsidRPr="004321D6">
        <w:t>mRECIST</w:t>
      </w:r>
      <w:r>
        <w:t xml:space="preserve">, версия 1.1. Также оценивали </w:t>
      </w:r>
      <w:r w:rsidR="00B55D92">
        <w:t>ОВ</w:t>
      </w:r>
      <w:r>
        <w:t xml:space="preserve"> и безопасность.</w:t>
      </w:r>
    </w:p>
    <w:p w14:paraId="772693F8" w14:textId="336E2C98" w:rsidR="00200EBA" w:rsidRDefault="00200EBA" w:rsidP="00B22A42">
      <w:pPr>
        <w:ind w:firstLine="709"/>
      </w:pPr>
      <w:r>
        <w:t xml:space="preserve">1069 пациентов были рандомизированы в группы, получавшие ленватиниб плюс пембролизумаб (355 пациентов), ленватиниб плюс эверолимус (357) или сунитиниб (357). </w:t>
      </w:r>
      <w:r w:rsidR="00C7228A">
        <w:t>ВБП</w:t>
      </w:r>
      <w:r w:rsidR="0005765D">
        <w:t xml:space="preserve"> </w:t>
      </w:r>
      <w:r>
        <w:t xml:space="preserve">заболевания была выше в группе ленватиниба плюс пембролизумаб, чем в группе сунитиниба (медиана 23,9 и 9,2 месяца; отношение рисков прогрессирования заболевания или смерти 0,39; 95% ДИ 0,32–0,49; </w:t>
      </w:r>
      <w:r w:rsidR="00857A56">
        <w:rPr>
          <w:lang w:val="en-US"/>
        </w:rPr>
        <w:t>p</w:t>
      </w:r>
      <w:r>
        <w:t xml:space="preserve">&lt;0,001), дольше при приеме ленватиниба плюс эверолимус, чем при приеме сунитиниба (медиана 14,7 и 9,2 месяца; отношение рисков 0,65; 95% ДИ 0,53–0,80; </w:t>
      </w:r>
      <w:r w:rsidR="00857A56">
        <w:rPr>
          <w:lang w:val="en-US"/>
        </w:rPr>
        <w:t>p</w:t>
      </w:r>
      <w:r>
        <w:t>&lt;0,001). О</w:t>
      </w:r>
      <w:r w:rsidR="0096535E">
        <w:t xml:space="preserve">В </w:t>
      </w:r>
      <w:r>
        <w:t xml:space="preserve">была выше в группе ленватиниба плюс пембролизумаб, чем в группе сунитиниба (отношение рисков для смерти 0,66; 95% </w:t>
      </w:r>
      <w:bookmarkStart w:id="228" w:name="_Hlk118213158"/>
      <w:bookmarkEnd w:id="227"/>
      <w:r>
        <w:t xml:space="preserve">ДИ от 0,49 до 0,88; </w:t>
      </w:r>
      <w:r w:rsidR="00857A56">
        <w:rPr>
          <w:lang w:val="en-US"/>
        </w:rPr>
        <w:t>p</w:t>
      </w:r>
      <w:r>
        <w:t xml:space="preserve"> = 0,005), но не выше в группе ленватиниба плюс эверолимус по сравнению с сунитинибом (отношение рисков 1,15; 95% ДИ от 0,88 до 1,50; </w:t>
      </w:r>
      <w:r w:rsidR="00857A56">
        <w:rPr>
          <w:lang w:val="en-US"/>
        </w:rPr>
        <w:t>p</w:t>
      </w:r>
      <w:r>
        <w:t xml:space="preserve"> = 0,30). </w:t>
      </w:r>
      <w:bookmarkEnd w:id="228"/>
      <w:r>
        <w:t xml:space="preserve">В таблице </w:t>
      </w:r>
      <w:r w:rsidRPr="00B56EED">
        <w:t>4</w:t>
      </w:r>
      <w:r w:rsidR="0005765D" w:rsidRPr="0005765D">
        <w:t>‒</w:t>
      </w:r>
      <w:r w:rsidR="0096535E">
        <w:t xml:space="preserve">5 </w:t>
      </w:r>
      <w:r>
        <w:t>представлены основные результаты исследования.</w:t>
      </w:r>
    </w:p>
    <w:p w14:paraId="1E07969E" w14:textId="77777777" w:rsidR="00200EBA" w:rsidRDefault="00200EBA" w:rsidP="00200EBA">
      <w:pPr>
        <w:ind w:firstLine="993"/>
      </w:pPr>
    </w:p>
    <w:p w14:paraId="794BDB85" w14:textId="428A619C" w:rsidR="00200EBA" w:rsidRPr="00BE5C88" w:rsidRDefault="00200EBA" w:rsidP="00200EBA">
      <w:r w:rsidRPr="00B56EED">
        <w:rPr>
          <w:b/>
          <w:bCs/>
        </w:rPr>
        <w:t>Таблица 4-</w:t>
      </w:r>
      <w:r w:rsidR="0096535E">
        <w:rPr>
          <w:b/>
          <w:bCs/>
        </w:rPr>
        <w:t>5</w:t>
      </w:r>
      <w:r w:rsidR="008356A7" w:rsidRPr="008356A7">
        <w:rPr>
          <w:b/>
          <w:bCs/>
        </w:rPr>
        <w:t>.</w:t>
      </w:r>
      <w:r w:rsidRPr="00B07248">
        <w:rPr>
          <w:b/>
          <w:bCs/>
        </w:rPr>
        <w:t xml:space="preserve"> </w:t>
      </w:r>
      <w:r w:rsidRPr="008356A7">
        <w:rPr>
          <w:bCs/>
        </w:rPr>
        <w:t>Результаты эффективности исследования у пациентов с распространенным или метастатическим почечно клеточным раком (CLEAR)</w:t>
      </w:r>
      <w:r w:rsidR="008356A7" w:rsidRPr="008356A7">
        <w:rPr>
          <w:bCs/>
        </w:rPr>
        <w:t>.</w:t>
      </w:r>
    </w:p>
    <w:tbl>
      <w:tblPr>
        <w:tblStyle w:val="a8"/>
        <w:tblW w:w="9351" w:type="dxa"/>
        <w:tblLook w:val="04A0" w:firstRow="1" w:lastRow="0" w:firstColumn="1" w:lastColumn="0" w:noHBand="0" w:noVBand="1"/>
      </w:tblPr>
      <w:tblGrid>
        <w:gridCol w:w="4531"/>
        <w:gridCol w:w="2552"/>
        <w:gridCol w:w="2268"/>
      </w:tblGrid>
      <w:tr w:rsidR="00200EBA" w:rsidRPr="0022793D" w14:paraId="685A6567" w14:textId="77777777" w:rsidTr="00B22A42">
        <w:trPr>
          <w:trHeight w:val="243"/>
          <w:tblHeader/>
        </w:trPr>
        <w:tc>
          <w:tcPr>
            <w:tcW w:w="4531" w:type="dxa"/>
            <w:vMerge w:val="restart"/>
            <w:shd w:val="clear" w:color="auto" w:fill="D9D9D9" w:themeFill="background1" w:themeFillShade="D9"/>
            <w:vAlign w:val="center"/>
          </w:tcPr>
          <w:p w14:paraId="6E318443" w14:textId="77777777" w:rsidR="00200EBA" w:rsidRPr="0022793D" w:rsidRDefault="00200EBA" w:rsidP="008356A7">
            <w:pPr>
              <w:pStyle w:val="afff8"/>
              <w:jc w:val="center"/>
              <w:rPr>
                <w:b/>
                <w:bCs/>
                <w:sz w:val="24"/>
              </w:rPr>
            </w:pPr>
            <w:r w:rsidRPr="0022793D">
              <w:rPr>
                <w:b/>
                <w:bCs/>
                <w:sz w:val="24"/>
              </w:rPr>
              <w:t>Критерии эффективности</w:t>
            </w:r>
          </w:p>
        </w:tc>
        <w:tc>
          <w:tcPr>
            <w:tcW w:w="4820" w:type="dxa"/>
            <w:gridSpan w:val="2"/>
            <w:shd w:val="clear" w:color="auto" w:fill="D9D9D9" w:themeFill="background1" w:themeFillShade="D9"/>
            <w:vAlign w:val="center"/>
          </w:tcPr>
          <w:p w14:paraId="7CABDD6C" w14:textId="77777777" w:rsidR="00200EBA" w:rsidRPr="0022793D" w:rsidRDefault="00200EBA" w:rsidP="008356A7">
            <w:pPr>
              <w:pStyle w:val="afff8"/>
              <w:jc w:val="center"/>
              <w:rPr>
                <w:b/>
                <w:bCs/>
                <w:sz w:val="24"/>
              </w:rPr>
            </w:pPr>
            <w:r w:rsidRPr="0022793D">
              <w:rPr>
                <w:b/>
                <w:bCs/>
                <w:sz w:val="24"/>
              </w:rPr>
              <w:t>Группы</w:t>
            </w:r>
          </w:p>
        </w:tc>
      </w:tr>
      <w:tr w:rsidR="00200EBA" w:rsidRPr="0022793D" w14:paraId="5A8366EE" w14:textId="77777777" w:rsidTr="0054382D">
        <w:trPr>
          <w:trHeight w:val="595"/>
          <w:tblHeader/>
        </w:trPr>
        <w:tc>
          <w:tcPr>
            <w:tcW w:w="4531" w:type="dxa"/>
            <w:vMerge/>
            <w:shd w:val="clear" w:color="auto" w:fill="D9D9D9" w:themeFill="background1" w:themeFillShade="D9"/>
            <w:vAlign w:val="center"/>
          </w:tcPr>
          <w:p w14:paraId="6EF11348" w14:textId="77777777" w:rsidR="00200EBA" w:rsidRPr="0022793D" w:rsidRDefault="00200EBA" w:rsidP="008356A7">
            <w:pPr>
              <w:pStyle w:val="afff8"/>
              <w:jc w:val="center"/>
              <w:rPr>
                <w:b/>
                <w:bCs/>
                <w:sz w:val="24"/>
              </w:rPr>
            </w:pPr>
          </w:p>
        </w:tc>
        <w:tc>
          <w:tcPr>
            <w:tcW w:w="2552" w:type="dxa"/>
            <w:shd w:val="clear" w:color="auto" w:fill="D9D9D9" w:themeFill="background1" w:themeFillShade="D9"/>
            <w:vAlign w:val="center"/>
          </w:tcPr>
          <w:p w14:paraId="317D9C74" w14:textId="2D312353" w:rsidR="00200EBA" w:rsidRPr="0022793D" w:rsidRDefault="00200EBA" w:rsidP="008356A7">
            <w:pPr>
              <w:pStyle w:val="afff8"/>
              <w:jc w:val="center"/>
              <w:rPr>
                <w:b/>
                <w:bCs/>
                <w:sz w:val="24"/>
              </w:rPr>
            </w:pPr>
            <w:r w:rsidRPr="0022793D">
              <w:rPr>
                <w:b/>
                <w:bCs/>
                <w:sz w:val="24"/>
              </w:rPr>
              <w:t>Ленватиниб + пембролизумаб</w:t>
            </w:r>
            <w:r w:rsidR="0054382D">
              <w:rPr>
                <w:b/>
                <w:bCs/>
                <w:sz w:val="24"/>
              </w:rPr>
              <w:t xml:space="preserve"> </w:t>
            </w:r>
          </w:p>
          <w:p w14:paraId="3AE7EC2D" w14:textId="77777777" w:rsidR="00200EBA" w:rsidRPr="0022793D" w:rsidRDefault="00200EBA" w:rsidP="008356A7">
            <w:pPr>
              <w:pStyle w:val="afff8"/>
              <w:jc w:val="center"/>
              <w:rPr>
                <w:b/>
                <w:bCs/>
                <w:sz w:val="24"/>
              </w:rPr>
            </w:pPr>
            <w:r w:rsidRPr="0022793D">
              <w:rPr>
                <w:b/>
                <w:bCs/>
                <w:sz w:val="24"/>
              </w:rPr>
              <w:t>(N= 355)</w:t>
            </w:r>
          </w:p>
        </w:tc>
        <w:tc>
          <w:tcPr>
            <w:tcW w:w="2268" w:type="dxa"/>
            <w:shd w:val="clear" w:color="auto" w:fill="D9D9D9" w:themeFill="background1" w:themeFillShade="D9"/>
            <w:vAlign w:val="center"/>
          </w:tcPr>
          <w:p w14:paraId="6E5C529C" w14:textId="6502E96D" w:rsidR="00200EBA" w:rsidRDefault="00200EBA" w:rsidP="008356A7">
            <w:pPr>
              <w:pStyle w:val="afff8"/>
              <w:jc w:val="center"/>
              <w:rPr>
                <w:b/>
                <w:bCs/>
                <w:sz w:val="24"/>
              </w:rPr>
            </w:pPr>
            <w:r w:rsidRPr="0022793D">
              <w:rPr>
                <w:b/>
                <w:bCs/>
                <w:sz w:val="24"/>
              </w:rPr>
              <w:t>Синутинаб</w:t>
            </w:r>
          </w:p>
          <w:p w14:paraId="66DA29D3" w14:textId="3BC1E05A" w:rsidR="00200EBA" w:rsidRPr="0022793D" w:rsidRDefault="00200EBA" w:rsidP="008356A7">
            <w:pPr>
              <w:pStyle w:val="afff8"/>
              <w:jc w:val="center"/>
              <w:rPr>
                <w:b/>
                <w:bCs/>
                <w:sz w:val="24"/>
              </w:rPr>
            </w:pPr>
            <w:r w:rsidRPr="0022793D">
              <w:rPr>
                <w:b/>
                <w:bCs/>
                <w:sz w:val="24"/>
              </w:rPr>
              <w:t>(N= 357)</w:t>
            </w:r>
          </w:p>
        </w:tc>
      </w:tr>
      <w:tr w:rsidR="00200EBA" w:rsidRPr="0022793D" w14:paraId="621E34ED" w14:textId="77777777" w:rsidTr="0054382D">
        <w:trPr>
          <w:trHeight w:val="245"/>
        </w:trPr>
        <w:tc>
          <w:tcPr>
            <w:tcW w:w="4531" w:type="dxa"/>
          </w:tcPr>
          <w:p w14:paraId="7E10AC26" w14:textId="3898305F" w:rsidR="00200EBA" w:rsidRPr="0022793D" w:rsidRDefault="0096535E" w:rsidP="00A85019">
            <w:pPr>
              <w:pStyle w:val="afff8"/>
              <w:rPr>
                <w:sz w:val="24"/>
              </w:rPr>
            </w:pPr>
            <w:r>
              <w:rPr>
                <w:sz w:val="24"/>
              </w:rPr>
              <w:t>ВБП</w:t>
            </w:r>
            <w:r w:rsidR="00200EBA" w:rsidRPr="0022793D">
              <w:rPr>
                <w:sz w:val="24"/>
              </w:rPr>
              <w:t xml:space="preserve"> (mRECIST)</w:t>
            </w:r>
          </w:p>
        </w:tc>
        <w:tc>
          <w:tcPr>
            <w:tcW w:w="2552" w:type="dxa"/>
          </w:tcPr>
          <w:p w14:paraId="60A91907" w14:textId="77777777" w:rsidR="00200EBA" w:rsidRPr="0022793D" w:rsidRDefault="00200EBA" w:rsidP="00A85019">
            <w:pPr>
              <w:pStyle w:val="afff8"/>
              <w:rPr>
                <w:sz w:val="24"/>
              </w:rPr>
            </w:pPr>
          </w:p>
        </w:tc>
        <w:tc>
          <w:tcPr>
            <w:tcW w:w="2268" w:type="dxa"/>
          </w:tcPr>
          <w:p w14:paraId="5231F8AF" w14:textId="77777777" w:rsidR="00200EBA" w:rsidRPr="0022793D" w:rsidRDefault="00200EBA" w:rsidP="00A85019">
            <w:pPr>
              <w:pStyle w:val="afff8"/>
              <w:rPr>
                <w:sz w:val="24"/>
              </w:rPr>
            </w:pPr>
          </w:p>
        </w:tc>
      </w:tr>
      <w:tr w:rsidR="00200EBA" w:rsidRPr="0022793D" w14:paraId="3A783E1A" w14:textId="77777777" w:rsidTr="0054382D">
        <w:trPr>
          <w:trHeight w:val="242"/>
        </w:trPr>
        <w:tc>
          <w:tcPr>
            <w:tcW w:w="4531" w:type="dxa"/>
          </w:tcPr>
          <w:p w14:paraId="3BE162C1" w14:textId="77777777" w:rsidR="00200EBA" w:rsidRPr="0022793D" w:rsidRDefault="00200EBA" w:rsidP="00A85019">
            <w:pPr>
              <w:pStyle w:val="afff8"/>
              <w:rPr>
                <w:sz w:val="24"/>
              </w:rPr>
            </w:pPr>
            <w:r w:rsidRPr="0022793D">
              <w:rPr>
                <w:sz w:val="24"/>
              </w:rPr>
              <w:t>Количество (%) пациентов с событием</w:t>
            </w:r>
          </w:p>
        </w:tc>
        <w:tc>
          <w:tcPr>
            <w:tcW w:w="2552" w:type="dxa"/>
          </w:tcPr>
          <w:p w14:paraId="50966D37" w14:textId="6725FE89" w:rsidR="00200EBA" w:rsidRPr="0022793D" w:rsidRDefault="00200EBA" w:rsidP="00A85019">
            <w:pPr>
              <w:pStyle w:val="afff8"/>
              <w:jc w:val="center"/>
              <w:rPr>
                <w:sz w:val="24"/>
              </w:rPr>
            </w:pPr>
            <w:r w:rsidRPr="0022793D">
              <w:rPr>
                <w:sz w:val="24"/>
              </w:rPr>
              <w:t>160 (45</w:t>
            </w:r>
            <w:r w:rsidR="008356A7">
              <w:rPr>
                <w:sz w:val="24"/>
              </w:rPr>
              <w:t>,</w:t>
            </w:r>
            <w:r w:rsidRPr="0022793D">
              <w:rPr>
                <w:sz w:val="24"/>
              </w:rPr>
              <w:t xml:space="preserve">1%) </w:t>
            </w:r>
          </w:p>
        </w:tc>
        <w:tc>
          <w:tcPr>
            <w:tcW w:w="2268" w:type="dxa"/>
          </w:tcPr>
          <w:p w14:paraId="35E8AE6C" w14:textId="77C82909" w:rsidR="00200EBA" w:rsidRPr="0022793D" w:rsidRDefault="00200EBA" w:rsidP="00A85019">
            <w:pPr>
              <w:pStyle w:val="afff8"/>
              <w:jc w:val="center"/>
              <w:rPr>
                <w:sz w:val="24"/>
              </w:rPr>
            </w:pPr>
            <w:r w:rsidRPr="0022793D">
              <w:rPr>
                <w:sz w:val="24"/>
              </w:rPr>
              <w:t>205 (57</w:t>
            </w:r>
            <w:r w:rsidR="008356A7">
              <w:rPr>
                <w:sz w:val="24"/>
              </w:rPr>
              <w:t>,</w:t>
            </w:r>
            <w:r w:rsidRPr="0022793D">
              <w:rPr>
                <w:sz w:val="24"/>
              </w:rPr>
              <w:t>4%)</w:t>
            </w:r>
          </w:p>
        </w:tc>
      </w:tr>
      <w:tr w:rsidR="00200EBA" w:rsidRPr="0022793D" w14:paraId="1B95826A" w14:textId="77777777" w:rsidTr="0054382D">
        <w:trPr>
          <w:trHeight w:val="231"/>
        </w:trPr>
        <w:tc>
          <w:tcPr>
            <w:tcW w:w="4531" w:type="dxa"/>
          </w:tcPr>
          <w:p w14:paraId="31F32F42" w14:textId="77777777" w:rsidR="00200EBA" w:rsidRPr="0022793D" w:rsidRDefault="00200EBA" w:rsidP="00A85019">
            <w:pPr>
              <w:pStyle w:val="afff8"/>
              <w:rPr>
                <w:sz w:val="24"/>
              </w:rPr>
            </w:pPr>
            <w:r w:rsidRPr="0022793D">
              <w:rPr>
                <w:sz w:val="24"/>
              </w:rPr>
              <w:t>Медиана в месяцах (95%ДИ)</w:t>
            </w:r>
          </w:p>
        </w:tc>
        <w:tc>
          <w:tcPr>
            <w:tcW w:w="2552" w:type="dxa"/>
          </w:tcPr>
          <w:p w14:paraId="5968B936" w14:textId="586F8085" w:rsidR="00200EBA" w:rsidRPr="0022793D" w:rsidRDefault="00200EBA" w:rsidP="008356A7">
            <w:pPr>
              <w:pStyle w:val="afff8"/>
              <w:jc w:val="center"/>
              <w:rPr>
                <w:sz w:val="24"/>
              </w:rPr>
            </w:pPr>
            <w:r w:rsidRPr="0022793D">
              <w:rPr>
                <w:sz w:val="24"/>
              </w:rPr>
              <w:t>23</w:t>
            </w:r>
            <w:r w:rsidR="008356A7">
              <w:rPr>
                <w:sz w:val="24"/>
              </w:rPr>
              <w:t>,</w:t>
            </w:r>
            <w:r w:rsidRPr="0022793D">
              <w:rPr>
                <w:sz w:val="24"/>
              </w:rPr>
              <w:t>9 (20</w:t>
            </w:r>
            <w:r w:rsidR="008356A7">
              <w:rPr>
                <w:sz w:val="24"/>
              </w:rPr>
              <w:t>,</w:t>
            </w:r>
            <w:r w:rsidRPr="0022793D">
              <w:rPr>
                <w:sz w:val="24"/>
              </w:rPr>
              <w:t>8</w:t>
            </w:r>
            <w:r w:rsidR="008356A7">
              <w:rPr>
                <w:sz w:val="24"/>
                <w:lang w:val="en-US"/>
              </w:rPr>
              <w:t>;</w:t>
            </w:r>
            <w:r w:rsidRPr="0022793D">
              <w:rPr>
                <w:sz w:val="24"/>
              </w:rPr>
              <w:t xml:space="preserve"> 27</w:t>
            </w:r>
            <w:r w:rsidR="008356A7">
              <w:rPr>
                <w:sz w:val="24"/>
              </w:rPr>
              <w:t>,</w:t>
            </w:r>
            <w:r w:rsidRPr="0022793D">
              <w:rPr>
                <w:sz w:val="24"/>
              </w:rPr>
              <w:t xml:space="preserve">7) </w:t>
            </w:r>
          </w:p>
        </w:tc>
        <w:tc>
          <w:tcPr>
            <w:tcW w:w="2268" w:type="dxa"/>
          </w:tcPr>
          <w:p w14:paraId="21963C56" w14:textId="1FBF335C" w:rsidR="00200EBA" w:rsidRPr="0022793D" w:rsidRDefault="00200EBA" w:rsidP="008356A7">
            <w:pPr>
              <w:pStyle w:val="afff8"/>
              <w:jc w:val="center"/>
              <w:rPr>
                <w:sz w:val="24"/>
              </w:rPr>
            </w:pPr>
            <w:r w:rsidRPr="0022793D">
              <w:rPr>
                <w:sz w:val="24"/>
              </w:rPr>
              <w:t>9</w:t>
            </w:r>
            <w:r w:rsidR="008356A7">
              <w:rPr>
                <w:sz w:val="24"/>
              </w:rPr>
              <w:t>,</w:t>
            </w:r>
            <w:r w:rsidRPr="0022793D">
              <w:rPr>
                <w:sz w:val="24"/>
              </w:rPr>
              <w:t>2 (6</w:t>
            </w:r>
            <w:r w:rsidR="008356A7">
              <w:rPr>
                <w:sz w:val="24"/>
              </w:rPr>
              <w:t>,</w:t>
            </w:r>
            <w:r w:rsidRPr="0022793D">
              <w:rPr>
                <w:sz w:val="24"/>
              </w:rPr>
              <w:t>0</w:t>
            </w:r>
            <w:r w:rsidR="008356A7">
              <w:rPr>
                <w:sz w:val="24"/>
                <w:lang w:val="en-US"/>
              </w:rPr>
              <w:t>;</w:t>
            </w:r>
            <w:r w:rsidRPr="0022793D">
              <w:rPr>
                <w:sz w:val="24"/>
              </w:rPr>
              <w:t xml:space="preserve"> 11</w:t>
            </w:r>
            <w:r w:rsidR="008356A7">
              <w:rPr>
                <w:sz w:val="24"/>
              </w:rPr>
              <w:t>,</w:t>
            </w:r>
            <w:r w:rsidRPr="0022793D">
              <w:rPr>
                <w:sz w:val="24"/>
              </w:rPr>
              <w:t>0</w:t>
            </w:r>
          </w:p>
        </w:tc>
      </w:tr>
      <w:tr w:rsidR="00200EBA" w:rsidRPr="0022793D" w14:paraId="05F86EF8" w14:textId="77777777" w:rsidTr="00B22A42">
        <w:trPr>
          <w:trHeight w:val="236"/>
        </w:trPr>
        <w:tc>
          <w:tcPr>
            <w:tcW w:w="4531" w:type="dxa"/>
          </w:tcPr>
          <w:p w14:paraId="51B8E7CF" w14:textId="77777777" w:rsidR="00200EBA" w:rsidRPr="0022793D" w:rsidRDefault="00200EBA" w:rsidP="00A85019">
            <w:pPr>
              <w:pStyle w:val="afff8"/>
              <w:rPr>
                <w:sz w:val="24"/>
              </w:rPr>
            </w:pPr>
            <w:r w:rsidRPr="0022793D">
              <w:rPr>
                <w:sz w:val="24"/>
              </w:rPr>
              <w:t>Отношение рисков (ДИ 95%)</w:t>
            </w:r>
            <w:r w:rsidRPr="0022793D">
              <w:rPr>
                <w:sz w:val="24"/>
                <w:vertAlign w:val="superscript"/>
                <w:lang w:val="en-US"/>
              </w:rPr>
              <w:t>a</w:t>
            </w:r>
          </w:p>
        </w:tc>
        <w:tc>
          <w:tcPr>
            <w:tcW w:w="4820" w:type="dxa"/>
            <w:gridSpan w:val="2"/>
          </w:tcPr>
          <w:p w14:paraId="3DA1DF18" w14:textId="24DE1AFF" w:rsidR="00200EBA" w:rsidRPr="0022793D" w:rsidRDefault="00200EBA" w:rsidP="008356A7">
            <w:pPr>
              <w:pStyle w:val="afff8"/>
              <w:jc w:val="center"/>
              <w:rPr>
                <w:sz w:val="24"/>
              </w:rPr>
            </w:pPr>
            <w:r w:rsidRPr="0022793D">
              <w:rPr>
                <w:sz w:val="24"/>
              </w:rPr>
              <w:t>0</w:t>
            </w:r>
            <w:r w:rsidR="008356A7">
              <w:rPr>
                <w:sz w:val="24"/>
              </w:rPr>
              <w:t>,</w:t>
            </w:r>
            <w:r w:rsidRPr="0022793D">
              <w:rPr>
                <w:sz w:val="24"/>
              </w:rPr>
              <w:t>39 (0</w:t>
            </w:r>
            <w:r w:rsidR="008356A7">
              <w:rPr>
                <w:sz w:val="24"/>
              </w:rPr>
              <w:t>,</w:t>
            </w:r>
            <w:r w:rsidRPr="0022793D">
              <w:rPr>
                <w:sz w:val="24"/>
              </w:rPr>
              <w:t>32</w:t>
            </w:r>
            <w:r w:rsidR="008356A7">
              <w:rPr>
                <w:sz w:val="24"/>
                <w:lang w:val="en-US"/>
              </w:rPr>
              <w:t>;</w:t>
            </w:r>
            <w:r w:rsidRPr="0022793D">
              <w:rPr>
                <w:sz w:val="24"/>
              </w:rPr>
              <w:t xml:space="preserve"> 0</w:t>
            </w:r>
            <w:r w:rsidR="008356A7">
              <w:rPr>
                <w:sz w:val="24"/>
              </w:rPr>
              <w:t>,</w:t>
            </w:r>
            <w:r w:rsidRPr="0022793D">
              <w:rPr>
                <w:sz w:val="24"/>
              </w:rPr>
              <w:t>49)</w:t>
            </w:r>
          </w:p>
        </w:tc>
      </w:tr>
      <w:tr w:rsidR="00200EBA" w:rsidRPr="0022793D" w14:paraId="0680AD8E" w14:textId="77777777" w:rsidTr="00B22A42">
        <w:trPr>
          <w:trHeight w:val="274"/>
        </w:trPr>
        <w:tc>
          <w:tcPr>
            <w:tcW w:w="4531" w:type="dxa"/>
          </w:tcPr>
          <w:p w14:paraId="26C5CC01" w14:textId="6E0D5E82" w:rsidR="00200EBA" w:rsidRPr="0022793D" w:rsidRDefault="005B40C6" w:rsidP="00A85019">
            <w:pPr>
              <w:pStyle w:val="afff8"/>
              <w:rPr>
                <w:sz w:val="24"/>
              </w:rPr>
            </w:pPr>
            <w:r>
              <w:rPr>
                <w:sz w:val="24"/>
                <w:lang w:val="en-US"/>
              </w:rPr>
              <w:t>p</w:t>
            </w:r>
            <w:r w:rsidR="00200EBA" w:rsidRPr="0022793D">
              <w:rPr>
                <w:sz w:val="24"/>
              </w:rPr>
              <w:t>-уровень</w:t>
            </w:r>
            <w:r w:rsidR="00200EBA" w:rsidRPr="0022793D">
              <w:rPr>
                <w:sz w:val="24"/>
                <w:vertAlign w:val="superscript"/>
                <w:lang w:val="en-US"/>
              </w:rPr>
              <w:t>b</w:t>
            </w:r>
          </w:p>
        </w:tc>
        <w:tc>
          <w:tcPr>
            <w:tcW w:w="4820" w:type="dxa"/>
            <w:gridSpan w:val="2"/>
          </w:tcPr>
          <w:p w14:paraId="0D3006C7" w14:textId="6186A0AA" w:rsidR="00200EBA" w:rsidRPr="0022793D" w:rsidRDefault="00200EBA" w:rsidP="00A85019">
            <w:pPr>
              <w:pStyle w:val="afff8"/>
              <w:jc w:val="center"/>
              <w:rPr>
                <w:sz w:val="24"/>
              </w:rPr>
            </w:pPr>
            <w:r w:rsidRPr="0022793D">
              <w:rPr>
                <w:sz w:val="24"/>
              </w:rPr>
              <w:t>&lt;0</w:t>
            </w:r>
            <w:r w:rsidR="008356A7">
              <w:rPr>
                <w:sz w:val="24"/>
              </w:rPr>
              <w:t>,</w:t>
            </w:r>
            <w:r w:rsidRPr="0022793D">
              <w:rPr>
                <w:sz w:val="24"/>
              </w:rPr>
              <w:t>0001</w:t>
            </w:r>
          </w:p>
        </w:tc>
      </w:tr>
      <w:tr w:rsidR="00200EBA" w:rsidRPr="0022793D" w14:paraId="64B581E7" w14:textId="77777777" w:rsidTr="0054382D">
        <w:trPr>
          <w:trHeight w:val="263"/>
        </w:trPr>
        <w:tc>
          <w:tcPr>
            <w:tcW w:w="4531" w:type="dxa"/>
          </w:tcPr>
          <w:p w14:paraId="118EC8FA" w14:textId="1203B4D0" w:rsidR="00200EBA" w:rsidRPr="0022793D" w:rsidRDefault="00200EBA" w:rsidP="0096535E">
            <w:pPr>
              <w:pStyle w:val="afff8"/>
              <w:rPr>
                <w:sz w:val="24"/>
              </w:rPr>
            </w:pPr>
            <w:r w:rsidRPr="0022793D">
              <w:rPr>
                <w:sz w:val="24"/>
              </w:rPr>
              <w:t>О</w:t>
            </w:r>
            <w:r w:rsidR="0096535E">
              <w:rPr>
                <w:sz w:val="24"/>
              </w:rPr>
              <w:t xml:space="preserve">В </w:t>
            </w:r>
          </w:p>
        </w:tc>
        <w:tc>
          <w:tcPr>
            <w:tcW w:w="2552" w:type="dxa"/>
          </w:tcPr>
          <w:p w14:paraId="2DC0CEA0" w14:textId="77777777" w:rsidR="00200EBA" w:rsidRPr="0022793D" w:rsidRDefault="00200EBA" w:rsidP="00A85019">
            <w:pPr>
              <w:pStyle w:val="afff8"/>
              <w:jc w:val="center"/>
              <w:rPr>
                <w:sz w:val="24"/>
              </w:rPr>
            </w:pPr>
          </w:p>
        </w:tc>
        <w:tc>
          <w:tcPr>
            <w:tcW w:w="2268" w:type="dxa"/>
          </w:tcPr>
          <w:p w14:paraId="58C3A59E" w14:textId="77777777" w:rsidR="00200EBA" w:rsidRPr="0022793D" w:rsidRDefault="00200EBA" w:rsidP="00A85019">
            <w:pPr>
              <w:pStyle w:val="afff8"/>
              <w:jc w:val="center"/>
              <w:rPr>
                <w:sz w:val="24"/>
              </w:rPr>
            </w:pPr>
          </w:p>
        </w:tc>
      </w:tr>
      <w:tr w:rsidR="00200EBA" w:rsidRPr="0022793D" w14:paraId="11088A1A" w14:textId="77777777" w:rsidTr="0054382D">
        <w:trPr>
          <w:trHeight w:val="233"/>
        </w:trPr>
        <w:tc>
          <w:tcPr>
            <w:tcW w:w="4531" w:type="dxa"/>
          </w:tcPr>
          <w:p w14:paraId="22455D27" w14:textId="77777777" w:rsidR="00200EBA" w:rsidRPr="0022793D" w:rsidRDefault="00200EBA" w:rsidP="00A85019">
            <w:pPr>
              <w:pStyle w:val="afff8"/>
              <w:rPr>
                <w:sz w:val="24"/>
              </w:rPr>
            </w:pPr>
            <w:r w:rsidRPr="0022793D">
              <w:rPr>
                <w:sz w:val="24"/>
              </w:rPr>
              <w:t>Количество (%) пациентов с событием</w:t>
            </w:r>
          </w:p>
        </w:tc>
        <w:tc>
          <w:tcPr>
            <w:tcW w:w="2552" w:type="dxa"/>
          </w:tcPr>
          <w:p w14:paraId="5A1359AA" w14:textId="022C641E" w:rsidR="00200EBA" w:rsidRPr="0022793D" w:rsidRDefault="00200EBA" w:rsidP="00A85019">
            <w:pPr>
              <w:pStyle w:val="afff8"/>
              <w:jc w:val="center"/>
              <w:rPr>
                <w:sz w:val="24"/>
              </w:rPr>
            </w:pPr>
            <w:r w:rsidRPr="0022793D">
              <w:rPr>
                <w:sz w:val="24"/>
              </w:rPr>
              <w:t>80 (22</w:t>
            </w:r>
            <w:r w:rsidR="008356A7">
              <w:rPr>
                <w:sz w:val="24"/>
              </w:rPr>
              <w:t>,</w:t>
            </w:r>
            <w:r w:rsidRPr="0022793D">
              <w:rPr>
                <w:sz w:val="24"/>
              </w:rPr>
              <w:t xml:space="preserve">5%) </w:t>
            </w:r>
          </w:p>
        </w:tc>
        <w:tc>
          <w:tcPr>
            <w:tcW w:w="2268" w:type="dxa"/>
          </w:tcPr>
          <w:p w14:paraId="3363A6F3" w14:textId="1252BB20" w:rsidR="00200EBA" w:rsidRPr="0022793D" w:rsidRDefault="00200EBA" w:rsidP="00A85019">
            <w:pPr>
              <w:pStyle w:val="afff8"/>
              <w:jc w:val="center"/>
              <w:rPr>
                <w:sz w:val="24"/>
              </w:rPr>
            </w:pPr>
            <w:r w:rsidRPr="0022793D">
              <w:rPr>
                <w:sz w:val="24"/>
              </w:rPr>
              <w:t>101 (28</w:t>
            </w:r>
            <w:r w:rsidR="008356A7">
              <w:rPr>
                <w:sz w:val="24"/>
              </w:rPr>
              <w:t>,</w:t>
            </w:r>
            <w:r w:rsidRPr="0022793D">
              <w:rPr>
                <w:sz w:val="24"/>
              </w:rPr>
              <w:t>3%)</w:t>
            </w:r>
          </w:p>
        </w:tc>
      </w:tr>
      <w:tr w:rsidR="00200EBA" w:rsidRPr="0022793D" w14:paraId="58A3A6B5" w14:textId="77777777" w:rsidTr="0054382D">
        <w:trPr>
          <w:trHeight w:val="224"/>
        </w:trPr>
        <w:tc>
          <w:tcPr>
            <w:tcW w:w="4531" w:type="dxa"/>
          </w:tcPr>
          <w:p w14:paraId="0FA6C869" w14:textId="77777777" w:rsidR="00200EBA" w:rsidRPr="0022793D" w:rsidRDefault="00200EBA" w:rsidP="00A85019">
            <w:pPr>
              <w:pStyle w:val="afff8"/>
              <w:rPr>
                <w:sz w:val="24"/>
              </w:rPr>
            </w:pPr>
            <w:r w:rsidRPr="0022793D">
              <w:rPr>
                <w:sz w:val="24"/>
              </w:rPr>
              <w:t>Медиана в месяцах (95%ДИ)</w:t>
            </w:r>
          </w:p>
        </w:tc>
        <w:tc>
          <w:tcPr>
            <w:tcW w:w="2552" w:type="dxa"/>
          </w:tcPr>
          <w:p w14:paraId="0C632A22" w14:textId="77777777" w:rsidR="00200EBA" w:rsidRPr="0022793D" w:rsidRDefault="00200EBA" w:rsidP="00A85019">
            <w:pPr>
              <w:pStyle w:val="afff8"/>
              <w:jc w:val="center"/>
              <w:rPr>
                <w:sz w:val="24"/>
              </w:rPr>
            </w:pPr>
            <w:r w:rsidRPr="0022793D">
              <w:rPr>
                <w:sz w:val="24"/>
              </w:rPr>
              <w:t>Не достигнуто</w:t>
            </w:r>
          </w:p>
        </w:tc>
        <w:tc>
          <w:tcPr>
            <w:tcW w:w="2268" w:type="dxa"/>
          </w:tcPr>
          <w:p w14:paraId="5354007D" w14:textId="77777777" w:rsidR="00200EBA" w:rsidRPr="0022793D" w:rsidRDefault="00200EBA" w:rsidP="00A85019">
            <w:pPr>
              <w:pStyle w:val="afff8"/>
              <w:jc w:val="center"/>
              <w:rPr>
                <w:sz w:val="24"/>
              </w:rPr>
            </w:pPr>
            <w:r w:rsidRPr="0022793D">
              <w:rPr>
                <w:sz w:val="24"/>
              </w:rPr>
              <w:t>Не достигнуто</w:t>
            </w:r>
          </w:p>
        </w:tc>
      </w:tr>
      <w:tr w:rsidR="00200EBA" w:rsidRPr="0022793D" w14:paraId="622E2518" w14:textId="77777777" w:rsidTr="00B22A42">
        <w:trPr>
          <w:trHeight w:val="227"/>
        </w:trPr>
        <w:tc>
          <w:tcPr>
            <w:tcW w:w="4531" w:type="dxa"/>
          </w:tcPr>
          <w:p w14:paraId="193F4BCB" w14:textId="77777777" w:rsidR="00200EBA" w:rsidRPr="0022793D" w:rsidRDefault="00200EBA" w:rsidP="00A85019">
            <w:pPr>
              <w:pStyle w:val="afff8"/>
              <w:rPr>
                <w:sz w:val="24"/>
              </w:rPr>
            </w:pPr>
            <w:r w:rsidRPr="0022793D">
              <w:rPr>
                <w:sz w:val="24"/>
              </w:rPr>
              <w:t>Отношение рисков (ДИ 95%)</w:t>
            </w:r>
            <w:r w:rsidRPr="0022793D">
              <w:rPr>
                <w:sz w:val="24"/>
                <w:vertAlign w:val="superscript"/>
                <w:lang w:val="en-US"/>
              </w:rPr>
              <w:t>a</w:t>
            </w:r>
          </w:p>
        </w:tc>
        <w:tc>
          <w:tcPr>
            <w:tcW w:w="4820" w:type="dxa"/>
            <w:gridSpan w:val="2"/>
          </w:tcPr>
          <w:p w14:paraId="2C4B5CA6" w14:textId="6C95FB13" w:rsidR="00200EBA" w:rsidRPr="0022793D" w:rsidRDefault="00200EBA" w:rsidP="00A85019">
            <w:pPr>
              <w:pStyle w:val="afff8"/>
              <w:jc w:val="center"/>
              <w:rPr>
                <w:sz w:val="24"/>
              </w:rPr>
            </w:pPr>
            <w:r w:rsidRPr="0022793D">
              <w:rPr>
                <w:sz w:val="24"/>
              </w:rPr>
              <w:t>0</w:t>
            </w:r>
            <w:r w:rsidR="008356A7">
              <w:rPr>
                <w:sz w:val="24"/>
              </w:rPr>
              <w:t>,</w:t>
            </w:r>
            <w:r w:rsidRPr="0022793D">
              <w:rPr>
                <w:sz w:val="24"/>
              </w:rPr>
              <w:t>66 (0</w:t>
            </w:r>
            <w:r w:rsidR="008356A7">
              <w:rPr>
                <w:sz w:val="24"/>
              </w:rPr>
              <w:t>,</w:t>
            </w:r>
            <w:r w:rsidRPr="0022793D">
              <w:rPr>
                <w:sz w:val="24"/>
              </w:rPr>
              <w:t>49, 0</w:t>
            </w:r>
            <w:r w:rsidR="008356A7">
              <w:rPr>
                <w:sz w:val="24"/>
              </w:rPr>
              <w:t>,</w:t>
            </w:r>
            <w:r w:rsidRPr="0022793D">
              <w:rPr>
                <w:sz w:val="24"/>
              </w:rPr>
              <w:t>88)</w:t>
            </w:r>
          </w:p>
        </w:tc>
      </w:tr>
      <w:tr w:rsidR="00200EBA" w:rsidRPr="0022793D" w14:paraId="4D337F7C" w14:textId="77777777" w:rsidTr="00B22A42">
        <w:trPr>
          <w:trHeight w:val="223"/>
        </w:trPr>
        <w:tc>
          <w:tcPr>
            <w:tcW w:w="4531" w:type="dxa"/>
          </w:tcPr>
          <w:p w14:paraId="1F51ECED" w14:textId="07A19950" w:rsidR="00200EBA" w:rsidRPr="0022793D" w:rsidRDefault="005B40C6" w:rsidP="00A85019">
            <w:pPr>
              <w:pStyle w:val="afff8"/>
              <w:rPr>
                <w:sz w:val="24"/>
              </w:rPr>
            </w:pPr>
            <w:r>
              <w:rPr>
                <w:sz w:val="24"/>
                <w:lang w:val="en-US"/>
              </w:rPr>
              <w:t>p</w:t>
            </w:r>
            <w:r w:rsidR="00200EBA" w:rsidRPr="0022793D">
              <w:rPr>
                <w:sz w:val="24"/>
              </w:rPr>
              <w:t>-уровень</w:t>
            </w:r>
            <w:r w:rsidR="00200EBA" w:rsidRPr="0022793D">
              <w:rPr>
                <w:sz w:val="24"/>
                <w:vertAlign w:val="superscript"/>
                <w:lang w:val="en-US"/>
              </w:rPr>
              <w:t>b</w:t>
            </w:r>
          </w:p>
        </w:tc>
        <w:tc>
          <w:tcPr>
            <w:tcW w:w="4820" w:type="dxa"/>
            <w:gridSpan w:val="2"/>
          </w:tcPr>
          <w:p w14:paraId="24FB0675" w14:textId="066DFB5C" w:rsidR="00200EBA" w:rsidRPr="0022793D" w:rsidRDefault="00200EBA" w:rsidP="00A85019">
            <w:pPr>
              <w:pStyle w:val="afff8"/>
              <w:jc w:val="center"/>
              <w:rPr>
                <w:sz w:val="24"/>
              </w:rPr>
            </w:pPr>
            <w:r w:rsidRPr="0022793D">
              <w:rPr>
                <w:sz w:val="24"/>
              </w:rPr>
              <w:t>&lt;0</w:t>
            </w:r>
            <w:r w:rsidR="008356A7">
              <w:rPr>
                <w:sz w:val="24"/>
              </w:rPr>
              <w:t>,</w:t>
            </w:r>
            <w:r w:rsidRPr="0022793D">
              <w:rPr>
                <w:sz w:val="24"/>
              </w:rPr>
              <w:t>0001</w:t>
            </w:r>
          </w:p>
        </w:tc>
      </w:tr>
      <w:tr w:rsidR="00200EBA" w:rsidRPr="0022793D" w14:paraId="0A234486" w14:textId="77777777" w:rsidTr="0054382D">
        <w:trPr>
          <w:trHeight w:val="349"/>
        </w:trPr>
        <w:tc>
          <w:tcPr>
            <w:tcW w:w="4531" w:type="dxa"/>
          </w:tcPr>
          <w:p w14:paraId="4BAE8EBD" w14:textId="77777777" w:rsidR="00200EBA" w:rsidRPr="0022793D" w:rsidRDefault="00200EBA" w:rsidP="00A85019">
            <w:pPr>
              <w:pStyle w:val="afff8"/>
              <w:rPr>
                <w:sz w:val="24"/>
              </w:rPr>
            </w:pPr>
            <w:r w:rsidRPr="0022793D">
              <w:rPr>
                <w:sz w:val="24"/>
              </w:rPr>
              <w:t>Частота объективного ответа</w:t>
            </w:r>
          </w:p>
        </w:tc>
        <w:tc>
          <w:tcPr>
            <w:tcW w:w="2552" w:type="dxa"/>
          </w:tcPr>
          <w:p w14:paraId="02A6C893" w14:textId="650D91AA" w:rsidR="00200EBA" w:rsidRPr="0022793D" w:rsidRDefault="00200EBA" w:rsidP="00A85019">
            <w:pPr>
              <w:pStyle w:val="afff8"/>
              <w:jc w:val="center"/>
              <w:rPr>
                <w:sz w:val="24"/>
              </w:rPr>
            </w:pPr>
            <w:r w:rsidRPr="0022793D">
              <w:rPr>
                <w:sz w:val="24"/>
              </w:rPr>
              <w:t>252 (71</w:t>
            </w:r>
            <w:r w:rsidR="008356A7">
              <w:rPr>
                <w:sz w:val="24"/>
              </w:rPr>
              <w:t>,</w:t>
            </w:r>
            <w:r w:rsidRPr="0022793D">
              <w:rPr>
                <w:sz w:val="24"/>
              </w:rPr>
              <w:t xml:space="preserve">0%) </w:t>
            </w:r>
          </w:p>
        </w:tc>
        <w:tc>
          <w:tcPr>
            <w:tcW w:w="2268" w:type="dxa"/>
          </w:tcPr>
          <w:p w14:paraId="53694FB2" w14:textId="37DB684B" w:rsidR="00200EBA" w:rsidRPr="0022793D" w:rsidRDefault="00200EBA" w:rsidP="00A85019">
            <w:pPr>
              <w:pStyle w:val="afff8"/>
              <w:jc w:val="center"/>
              <w:rPr>
                <w:sz w:val="24"/>
              </w:rPr>
            </w:pPr>
            <w:r w:rsidRPr="0022793D">
              <w:rPr>
                <w:sz w:val="24"/>
              </w:rPr>
              <w:t>129 (36</w:t>
            </w:r>
            <w:r w:rsidR="008356A7">
              <w:rPr>
                <w:sz w:val="24"/>
              </w:rPr>
              <w:t>,</w:t>
            </w:r>
            <w:r w:rsidRPr="0022793D">
              <w:rPr>
                <w:sz w:val="24"/>
              </w:rPr>
              <w:t>1%)</w:t>
            </w:r>
          </w:p>
        </w:tc>
      </w:tr>
      <w:tr w:rsidR="00200EBA" w:rsidRPr="0022793D" w14:paraId="5EB90181" w14:textId="77777777" w:rsidTr="0054382D">
        <w:trPr>
          <w:trHeight w:val="222"/>
        </w:trPr>
        <w:tc>
          <w:tcPr>
            <w:tcW w:w="4531" w:type="dxa"/>
          </w:tcPr>
          <w:p w14:paraId="06087F88" w14:textId="77777777" w:rsidR="00200EBA" w:rsidRPr="0022793D" w:rsidRDefault="00200EBA" w:rsidP="00A85019">
            <w:pPr>
              <w:pStyle w:val="afff8"/>
              <w:rPr>
                <w:sz w:val="24"/>
              </w:rPr>
            </w:pPr>
            <w:r w:rsidRPr="0022793D">
              <w:rPr>
                <w:sz w:val="24"/>
              </w:rPr>
              <w:t>(ДИ 95%)</w:t>
            </w:r>
            <w:r w:rsidRPr="0022793D">
              <w:rPr>
                <w:sz w:val="24"/>
                <w:vertAlign w:val="superscript"/>
                <w:lang w:val="en-US"/>
              </w:rPr>
              <w:t>a</w:t>
            </w:r>
          </w:p>
        </w:tc>
        <w:tc>
          <w:tcPr>
            <w:tcW w:w="2552" w:type="dxa"/>
          </w:tcPr>
          <w:p w14:paraId="0F113663" w14:textId="3B24D1D5" w:rsidR="00200EBA" w:rsidRPr="0022793D" w:rsidRDefault="00200EBA" w:rsidP="00A85019">
            <w:pPr>
              <w:pStyle w:val="afff8"/>
              <w:jc w:val="center"/>
              <w:rPr>
                <w:sz w:val="24"/>
              </w:rPr>
            </w:pPr>
            <w:r w:rsidRPr="0022793D">
              <w:rPr>
                <w:sz w:val="24"/>
              </w:rPr>
              <w:t>(66</w:t>
            </w:r>
            <w:r w:rsidR="008356A7">
              <w:rPr>
                <w:sz w:val="24"/>
              </w:rPr>
              <w:t>,</w:t>
            </w:r>
            <w:r w:rsidRPr="0022793D">
              <w:rPr>
                <w:sz w:val="24"/>
              </w:rPr>
              <w:t>3, 75</w:t>
            </w:r>
            <w:r w:rsidR="008356A7">
              <w:rPr>
                <w:sz w:val="24"/>
              </w:rPr>
              <w:t>,</w:t>
            </w:r>
            <w:r w:rsidRPr="0022793D">
              <w:rPr>
                <w:sz w:val="24"/>
              </w:rPr>
              <w:t xml:space="preserve">7) </w:t>
            </w:r>
          </w:p>
        </w:tc>
        <w:tc>
          <w:tcPr>
            <w:tcW w:w="2268" w:type="dxa"/>
          </w:tcPr>
          <w:p w14:paraId="22602D5D" w14:textId="4EEC07B5" w:rsidR="00200EBA" w:rsidRPr="0022793D" w:rsidRDefault="00200EBA" w:rsidP="00A85019">
            <w:pPr>
              <w:pStyle w:val="afff8"/>
              <w:jc w:val="center"/>
              <w:rPr>
                <w:sz w:val="24"/>
              </w:rPr>
            </w:pPr>
            <w:r w:rsidRPr="0022793D">
              <w:rPr>
                <w:sz w:val="24"/>
              </w:rPr>
              <w:t>(31</w:t>
            </w:r>
            <w:r w:rsidR="008356A7">
              <w:rPr>
                <w:sz w:val="24"/>
              </w:rPr>
              <w:t>,</w:t>
            </w:r>
            <w:r w:rsidRPr="0022793D">
              <w:rPr>
                <w:sz w:val="24"/>
              </w:rPr>
              <w:t>2, 41</w:t>
            </w:r>
            <w:r w:rsidR="008356A7">
              <w:rPr>
                <w:sz w:val="24"/>
              </w:rPr>
              <w:t>,</w:t>
            </w:r>
            <w:r w:rsidRPr="0022793D">
              <w:rPr>
                <w:sz w:val="24"/>
              </w:rPr>
              <w:t>1)</w:t>
            </w:r>
          </w:p>
        </w:tc>
      </w:tr>
      <w:tr w:rsidR="00200EBA" w:rsidRPr="0022793D" w14:paraId="24B6FA2D" w14:textId="77777777" w:rsidTr="0054382D">
        <w:trPr>
          <w:trHeight w:val="225"/>
        </w:trPr>
        <w:tc>
          <w:tcPr>
            <w:tcW w:w="4531" w:type="dxa"/>
          </w:tcPr>
          <w:p w14:paraId="7A7B9EF5" w14:textId="77777777" w:rsidR="00200EBA" w:rsidRPr="0022793D" w:rsidRDefault="00200EBA" w:rsidP="00A85019">
            <w:pPr>
              <w:pStyle w:val="afff8"/>
              <w:rPr>
                <w:sz w:val="24"/>
              </w:rPr>
            </w:pPr>
            <w:r w:rsidRPr="0022793D">
              <w:rPr>
                <w:sz w:val="24"/>
              </w:rPr>
              <w:t>Полный ответ</w:t>
            </w:r>
          </w:p>
        </w:tc>
        <w:tc>
          <w:tcPr>
            <w:tcW w:w="2552" w:type="dxa"/>
          </w:tcPr>
          <w:p w14:paraId="738E08D3" w14:textId="5A1B6161" w:rsidR="00200EBA" w:rsidRPr="0022793D" w:rsidRDefault="00200EBA" w:rsidP="00A85019">
            <w:pPr>
              <w:pStyle w:val="afff8"/>
              <w:jc w:val="center"/>
              <w:rPr>
                <w:sz w:val="24"/>
              </w:rPr>
            </w:pPr>
            <w:r w:rsidRPr="0022793D">
              <w:rPr>
                <w:sz w:val="24"/>
              </w:rPr>
              <w:t>57 (16</w:t>
            </w:r>
            <w:r w:rsidR="008356A7">
              <w:rPr>
                <w:sz w:val="24"/>
              </w:rPr>
              <w:t>,</w:t>
            </w:r>
            <w:r w:rsidRPr="0022793D">
              <w:rPr>
                <w:sz w:val="24"/>
              </w:rPr>
              <w:t xml:space="preserve">1%) </w:t>
            </w:r>
          </w:p>
        </w:tc>
        <w:tc>
          <w:tcPr>
            <w:tcW w:w="2268" w:type="dxa"/>
          </w:tcPr>
          <w:p w14:paraId="2AF56F2E" w14:textId="5C46749D" w:rsidR="00200EBA" w:rsidRPr="0022793D" w:rsidRDefault="00200EBA" w:rsidP="00A85019">
            <w:pPr>
              <w:pStyle w:val="afff8"/>
              <w:jc w:val="center"/>
              <w:rPr>
                <w:sz w:val="24"/>
              </w:rPr>
            </w:pPr>
            <w:r w:rsidRPr="0022793D">
              <w:rPr>
                <w:sz w:val="24"/>
              </w:rPr>
              <w:t>15 (4</w:t>
            </w:r>
            <w:r w:rsidR="008356A7">
              <w:rPr>
                <w:sz w:val="24"/>
              </w:rPr>
              <w:t>,</w:t>
            </w:r>
            <w:r w:rsidRPr="0022793D">
              <w:rPr>
                <w:sz w:val="24"/>
              </w:rPr>
              <w:t>2%)</w:t>
            </w:r>
          </w:p>
        </w:tc>
      </w:tr>
      <w:tr w:rsidR="00200EBA" w:rsidRPr="0022793D" w14:paraId="5DF2E2AF" w14:textId="77777777" w:rsidTr="0054382D">
        <w:trPr>
          <w:trHeight w:val="216"/>
        </w:trPr>
        <w:tc>
          <w:tcPr>
            <w:tcW w:w="4531" w:type="dxa"/>
          </w:tcPr>
          <w:p w14:paraId="1AA8483F" w14:textId="77777777" w:rsidR="00200EBA" w:rsidRPr="0022793D" w:rsidRDefault="00200EBA" w:rsidP="00A85019">
            <w:pPr>
              <w:pStyle w:val="afff8"/>
              <w:rPr>
                <w:sz w:val="24"/>
              </w:rPr>
            </w:pPr>
            <w:r w:rsidRPr="0022793D">
              <w:rPr>
                <w:sz w:val="24"/>
              </w:rPr>
              <w:t>Частичный ответ</w:t>
            </w:r>
          </w:p>
        </w:tc>
        <w:tc>
          <w:tcPr>
            <w:tcW w:w="2552" w:type="dxa"/>
          </w:tcPr>
          <w:p w14:paraId="44E85FB2" w14:textId="63439865" w:rsidR="00200EBA" w:rsidRPr="0022793D" w:rsidRDefault="00200EBA" w:rsidP="00A85019">
            <w:pPr>
              <w:pStyle w:val="afff8"/>
              <w:jc w:val="center"/>
              <w:rPr>
                <w:sz w:val="24"/>
              </w:rPr>
            </w:pPr>
            <w:r w:rsidRPr="0022793D">
              <w:rPr>
                <w:sz w:val="24"/>
              </w:rPr>
              <w:t>195 (54</w:t>
            </w:r>
            <w:r w:rsidR="008356A7">
              <w:rPr>
                <w:sz w:val="24"/>
              </w:rPr>
              <w:t>,</w:t>
            </w:r>
            <w:r w:rsidRPr="0022793D">
              <w:rPr>
                <w:sz w:val="24"/>
              </w:rPr>
              <w:t xml:space="preserve">9%) </w:t>
            </w:r>
          </w:p>
        </w:tc>
        <w:tc>
          <w:tcPr>
            <w:tcW w:w="2268" w:type="dxa"/>
          </w:tcPr>
          <w:p w14:paraId="21ABFC18" w14:textId="5E091407" w:rsidR="00200EBA" w:rsidRPr="0022793D" w:rsidRDefault="00200EBA" w:rsidP="00A85019">
            <w:pPr>
              <w:pStyle w:val="afff8"/>
              <w:jc w:val="center"/>
              <w:rPr>
                <w:sz w:val="24"/>
              </w:rPr>
            </w:pPr>
            <w:r w:rsidRPr="0022793D">
              <w:rPr>
                <w:sz w:val="24"/>
              </w:rPr>
              <w:t>114 (31</w:t>
            </w:r>
            <w:r w:rsidR="008356A7">
              <w:rPr>
                <w:sz w:val="24"/>
              </w:rPr>
              <w:t>,</w:t>
            </w:r>
            <w:r w:rsidRPr="0022793D">
              <w:rPr>
                <w:sz w:val="24"/>
              </w:rPr>
              <w:t>9%)</w:t>
            </w:r>
          </w:p>
        </w:tc>
      </w:tr>
      <w:tr w:rsidR="00200EBA" w:rsidRPr="0022793D" w14:paraId="77C8B52D" w14:textId="77777777" w:rsidTr="00B22A42">
        <w:trPr>
          <w:trHeight w:val="96"/>
        </w:trPr>
        <w:tc>
          <w:tcPr>
            <w:tcW w:w="4531" w:type="dxa"/>
          </w:tcPr>
          <w:p w14:paraId="49EF35BB" w14:textId="02705824" w:rsidR="00200EBA" w:rsidRPr="0022793D" w:rsidRDefault="005B40C6" w:rsidP="00A85019">
            <w:pPr>
              <w:pStyle w:val="afff8"/>
              <w:rPr>
                <w:sz w:val="24"/>
              </w:rPr>
            </w:pPr>
            <w:r>
              <w:rPr>
                <w:sz w:val="24"/>
                <w:lang w:val="en-US"/>
              </w:rPr>
              <w:t>p</w:t>
            </w:r>
            <w:r w:rsidR="00200EBA" w:rsidRPr="0022793D">
              <w:rPr>
                <w:sz w:val="24"/>
              </w:rPr>
              <w:t>-уровень</w:t>
            </w:r>
            <w:r w:rsidR="00200EBA" w:rsidRPr="0022793D">
              <w:rPr>
                <w:sz w:val="24"/>
                <w:lang w:val="en-US"/>
              </w:rPr>
              <w:t xml:space="preserve"> </w:t>
            </w:r>
            <w:r w:rsidR="00200EBA" w:rsidRPr="0022793D">
              <w:rPr>
                <w:sz w:val="24"/>
                <w:vertAlign w:val="superscript"/>
                <w:lang w:val="en-US"/>
              </w:rPr>
              <w:t>d</w:t>
            </w:r>
          </w:p>
        </w:tc>
        <w:tc>
          <w:tcPr>
            <w:tcW w:w="4820" w:type="dxa"/>
            <w:gridSpan w:val="2"/>
          </w:tcPr>
          <w:p w14:paraId="3BC460F7" w14:textId="0B78E9FA" w:rsidR="00200EBA" w:rsidRPr="0022793D" w:rsidRDefault="00200EBA" w:rsidP="008356A7">
            <w:pPr>
              <w:pStyle w:val="afff8"/>
              <w:jc w:val="center"/>
              <w:rPr>
                <w:sz w:val="24"/>
              </w:rPr>
            </w:pPr>
            <w:r w:rsidRPr="0022793D">
              <w:rPr>
                <w:sz w:val="24"/>
              </w:rPr>
              <w:t>&lt;0</w:t>
            </w:r>
            <w:r w:rsidR="008356A7">
              <w:rPr>
                <w:sz w:val="24"/>
              </w:rPr>
              <w:t>,0001</w:t>
            </w:r>
          </w:p>
        </w:tc>
      </w:tr>
      <w:tr w:rsidR="00200EBA" w:rsidRPr="0022793D" w14:paraId="50EB6B59" w14:textId="77777777" w:rsidTr="0054382D">
        <w:trPr>
          <w:trHeight w:val="230"/>
        </w:trPr>
        <w:tc>
          <w:tcPr>
            <w:tcW w:w="4531" w:type="dxa"/>
          </w:tcPr>
          <w:p w14:paraId="69DB6A31" w14:textId="0F630903" w:rsidR="00200EBA" w:rsidRPr="0022793D" w:rsidRDefault="00200EBA" w:rsidP="00156668">
            <w:pPr>
              <w:pStyle w:val="afff8"/>
              <w:rPr>
                <w:sz w:val="24"/>
              </w:rPr>
            </w:pPr>
            <w:r w:rsidRPr="0022793D">
              <w:rPr>
                <w:sz w:val="24"/>
              </w:rPr>
              <w:t>Длительность ответа</w:t>
            </w:r>
            <w:r w:rsidR="00156668">
              <w:rPr>
                <w:sz w:val="24"/>
                <w:vertAlign w:val="superscript"/>
              </w:rPr>
              <w:t xml:space="preserve">с </w:t>
            </w:r>
            <w:r w:rsidRPr="0022793D">
              <w:rPr>
                <w:sz w:val="24"/>
              </w:rPr>
              <w:t>(медиана</w:t>
            </w:r>
            <w:r w:rsidRPr="0022793D">
              <w:rPr>
                <w:sz w:val="24"/>
                <w:vertAlign w:val="superscript"/>
              </w:rPr>
              <w:t xml:space="preserve"> </w:t>
            </w:r>
            <w:r w:rsidRPr="0022793D">
              <w:rPr>
                <w:sz w:val="24"/>
              </w:rPr>
              <w:t>в месяцах)</w:t>
            </w:r>
          </w:p>
        </w:tc>
        <w:tc>
          <w:tcPr>
            <w:tcW w:w="2552" w:type="dxa"/>
          </w:tcPr>
          <w:p w14:paraId="2185DAE8" w14:textId="36D3EE9A" w:rsidR="00200EBA" w:rsidRPr="0022793D" w:rsidRDefault="00200EBA" w:rsidP="008356A7">
            <w:pPr>
              <w:pStyle w:val="afff8"/>
              <w:jc w:val="center"/>
              <w:rPr>
                <w:sz w:val="24"/>
              </w:rPr>
            </w:pPr>
            <w:r w:rsidRPr="0022793D">
              <w:rPr>
                <w:sz w:val="24"/>
              </w:rPr>
              <w:t>14</w:t>
            </w:r>
            <w:r w:rsidR="008356A7">
              <w:rPr>
                <w:sz w:val="24"/>
              </w:rPr>
              <w:t>,</w:t>
            </w:r>
            <w:r w:rsidRPr="0022793D">
              <w:rPr>
                <w:sz w:val="24"/>
              </w:rPr>
              <w:t>4 (1</w:t>
            </w:r>
            <w:r w:rsidR="008356A7">
              <w:rPr>
                <w:sz w:val="24"/>
              </w:rPr>
              <w:t>,</w:t>
            </w:r>
            <w:r w:rsidRPr="0022793D">
              <w:rPr>
                <w:sz w:val="24"/>
              </w:rPr>
              <w:t>6+</w:t>
            </w:r>
            <w:r w:rsidR="008356A7">
              <w:rPr>
                <w:sz w:val="24"/>
                <w:lang w:val="en-US"/>
              </w:rPr>
              <w:t>;</w:t>
            </w:r>
            <w:r w:rsidRPr="0022793D">
              <w:rPr>
                <w:sz w:val="24"/>
              </w:rPr>
              <w:t xml:space="preserve"> 23</w:t>
            </w:r>
            <w:r w:rsidR="008356A7">
              <w:rPr>
                <w:sz w:val="24"/>
              </w:rPr>
              <w:t>,</w:t>
            </w:r>
            <w:r w:rsidRPr="0022793D">
              <w:rPr>
                <w:sz w:val="24"/>
              </w:rPr>
              <w:t>7+)</w:t>
            </w:r>
          </w:p>
        </w:tc>
        <w:tc>
          <w:tcPr>
            <w:tcW w:w="2268" w:type="dxa"/>
          </w:tcPr>
          <w:p w14:paraId="272BA87C" w14:textId="2C70723D" w:rsidR="00200EBA" w:rsidRPr="0022793D" w:rsidRDefault="00200EBA" w:rsidP="008356A7">
            <w:pPr>
              <w:pStyle w:val="afff8"/>
              <w:jc w:val="center"/>
              <w:rPr>
                <w:sz w:val="24"/>
              </w:rPr>
            </w:pPr>
            <w:r w:rsidRPr="0022793D">
              <w:rPr>
                <w:sz w:val="24"/>
              </w:rPr>
              <w:t>5</w:t>
            </w:r>
            <w:r w:rsidR="008356A7">
              <w:rPr>
                <w:sz w:val="24"/>
              </w:rPr>
              <w:t>,</w:t>
            </w:r>
            <w:r w:rsidRPr="0022793D">
              <w:rPr>
                <w:sz w:val="24"/>
              </w:rPr>
              <w:t>7 (0</w:t>
            </w:r>
            <w:r w:rsidR="008356A7">
              <w:rPr>
                <w:sz w:val="24"/>
              </w:rPr>
              <w:t>,</w:t>
            </w:r>
            <w:r w:rsidRPr="0022793D">
              <w:rPr>
                <w:sz w:val="24"/>
              </w:rPr>
              <w:t>0+</w:t>
            </w:r>
            <w:r w:rsidR="008356A7">
              <w:rPr>
                <w:sz w:val="24"/>
                <w:lang w:val="en-US"/>
              </w:rPr>
              <w:t>;</w:t>
            </w:r>
            <w:r w:rsidRPr="0022793D">
              <w:rPr>
                <w:sz w:val="24"/>
              </w:rPr>
              <w:t xml:space="preserve"> 24</w:t>
            </w:r>
            <w:r w:rsidR="008356A7">
              <w:rPr>
                <w:sz w:val="24"/>
              </w:rPr>
              <w:t>,</w:t>
            </w:r>
            <w:r w:rsidRPr="0022793D">
              <w:rPr>
                <w:sz w:val="24"/>
              </w:rPr>
              <w:t>2+)</w:t>
            </w:r>
          </w:p>
        </w:tc>
      </w:tr>
      <w:tr w:rsidR="00200EBA" w:rsidRPr="0022793D" w14:paraId="06870413" w14:textId="77777777" w:rsidTr="00B22A42">
        <w:trPr>
          <w:trHeight w:val="563"/>
        </w:trPr>
        <w:tc>
          <w:tcPr>
            <w:tcW w:w="9351" w:type="dxa"/>
            <w:gridSpan w:val="3"/>
          </w:tcPr>
          <w:p w14:paraId="3B9F8413" w14:textId="27E4DD0D" w:rsidR="008356A7" w:rsidRPr="008356A7" w:rsidRDefault="008356A7" w:rsidP="00A85019">
            <w:pPr>
              <w:pStyle w:val="afff8"/>
              <w:rPr>
                <w:b/>
                <w:szCs w:val="20"/>
              </w:rPr>
            </w:pPr>
            <w:r w:rsidRPr="008356A7">
              <w:rPr>
                <w:b/>
                <w:szCs w:val="20"/>
              </w:rPr>
              <w:t>Примечание:</w:t>
            </w:r>
          </w:p>
          <w:p w14:paraId="7282080D" w14:textId="3E7F7B07" w:rsidR="00200EBA" w:rsidRPr="008356A7" w:rsidRDefault="00200EBA" w:rsidP="00A85019">
            <w:pPr>
              <w:pStyle w:val="afff8"/>
              <w:rPr>
                <w:szCs w:val="20"/>
              </w:rPr>
            </w:pPr>
            <w:r w:rsidRPr="008356A7">
              <w:rPr>
                <w:szCs w:val="20"/>
                <w:vertAlign w:val="superscript"/>
                <w:lang w:val="en-US"/>
              </w:rPr>
              <w:t>a</w:t>
            </w:r>
            <w:r w:rsidRPr="008356A7">
              <w:rPr>
                <w:szCs w:val="20"/>
              </w:rPr>
              <w:t xml:space="preserve"> Соотношение рисков основано на модели пропорциональных рисков Кокса и прогностических группах MSKCC.</w:t>
            </w:r>
          </w:p>
          <w:p w14:paraId="017BC8F2" w14:textId="77777777" w:rsidR="00200EBA" w:rsidRPr="008356A7" w:rsidRDefault="00200EBA" w:rsidP="00A85019">
            <w:pPr>
              <w:pStyle w:val="afff8"/>
              <w:rPr>
                <w:szCs w:val="20"/>
              </w:rPr>
            </w:pPr>
            <w:r w:rsidRPr="008356A7">
              <w:rPr>
                <w:szCs w:val="20"/>
                <w:vertAlign w:val="superscript"/>
              </w:rPr>
              <w:t>b</w:t>
            </w:r>
            <w:r w:rsidRPr="008356A7">
              <w:rPr>
                <w:szCs w:val="20"/>
              </w:rPr>
              <w:t xml:space="preserve"> Двустороннее значение р, основанное на стратифицированном логарифмическом ранговом тесте, по сравнению с границей 0,0411 для ВБП и 0,0161 для ОВ соответственно.</w:t>
            </w:r>
          </w:p>
          <w:p w14:paraId="65305773" w14:textId="655D69EA" w:rsidR="00200EBA" w:rsidRPr="008356A7" w:rsidRDefault="00200EBA" w:rsidP="00A85019">
            <w:pPr>
              <w:pStyle w:val="afff8"/>
              <w:rPr>
                <w:szCs w:val="20"/>
              </w:rPr>
            </w:pPr>
            <w:r w:rsidRPr="008356A7">
              <w:rPr>
                <w:szCs w:val="20"/>
                <w:vertAlign w:val="superscript"/>
              </w:rPr>
              <w:t>c</w:t>
            </w:r>
            <w:r w:rsidRPr="008356A7">
              <w:rPr>
                <w:szCs w:val="20"/>
              </w:rPr>
              <w:t xml:space="preserve"> Двустороннее значение р, основанное на критерии Кокрана Мантеля-Хензеля.</w:t>
            </w:r>
          </w:p>
          <w:p w14:paraId="04D8A6E3" w14:textId="4BB71899" w:rsidR="0096535E" w:rsidRPr="0022793D" w:rsidRDefault="0096535E" w:rsidP="0054382D">
            <w:r w:rsidRPr="008356A7">
              <w:rPr>
                <w:sz w:val="20"/>
                <w:szCs w:val="20"/>
              </w:rPr>
              <w:t>ВБП ‒ вы</w:t>
            </w:r>
            <w:r w:rsidR="0054382D">
              <w:rPr>
                <w:sz w:val="20"/>
                <w:szCs w:val="20"/>
              </w:rPr>
              <w:t xml:space="preserve">живаемость без прогрессирования; </w:t>
            </w:r>
            <w:r w:rsidRPr="008356A7">
              <w:rPr>
                <w:szCs w:val="20"/>
              </w:rPr>
              <w:t>ОВ ‒ общая выживаемость.</w:t>
            </w:r>
          </w:p>
        </w:tc>
      </w:tr>
    </w:tbl>
    <w:p w14:paraId="04B3EEF5" w14:textId="77777777" w:rsidR="00200EBA" w:rsidRDefault="00200EBA" w:rsidP="00200EBA">
      <w:pPr>
        <w:ind w:firstLine="709"/>
      </w:pPr>
    </w:p>
    <w:p w14:paraId="05E2DAFE" w14:textId="00B9F522" w:rsidR="00200EBA" w:rsidRDefault="00200EBA" w:rsidP="00200EBA">
      <w:pPr>
        <w:ind w:firstLine="709"/>
      </w:pPr>
      <w:bookmarkStart w:id="229" w:name="_Hlk118213755"/>
      <w:r>
        <w:t xml:space="preserve">Таким образом, комбинация ленватиниба и пембролизумаба ассоциировалась со значительно большей </w:t>
      </w:r>
      <w:r w:rsidR="0096535E">
        <w:t>ВБП</w:t>
      </w:r>
      <w:r>
        <w:t xml:space="preserve"> и </w:t>
      </w:r>
      <w:r w:rsidR="0096535E">
        <w:t>ОВ</w:t>
      </w:r>
      <w:r>
        <w:t xml:space="preserve">, чем при лечении сунитинибом </w:t>
      </w:r>
      <w:bookmarkEnd w:id="229"/>
      <w:r>
        <w:fldChar w:fldCharType="begin"/>
      </w:r>
      <w:r>
        <w:instrText xml:space="preserve"> ADDIN ZOTERO_ITEM CSL_CITATION {"citationID":"5HnyLysY","properties":{"formattedCitation":"[26\\uc0\\u8211{}28]","plainCitation":"[26–28]","noteIndex":0},"citationItems":[{"id":2860,"uris":["http://zotero.org/users/5483459/items/F6D5PBMH"],"itemData":{"id":2860,"type":"article-journal","abstract":"BACKGROUND: Lenvatinib in combination with pembrolizumab or everolimus has activity against advanced renal cell carcinoma. The efficacy of these regimens as compared with that of sunitinib is unclear.\nMETHODS: In this phase 3 trial, we randomly assigned (in a 1:1:1 ratio) patients with advanced renal cell carcinoma and no previous systemic therapy to receive lenvatinib (20 mg orally once daily) plus pembrolizumab (200 mg intravenously once every 3 weeks), lenvatinib (18 mg orally once daily) plus everolimus (5 mg orally once daily), or sunitinib (50 mg orally once daily, alternating 4 weeks receiving treatment and 2 weeks without treatment). The primary end point was progression-free survival, as assessed by an independent review committee in accordance with Response Evaluation Criteria in Solid Tumors, version 1.1. Overall survival and safety were also evaluated.\nRESULTS: A total of 1069 patients were randomly assigned to receive lenvatinib plus pembrolizumab (355 patients), lenvatinib plus everolimus (357), or sunitinib (357). Progression-free survival was longer with lenvatinib plus pembrolizumab than with sunitinib (median, 23.9 vs. 9.2 months; hazard ratio for disease progression or death, 0.39; 95% confidence interval [CI], 0.32 to 0.49; P&lt;0.001) and was longer with lenvatinib plus everolimus than with sunitinib (median, 14.7 vs. 9.2 months; hazard ratio, 0.65; 95% CI, 0.53 to 0.80; P&lt;0.001). Overall survival was longer with lenvatinib plus pembrolizumab than with sunitinib (hazard ratio for death, 0.66; 95% CI, 0.49 to 0.88; P = 0.005) but was not longer with lenvatinib plus everolimus than with sunitinib (hazard ratio, 1.15; 95% CI, 0.88 to 1.50; P = 0.30). Grade 3 or higher adverse events emerged or worsened during treatment in 82.4% of the patients who received lenvatinib plus pembrolizumab, 83.1% of those who received lenvatinib plus everolimus, and 71.8% of those who received sunitinib. Grade 3 or higher adverse events occurring in at least 10% of the patients in any group included hypertension, diarrhea, and elevated lipase levels.\nCONCLUSIONS: Lenvatinib plus pembrolizumab was associated with significantly longer progression-free survival and overall survival than sunitinib. (Funded by Eisai and Merck Sharp and Dohme; CLEAR ClinicalTrials.gov number, NCT02811861.).","container-title":"The New England Journal of Medicine","DOI":"10.1056/NEJMoa2035716","ISSN":"1533-4406","issue":"14","journalAbbreviation":"N Engl J Med","language":"eng","note":"PMID: 33616314","page":"1289-1300","source":"PubMed","title":"Lenvatinib plus Pembrolizumab or Everolimus for Advanced Renal Cell Carcinoma","volume":"384","author":[{"family":"Motzer","given":"Robert"},{"family":"Alekseev","given":"Boris"},{"family":"Rha","given":"Sun-Young"},{"family":"Porta","given":"Camillo"},{"family":"Eto","given":"Masatoshi"},{"family":"Powles","given":"Thomas"},{"family":"Grünwald","given":"Viktor"},{"family":"Hutson","given":"Thomas E."},{"family":"Kopyltsov","given":"Evgeny"},{"family":"Méndez-Vidal","given":"María J."},{"family":"Kozlov","given":"Vadim"},{"family":"Alyasova","given":"Anna"},{"family":"Hong","given":"Sung-Hoo"},{"family":"Kapoor","given":"Anil"},{"family":"Alonso Gordoa","given":"Teresa"},{"family":"Merchan","given":"Jaime R."},{"family":"Winquist","given":"Eric"},{"family":"Maroto","given":"Pablo"},{"family":"Goh","given":"Jeffrey C."},{"family":"Kim","given":"Miso"},{"family":"Gurney","given":"Howard"},{"family":"Patel","given":"Vijay"},{"family":"Peer","given":"Avivit"},{"family":"Procopio","given":"Giuseppe"},{"family":"Takagi","given":"Toshio"},{"family":"Melichar","given":"Bohuslav"},{"family":"Rolland","given":"Frederic"},{"family":"De Giorgi","given":"Ugo"},{"family":"Wong","given":"Shirley"},{"family":"Bedke","given":"Jens"},{"family":"Schmidinger","given":"Manuela"},{"family":"Dutcus","given":"Corina E."},{"family":"Smith","given":"Alan D."},{"family":"Dutta","given":"Lea"},{"family":"Mody","given":"Kalgi"},{"family":"Perini","given":"Rodolfo F."},{"family":"Xing","given":"Dongyuan"},{"family":"Choueiri","given":"Toni K."},{"literal":"CLEAR Trial Investigators"}],"issued":{"date-parts":[["2021",4,8]]}},"label":"page"},{"id":2653,"uris":["http://zotero.org/users/5483459/items/4RCY3Z5J"],"itemData":{"id":2653,"type":"document","title":"PRODUCT MONOGRAPH INCLUDING PATIENT MEDICATION INFORMATION PrLENVIMA® Lenvatinib capsules 4mg and 10mg Lenvatinib (as lenvatinib mesylate) Multiple Receptor Tyrosine Kinase Inhibitor Antineoplastic Agent, ATC code:L01XE29. Eisai Limited.2018."},"label":"page"},{"id":2862,"uris":["http://zotero.org/users/5483459/items/AM737HGQ"],"itemData":{"id":2862,"type":"article-journal","abstract":"BACKGROUND: Results from the phase 3 CLEAR study showed that lenvatinib plus pembrolizumab improved progression-free survival and overall survival compared with sunitinib in patients with advanced renal cell carcinoma. We aimed to assess the health-related quality-of-life (HRQOL) outcomes from the CLEAR study.\nMETHODS: This open-label, randomised, phase 3 study was done across 200 hospitals and cancer centres in 20 countries. Patients were required to be 18 years or older, with advanced clear-cell renal cell carcinoma, and a Karnofsky performance status of 70% or higher. Patients who had received previous systemic anticancer therapy for renal cell carcinoma were not eligible. Patients were randomly assigned (1:1:1) to lenvatinib (oral 20 mg per day) plus pembrolizumab (intravenous 200 mg every 21 days), lenvatinib (oral 18 mg per day) plus everolimus (oral 5 mg per day) in 21-day cycles, or sunitinib (oral 50 mg per day, 4 weeks on followed by 2 weeks off). Patients were assigned to treatments with a computer-generated randomisation scheme and were stratified by geographical region and Memorial Sloan Kettering Cancer Center prognostic groups. The primary endpoint, previously reported, was progression-free survival, and HRQOL was a secondary endpoint. Most HRQOL analyses were done in patients who underwent randomisation, received at least one dose of study treatment, and had any HRQOL data. Completion and compliance analyses were done in the full analysis set. Functional Assessment of Cancer Therapy Kidney Symptom Index-Disease-Related Symptoms (FKSI-DRS), European Organisation for the Research and Treatment of Cancer Quality of Life Questionnaire-Core 30 (EORTC QLQ-C30), and the EQ-5D-3 Level (EQ-5D-3L) preference questionnaire were administered at baseline and on day 1 of each subsequent 21-day cycle. This study is registered with ClinicalTrials.gov, NCT02811861, and is closed to new participants.\nFINDINGS: Between Oct 13, 2016, and July 24, 2019, 355 patients were randomly assigned to the lenvatinib plus pembrolizumab group, 357 to the lenvatinib plus everolimus group, and 357 to the sunitinib group. Median follow-up for HRQOL analyses was 12·9 months (IQR 5·6-22·3). Because of the promising efficacy and safety results of lenvatinib plus pembrolizumab in the first-line setting, we focus the HRQOL results in this report on that combination versus sunitinib. Mean change from baseline in the lenvatinib plus pembrolizumab group compared with the sunitinib group was -1·75 (SE 0·59) versus -2·19 (0·66) for FKSI-DRS, -5·93 (0·86) versus -6·73 (0·94) for EORTC QLQ-C30 global health status/quality of life (GHS/QOL), and -4·96 (0·85) versus -6·64 (0·94) for the EQ-5D visual analogue scale (VAS). Median time to first deterioration in the lenvatinib plus pembrolizumab group compared with the sunitinib group was 9·14 weeks (95% CI 6·43-12·14) versus 12·14 weeks (9·14-15·29; HR 1·13 [95% CI 0·94-1·35], log-rank p=0·20) for FKSI-DRS, 12·00 weeks (7·29-15·14) versus 9·14 weeks (6·29-12·14; 0·88 [0·74-1·05], log-rank p=0·17) for EORTC QLQ-C30 GHS/QOL, and 9·43 weeks (6·43-12·29) versus 9·14 weeks (6·29-12·00; 0·83 [0·70-0·99], log-rank p=0·041) for the EQ-5D VAS. Median time to definitive deterioration in the lenvatinib plus pembrolizumab group compared with the sunitinib group was 134·14 weeks (95% CI 120·00-not estimable) versus 117·43 weeks (90·14-131·29; HR 0·70 [95% CI 0·53-0·92], log-rank p=0·0081) for FKSI-DRS, 114·29 weeks (102·14-153·29) versus 75·14 weeks (57·29-105·14; 0·60 [0·47-0·77], log-rank p&lt;0·0001) for EORTC QLQ-C30 GHS/QOL, and 124·86 weeks (94·71-134·57) versus 74·86 weeks (54·14-96·00; 0·67 [0·53-0·85], log-rank p=0·0012) for the EQ-5D VAS. No outcomes on any of the instruments significantly favoured sunitinib over lenvatinib plus pembrolizumab. Most HRQOL comparisons of lenvatinib plus everolimus versus sunitinib were similar or favoured sunitinib.\nINTERPRETATION: These HRQOL results demonstrate that patients given lenvatinib plus pembrolizumab treatment had similar or favourable scores compared with patients given sunitinib, particularly with respect to time to definitive deterioration. These results support the efficacy and safety profile of lenvatinib plus pembrolizumab as first-line therapy for patients with advanced renal cell carcinoma.\nFUNDING: Eisai (Nutley, NJ, USA) and Merck Sharp &amp; Dohme, a subsidiary of Merck &amp; Co (Kenilworth, NJ, USA).","container-title":"The Lancet. Oncology","DOI":"10.1016/S1470-2045(22)00212-1","ISSN":"1474-5488","issue":"6","journalAbbreviation":"Lancet Oncol","language":"eng","note":"PMID: 35489363","page":"768-780","source":"PubMed","title":"Health-related quality-of-life outcomes in patients with advanced renal cell carcinoma treated with lenvatinib plus pembrolizumab or everolimus versus sunitinib (CLEAR): a randomised, phase 3 study","title-short":"Health-related quality-of-life outcomes in patients with advanced renal cell carcinoma treated with lenvatinib plus pembrolizumab or everolimus versus sunitinib (CLEAR)","volume":"23","author":[{"family":"Motzer","given":"Robert"},{"family":"Porta","given":"Camillo"},{"family":"Alekseev","given":"Boris"},{"family":"Rha","given":"Sun Young"},{"family":"Choueiri","given":"Toni K."},{"family":"Mendez-Vidal","given":"Maria Jose"},{"family":"Hong","given":"Sung-Hoo"},{"family":"Kapoor","given":"Anil"},{"family":"Goh","given":"Jeffrey C."},{"family":"Eto","given":"Masatoshi"},{"family":"Bennett","given":"Lee"},{"family":"Wang","given":"Jinyi"},{"family":"Pan","given":"Jie Janice"},{"family":"Saretsky","given":"Todd L."},{"family":"Perini","given":"Rodolfo F."},{"family":"He","given":"Cixin Steven"},{"family":"Mody","given":"Kalgi"},{"family":"Cella","given":"David"}],"issued":{"date-parts":[["2022",6]]}},"label":"page"}],"schema":"https://github.com/citation-style-language/schema/raw/master/csl-citation.json"} </w:instrText>
      </w:r>
      <w:r>
        <w:fldChar w:fldCharType="separate"/>
      </w:r>
      <w:r w:rsidRPr="00852090">
        <w:t>[26–28]</w:t>
      </w:r>
      <w:r>
        <w:fldChar w:fldCharType="end"/>
      </w:r>
      <w:r>
        <w:t>.</w:t>
      </w:r>
    </w:p>
    <w:p w14:paraId="6AF7E3D6" w14:textId="77777777" w:rsidR="00200EBA" w:rsidRDefault="00200EBA" w:rsidP="008356A7">
      <w:pPr>
        <w:pStyle w:val="111"/>
        <w:rPr>
          <w:lang w:eastAsia="en-US"/>
        </w:rPr>
      </w:pPr>
      <w:bookmarkStart w:id="230" w:name="_Toc52190594"/>
      <w:bookmarkStart w:id="231" w:name="_Hlk521885199"/>
      <w:bookmarkStart w:id="232" w:name="_Toc126059762"/>
      <w:r w:rsidRPr="00620389">
        <w:rPr>
          <w:lang w:eastAsia="en-US"/>
        </w:rPr>
        <w:lastRenderedPageBreak/>
        <w:t>4.</w:t>
      </w:r>
      <w:r>
        <w:rPr>
          <w:lang w:eastAsia="en-US"/>
        </w:rPr>
        <w:t>3.2.</w:t>
      </w:r>
      <w:bookmarkEnd w:id="230"/>
      <w:r>
        <w:rPr>
          <w:lang w:eastAsia="en-US"/>
        </w:rPr>
        <w:t xml:space="preserve"> Клиническая безопасность</w:t>
      </w:r>
      <w:bookmarkEnd w:id="232"/>
      <w:r>
        <w:rPr>
          <w:lang w:eastAsia="en-US"/>
        </w:rPr>
        <w:t xml:space="preserve"> </w:t>
      </w:r>
      <w:bookmarkStart w:id="233" w:name="_Toc52190595"/>
    </w:p>
    <w:p w14:paraId="42EC6957" w14:textId="77777777" w:rsidR="00200EBA" w:rsidRDefault="00200EBA" w:rsidP="00200EBA">
      <w:pPr>
        <w:spacing w:before="120" w:after="120"/>
        <w:outlineLvl w:val="2"/>
        <w:rPr>
          <w:b/>
          <w:bCs/>
        </w:rPr>
      </w:pPr>
      <w:bookmarkStart w:id="234" w:name="_Toc126059763"/>
      <w:r w:rsidRPr="00027CCE">
        <w:rPr>
          <w:b/>
          <w:bCs/>
        </w:rPr>
        <w:t>4.3.2.1. Группоспецифические эффекты</w:t>
      </w:r>
      <w:bookmarkEnd w:id="234"/>
    </w:p>
    <w:p w14:paraId="0291FE42" w14:textId="4A5744C9" w:rsidR="00200EBA" w:rsidRDefault="00200EBA" w:rsidP="00857A56">
      <w:pPr>
        <w:ind w:firstLine="709"/>
      </w:pPr>
      <w:r w:rsidRPr="00515533">
        <w:t>Ингибиторы киназ представляют собой большую группу противоопухолевых агентов</w:t>
      </w:r>
      <w:r>
        <w:t xml:space="preserve"> и являются </w:t>
      </w:r>
      <w:r w:rsidRPr="00515533">
        <w:t>повсеместно распространенны</w:t>
      </w:r>
      <w:r>
        <w:t>ми</w:t>
      </w:r>
      <w:r w:rsidRPr="00515533">
        <w:t xml:space="preserve"> внутриклеточны</w:t>
      </w:r>
      <w:r>
        <w:t>ми</w:t>
      </w:r>
      <w:r w:rsidRPr="00515533">
        <w:t xml:space="preserve"> белк</w:t>
      </w:r>
      <w:r>
        <w:t>ами</w:t>
      </w:r>
      <w:r w:rsidRPr="00515533">
        <w:t xml:space="preserve"> и белк</w:t>
      </w:r>
      <w:r>
        <w:t>ами</w:t>
      </w:r>
      <w:r w:rsidRPr="00515533">
        <w:t xml:space="preserve"> клеточной поверхности, которые играют критическую роль в клеточных сигнальных путях, участвующих в метаболизме, реакциях на повреждения, адаптации, росте и дифференцировке</w:t>
      </w:r>
      <w:r>
        <w:t xml:space="preserve"> </w:t>
      </w:r>
      <w:r>
        <w:fldChar w:fldCharType="begin"/>
      </w:r>
      <w:r>
        <w:instrText xml:space="preserve"> ADDIN ZOTERO_ITEM CSL_CITATION {"citationID":"MvG6QJsm","properties":{"formattedCitation":"[30]","plainCitation":"[30]","noteIndex":0},"citationItems":[{"id":2872,"uris":["http://zotero.org/users/5483459/items/WDVAM2YG"],"itemData":{"id":2872,"type":"article-journal","abstract":"Introduction:\nProtein kinases are involved in various cellular functions including metabolism, cell cycle regulation, survival, and differentiation. Dysregulation of protein kinases is implicated in various processes of carcinogenesis. The advent of protein kinase inhibitors in cancer therapy has led to a paradigm shift in how we treat cancer. There are several protein kinase inhibitors that have been approved by FDA in the last few decades.\n\nAreas Covered:\nThis article provides a review of the clinical benefits and side effect profiles of FDA approved protein kinase inhibitors as of December 2017 for the well-known oncogenic protein kinases. The role of the respective oncogenic protein kinases in carcinogenesis and cancer progression were searched in PubMed and discussed. The relevant and landmark clinical trials mostly phase III trials of protein kinase inhibitors leading up to the FDA approval were PubMed searched and discussed.\n\nExpert Commentary:\nFurther understanding of the molecular origin of cancers would help us identify new targets, while clinical trials trying to identify the appropriate sequence of available kinase inhibitor would make better use of current protein kinase inhibitor armamentarium. Also, testing these drugs in the adjuvant setting in patients with high risk of recurrence might offer some clinical benefit. Development of resistance, side effects and cost are major limitations of protein kinase inhibitors, therefore understanding of the molecular mechanisms of resistance and designing protein kinase inhibitors to obviate the resistance would help overcome the resistance. Finally, collaboration between international organizations for cancer research and voluntary and charity organizations might help reduce the cost.","container-title":"Expert review of anticancer therapy","DOI":"10.1080/14737140.2018.1527688","ISSN":"1473-7140","issue":"12","journalAbbreviation":"Expert Rev Anticancer Ther","note":"PMID: 30259761\nPMCID: PMC6322661","page":"1249-1270","source":"PubMed Central","title":"A comprehensive review of protein kinase inhibitors for cancer therapy","volume":"18","author":[{"family":"Kannaiyan","given":"Radhamani"},{"family":"Mahadevan","given":"Daruka"}],"issued":{"date-parts":[["2018",12]]}}}],"schema":"https://github.com/citation-style-language/schema/raw/master/csl-citation.json"} </w:instrText>
      </w:r>
      <w:r>
        <w:fldChar w:fldCharType="separate"/>
      </w:r>
      <w:r w:rsidRPr="00BA64EF">
        <w:t>[30]</w:t>
      </w:r>
      <w:r>
        <w:fldChar w:fldCharType="end"/>
      </w:r>
      <w:r>
        <w:t>.</w:t>
      </w:r>
    </w:p>
    <w:p w14:paraId="35D3E0AD" w14:textId="77777777" w:rsidR="00200EBA" w:rsidRDefault="00200EBA" w:rsidP="00857A56">
      <w:pPr>
        <w:ind w:firstLine="709"/>
      </w:pPr>
      <w:r w:rsidRPr="00515533">
        <w:t>Ингибиторы протеинкиназы являются относительно недавно разработанными агентами, все они представлены с 2001 года. Они уникальны и представляют собой значительный прогресс в химиотерапии рака</w:t>
      </w:r>
      <w:r>
        <w:t>.</w:t>
      </w:r>
      <w:r w:rsidRPr="00515533">
        <w:t xml:space="preserve"> Первым ингибитором тирозинкиназы, одобренным для использования в Соединенных Штатах, был иматиниб</w:t>
      </w:r>
      <w:r>
        <w:t>,</w:t>
      </w:r>
      <w:r w:rsidRPr="00515533">
        <w:t xml:space="preserve"> который используется для лечения хронического лимфоцитарного лейкоза с положительной филадельфийской хромосомой</w:t>
      </w:r>
      <w:r>
        <w:t xml:space="preserve"> и</w:t>
      </w:r>
      <w:r w:rsidRPr="00515533">
        <w:t xml:space="preserve"> имеет мутированный киназный рецептор (BCR-ABL). Иматиниб является специфическим ингибитором киназы BCR-ABL. </w:t>
      </w:r>
      <w:r>
        <w:t>В течение последующих 20 лет появилось несколько десятков ингибиторов киназ, используемых при лечении раковых заболеваний.</w:t>
      </w:r>
    </w:p>
    <w:p w14:paraId="1C5F1742" w14:textId="53E3C2FC" w:rsidR="00200EBA" w:rsidRDefault="00200EBA" w:rsidP="00857A56">
      <w:pPr>
        <w:ind w:firstLine="709"/>
      </w:pPr>
      <w:r w:rsidRPr="00651E95">
        <w:t>Все ингибиторы протеинкиназы обладают гепатотоксичност</w:t>
      </w:r>
      <w:r>
        <w:t>ью разной степени выраженности</w:t>
      </w:r>
      <w:r w:rsidRPr="00651E95">
        <w:t xml:space="preserve">, и многие из них были связаны со случаями повреждения печени, которое </w:t>
      </w:r>
      <w:r>
        <w:t>являлось</w:t>
      </w:r>
      <w:r w:rsidRPr="00651E95">
        <w:t xml:space="preserve"> тяжелым и </w:t>
      </w:r>
      <w:r w:rsidR="000A0E3B">
        <w:t xml:space="preserve">в </w:t>
      </w:r>
      <w:r>
        <w:t>ряде случаев приводило к смерти пациентов</w:t>
      </w:r>
      <w:r w:rsidRPr="00651E95">
        <w:t xml:space="preserve">. </w:t>
      </w:r>
      <w:r>
        <w:t>Два</w:t>
      </w:r>
      <w:r w:rsidRPr="00651E95">
        <w:t xml:space="preserve"> ингибитора протеинкиназы (иматиниб и нилотиниб) были связаны со случаями реактивации гепатита В. Другие ингибиторы киназы были связаны со случаями редкого и идиосинкразического повреждения печени, которое может быть гепатоцеллюлярным или холестатическим и может привести к летальному исходу</w:t>
      </w:r>
      <w:r>
        <w:t xml:space="preserve"> </w:t>
      </w:r>
      <w:r>
        <w:fldChar w:fldCharType="begin"/>
      </w:r>
      <w:r>
        <w:instrText xml:space="preserve"> ADDIN ZOTERO_ITEM CSL_CITATION {"citationID":"4M6us9Gg","properties":{"formattedCitation":"[31]","plainCitation":"[31]","noteIndex":0},"citationItems":[{"id":2869,"uris":["http://zotero.org/users/5483459/items/T5GQGHJI"],"itemData":{"id":2869,"type":"chapter","abstract":"The kinase inhibitors are a large group of unique and potent antineoplastic agents which specifically target protein kinases that are altered in cancer cells and that account for some of their abnormal growth. Protein kinases are ubiquitous intracellular and cell surface proteins that play critical roles in cell signaling pathways involved in metabolism, injury responses, adaption, growth and differentiation. They act by adding a phosphate group to a protein (phosphorylation), usually on a specific amino acid which often makes the protein or enzyme \"active\". The human genome has more than 500 protein kinases and they can be classified as (1) tyrosine, (2) serine-theonine or (3) nonspecific (both), based upon their amino acid specificity. Many protein kinases are cell surface receptors and act to initiate an intracellular pathway of activation, after the receptor is engaged by its ligand, typically a cytokine or growth factor. Inhibitors of these kinases are called protein kinase receptor inhibitors. Other kinases are intracellular and take part in cell signaling. These kinases can be targeted by \"non-receptor\" protein kinases. Finally, some kinase inhibitors have specificity for multiple kinases and are called \"multi-kinase inhibitors.\" Protein kinases can be specifically involved in cell growth, proliferation and differentiation and mutations may lead to unregulated growth and proliferation that is typical of cancerous cells. These mutated protein kinases represent an attractive target for anticancer agents. The potent activity and lack of generalized toxicity of the kinase inhibitors relate to the specificity of antagonist for the mutated protein. In like manner, their toxicity often relates to off-target activity, either to the unmutated kinase or to closely related, normal kinases. The protein kinases can be categorized based upon the amino acid that they phosphorylate: either serine, threonine or tyrosine. The tyrosine kinase receptor inhibitors were the initial and are perhaps the best characterized kinase inhibitors. The protein kinase inhibitors are relatively recently developed agents, all having been introduced since 2001. They are unique and represent a major advance in cancer chemotherapy, away from broadly cytotoxic agents and towards drugs that specifically target the molecular abnormalities of cancer cells. The initial tyrosine kinase inhibitor approved for use in the United States was imatinib (Gleevec: 2001) which is used to treat Philadelphia chromosome positive chronic lymphocytic leukemia, which has a mutated kinase receptor (BCR-ABL) that is created by the specific translocation that creates the Philadelphia chromosome. Imatinib is a specific inhibitor of the BCR-ABL kinase. The introduction of this first protein kinase inhibitor was followed by more than a dozen others within the next 10 years.","call-number":"NBK548591","container-title":"LiverTox: Clinical and Research Information on Drug-Induced Liver Injury","event-place":"Bethesda (MD)","language":"eng","note":"PMID: 31643906","publisher":"National Institute of Diabetes and Digestive and Kidney Diseases","publisher-place":"Bethesda (MD)","source":"PubMed","title":"Protein Kinase Inhibitors","URL":"http://www.ncbi.nlm.nih.gov/books/NBK548591/","accessed":{"date-parts":[["2022",10,31]]},"issued":{"date-parts":[["2012"]]}}}],"schema":"https://github.com/citation-style-language/schema/raw/master/csl-citation.json"} </w:instrText>
      </w:r>
      <w:r>
        <w:fldChar w:fldCharType="separate"/>
      </w:r>
      <w:r w:rsidRPr="00BA64EF">
        <w:t>[31]</w:t>
      </w:r>
      <w:r>
        <w:fldChar w:fldCharType="end"/>
      </w:r>
      <w:r>
        <w:t>.</w:t>
      </w:r>
    </w:p>
    <w:p w14:paraId="070BF142" w14:textId="32A015A6" w:rsidR="00200EBA" w:rsidRDefault="00200EBA" w:rsidP="00894E8A">
      <w:pPr>
        <w:ind w:firstLine="709"/>
      </w:pPr>
      <w:r w:rsidRPr="005F4591">
        <w:t xml:space="preserve">Ингибиторы киназы типа I проявляют склонность к низкой киназной селективности, </w:t>
      </w:r>
      <w:r>
        <w:t>эта</w:t>
      </w:r>
      <w:r w:rsidRPr="005F4591">
        <w:t xml:space="preserve"> низкая селективность в отношении киназ-мишеней может привести к кардиотоксичности и возможному ухудшению сердечной функции</w:t>
      </w:r>
      <w:r>
        <w:t xml:space="preserve"> </w:t>
      </w:r>
      <w:r>
        <w:fldChar w:fldCharType="begin"/>
      </w:r>
      <w:r>
        <w:instrText xml:space="preserve"> ADDIN ZOTERO_ITEM CSL_CITATION {"citationID":"iJiqusN1","properties":{"formattedCitation":"[32]","plainCitation":"[32]","noteIndex":0},"citationItems":[{"id":2875,"uris":["http://zotero.org/users/5483459/items/YEGCTSR3"],"itemData":{"id":2875,"type":"article-journal","abstract":"The human genome encodes 538 protein kinases that transfer a γ-phosphate group from ATP to serine, threonine, or tyrosine residues. Many of these kinases are associated with human cancer initiation and progression. The recent development of small-molecule kinase inhibitors for the treatment of diverse types of cancer has proven successful in clinical therapy. Significantly, protein kinases are the second most targeted group of drug targets, after the G-protein-coupled receptors. Since the development of the first protein kinase inhibitor, in the early 1980s, 37 kinase inhibitors have received FDA approval for treatment of malignancies such as breast and lung cancer. Furthermore, about 150 kinase-targeted drugs are in clinical phase trials, and many kinase-specific inhibitors are in the preclinical stage of drug development. Nevertheless, many factors confound the clinical efficacy of these molecules. Specific tumor genetics, tumor microenvironment, drug resistance, and pharmacogenomics determine how useful a compound will be in the treatment of a given cancer. This review provides an overview of kinase-targeted drug discovery and development in relation to oncology and highlights the challenges and future potential for kinase-targeted cancer therapies.","container-title":"Molecular Cancer","DOI":"10.1186/s12943-018-0804-2","ISSN":"1476-4598","issue":"1","journalAbbreviation":"Molecular Cancer","page":"48","source":"BioMed Central","title":"Kinase-targeted cancer therapies: progress, challenges and future directions","title-short":"Kinase-targeted cancer therapies","volume":"17","author":[{"family":"Bhullar","given":"Khushwant S."},{"family":"Lagarón","given":"Naiara Orrego"},{"family":"McGowan","given":"Eileen M."},{"family":"Parmar","given":"Indu"},{"family":"Jha","given":"Amitabh"},{"family":"Hubbard","given":"Basil P."},{"family":"Rupasinghe","given":"H. P. Vasantha"}],"issued":{"date-parts":[["2018",2,19]]}}}],"schema":"https://github.com/citation-style-language/schema/raw/master/csl-citation.json"} </w:instrText>
      </w:r>
      <w:r>
        <w:fldChar w:fldCharType="separate"/>
      </w:r>
      <w:r w:rsidRPr="00C96A79">
        <w:t>[32]</w:t>
      </w:r>
      <w:r>
        <w:fldChar w:fldCharType="end"/>
      </w:r>
      <w:r>
        <w:t>.</w:t>
      </w:r>
    </w:p>
    <w:p w14:paraId="426B44AA" w14:textId="77777777" w:rsidR="00894E8A" w:rsidRDefault="00894E8A" w:rsidP="00894E8A">
      <w:pPr>
        <w:ind w:firstLine="709"/>
      </w:pPr>
    </w:p>
    <w:p w14:paraId="70331FE1" w14:textId="77777777" w:rsidR="00200EBA" w:rsidRDefault="00200EBA" w:rsidP="00894E8A">
      <w:pPr>
        <w:spacing w:after="120"/>
        <w:outlineLvl w:val="2"/>
        <w:rPr>
          <w:b/>
          <w:bCs/>
        </w:rPr>
      </w:pPr>
      <w:bookmarkStart w:id="235" w:name="_Toc126059764"/>
      <w:r w:rsidRPr="00027CCE">
        <w:rPr>
          <w:b/>
          <w:bCs/>
        </w:rPr>
        <w:t>4</w:t>
      </w:r>
      <w:r w:rsidRPr="00837623">
        <w:rPr>
          <w:b/>
          <w:bCs/>
        </w:rPr>
        <w:t>.3.2.2. Препарат-специфичные эффекты</w:t>
      </w:r>
      <w:bookmarkEnd w:id="235"/>
    </w:p>
    <w:p w14:paraId="745AEFB3" w14:textId="77777777" w:rsidR="00200EBA" w:rsidRPr="000F051F" w:rsidRDefault="00200EBA" w:rsidP="00894E8A">
      <w:pPr>
        <w:rPr>
          <w:b/>
          <w:bCs/>
        </w:rPr>
      </w:pPr>
      <w:bookmarkStart w:id="236" w:name="_Hlk118214563"/>
      <w:r w:rsidRPr="000F051F">
        <w:rPr>
          <w:b/>
          <w:bCs/>
        </w:rPr>
        <w:t>Дифференцированный рак щитовидной железы</w:t>
      </w:r>
    </w:p>
    <w:p w14:paraId="3A24BEE2" w14:textId="77777777" w:rsidR="008356A7" w:rsidRDefault="008356A7" w:rsidP="00894E8A">
      <w:pPr>
        <w:ind w:firstLine="851"/>
      </w:pPr>
      <w:bookmarkStart w:id="237" w:name="_Hlk118215869"/>
    </w:p>
    <w:p w14:paraId="5FAA94B2" w14:textId="30013A42" w:rsidR="00200EBA" w:rsidRPr="00EB52C8" w:rsidRDefault="00200EBA" w:rsidP="000A0E3B">
      <w:pPr>
        <w:ind w:firstLine="709"/>
      </w:pPr>
      <w:r>
        <w:t>По результатам клинических исследований у пациентов с РЩЖ н</w:t>
      </w:r>
      <w:r w:rsidRPr="00EB52C8">
        <w:t>аиболее частыми побочными реакциями (возникающими у ≥30% пациентов) яв</w:t>
      </w:r>
      <w:r>
        <w:t>ля</w:t>
      </w:r>
      <w:r w:rsidRPr="00EB52C8">
        <w:t>л</w:t>
      </w:r>
      <w:r>
        <w:t>ись</w:t>
      </w:r>
      <w:r w:rsidRPr="00EB52C8">
        <w:t xml:space="preserve"> артериальная гипертензия</w:t>
      </w:r>
      <w:r w:rsidR="00150B58">
        <w:t xml:space="preserve"> </w:t>
      </w:r>
      <w:r w:rsidRPr="00EB52C8">
        <w:t>(68,6%), диарея (62,8%), снижение аппетита (51,5%), снижение массы тела (49,1%), утомляемость (45,8%),</w:t>
      </w:r>
      <w:r>
        <w:t xml:space="preserve"> </w:t>
      </w:r>
      <w:r w:rsidRPr="00EB52C8">
        <w:t>тошнота (44,5%), протеинурия 36,9%), стоматит (35,8%), рвота (34,5%), дисфония (34,1%),</w:t>
      </w:r>
      <w:r>
        <w:t xml:space="preserve"> </w:t>
      </w:r>
      <w:r w:rsidRPr="00EB52C8">
        <w:t>головная боль (34,1%) и синдром ладонно-подошвенной эритродизестезии (ЛПЭ) (32,7%). Гипертония</w:t>
      </w:r>
      <w:r>
        <w:t xml:space="preserve"> </w:t>
      </w:r>
      <w:r w:rsidRPr="00EB52C8">
        <w:t>и протеинурия, как правило, возника</w:t>
      </w:r>
      <w:r>
        <w:t>ли</w:t>
      </w:r>
      <w:r w:rsidRPr="00EB52C8">
        <w:t xml:space="preserve"> в начале лечения ленватинибом</w:t>
      </w:r>
      <w:r>
        <w:t>.</w:t>
      </w:r>
      <w:r w:rsidRPr="00EB52C8">
        <w:t xml:space="preserve"> Большинство</w:t>
      </w:r>
      <w:r>
        <w:t xml:space="preserve"> п</w:t>
      </w:r>
      <w:r w:rsidRPr="00EB52C8">
        <w:t>обочны</w:t>
      </w:r>
      <w:r>
        <w:t>х</w:t>
      </w:r>
      <w:r w:rsidRPr="00EB52C8">
        <w:t xml:space="preserve"> реакци</w:t>
      </w:r>
      <w:r>
        <w:t>й</w:t>
      </w:r>
      <w:r w:rsidRPr="00EB52C8">
        <w:t xml:space="preserve"> 3–4 степени тяжести наблюдались в течение первых 6 мес</w:t>
      </w:r>
      <w:r>
        <w:t>яцев</w:t>
      </w:r>
      <w:r w:rsidRPr="00EB52C8">
        <w:t xml:space="preserve"> лечения, за исключением диареи,</w:t>
      </w:r>
      <w:r>
        <w:t xml:space="preserve"> </w:t>
      </w:r>
      <w:r w:rsidRPr="00EB52C8">
        <w:t xml:space="preserve">которая </w:t>
      </w:r>
      <w:r>
        <w:t>могла развиться</w:t>
      </w:r>
      <w:r w:rsidRPr="00EB52C8">
        <w:t xml:space="preserve"> на протяжении всего лечения, и потеря веса, которая имела тенденцию к</w:t>
      </w:r>
      <w:r>
        <w:t xml:space="preserve"> развитию при </w:t>
      </w:r>
      <w:r w:rsidRPr="00EB52C8">
        <w:t>накоп</w:t>
      </w:r>
      <w:r>
        <w:t xml:space="preserve">ительном эффекте. </w:t>
      </w:r>
    </w:p>
    <w:p w14:paraId="2E175572" w14:textId="29011F5B" w:rsidR="00200EBA" w:rsidRPr="00EB52C8" w:rsidRDefault="00200EBA" w:rsidP="000A0E3B">
      <w:pPr>
        <w:ind w:firstLine="709"/>
      </w:pPr>
      <w:r w:rsidRPr="00EB52C8">
        <w:t>Наиболее серьезными побочными реакциями были почечная недостаточность (2,4%)</w:t>
      </w:r>
      <w:r>
        <w:t xml:space="preserve">, </w:t>
      </w:r>
      <w:r w:rsidRPr="00EB52C8">
        <w:t>артериальные тромбоэмболии (3,9%), сердечная недостаточность (0,7%), внутричерепные опухолевые кровоизлияния (0,7%), печеночная недостаточность (0,2%) и артериальные тромбоэмболии (</w:t>
      </w:r>
      <w:r w:rsidR="005B40C6">
        <w:t>нарушения мозгового кровообращения</w:t>
      </w:r>
      <w:r w:rsidRPr="00EB52C8">
        <w:t xml:space="preserve"> (1,1%), транзиторная ишемическая атака (0,7%) и инфаркт миокарда (0,9%).</w:t>
      </w:r>
    </w:p>
    <w:bookmarkEnd w:id="237"/>
    <w:p w14:paraId="5035B5A7" w14:textId="57333588" w:rsidR="00200EBA" w:rsidRDefault="00200EBA" w:rsidP="000A0E3B">
      <w:pPr>
        <w:ind w:firstLine="709"/>
      </w:pPr>
      <w:r w:rsidRPr="00EB52C8">
        <w:lastRenderedPageBreak/>
        <w:t xml:space="preserve">У 452 пациентов с рефрактерным </w:t>
      </w:r>
      <w:r>
        <w:rPr>
          <w:color w:val="0C0C0C"/>
          <w:w w:val="95"/>
        </w:rPr>
        <w:t xml:space="preserve">к </w:t>
      </w:r>
      <w:r>
        <w:rPr>
          <w:w w:val="95"/>
        </w:rPr>
        <w:t>терапии радиоактивным</w:t>
      </w:r>
      <w:r>
        <w:rPr>
          <w:spacing w:val="40"/>
        </w:rPr>
        <w:t xml:space="preserve"> </w:t>
      </w:r>
      <w:r>
        <w:rPr>
          <w:w w:val="95"/>
        </w:rPr>
        <w:t>йодом</w:t>
      </w:r>
      <w:r w:rsidRPr="00EB52C8">
        <w:t xml:space="preserve"> РЩЖ был</w:t>
      </w:r>
      <w:r>
        <w:t xml:space="preserve">а снижена </w:t>
      </w:r>
      <w:r w:rsidRPr="00EB52C8">
        <w:t>доз</w:t>
      </w:r>
      <w:r>
        <w:t>а</w:t>
      </w:r>
      <w:r w:rsidRPr="00EB52C8">
        <w:t xml:space="preserve"> у 63,1</w:t>
      </w:r>
      <w:r>
        <w:t xml:space="preserve">% пациентов </w:t>
      </w:r>
      <w:r w:rsidRPr="00EB52C8">
        <w:t>и</w:t>
      </w:r>
      <w:r>
        <w:t>ли</w:t>
      </w:r>
      <w:r w:rsidRPr="00EB52C8">
        <w:t xml:space="preserve"> отмене</w:t>
      </w:r>
      <w:r>
        <w:t>н</w:t>
      </w:r>
      <w:r w:rsidRPr="00EB52C8">
        <w:t xml:space="preserve"> препарат</w:t>
      </w:r>
      <w:r>
        <w:t xml:space="preserve"> у 19,5%. </w:t>
      </w:r>
      <w:r w:rsidRPr="00EB52C8">
        <w:t>Побочные реакции, которые чаще всего</w:t>
      </w:r>
      <w:r>
        <w:t xml:space="preserve"> </w:t>
      </w:r>
      <w:r w:rsidRPr="00EB52C8">
        <w:t>приводили к снижению дозы (у ≥5% пациентов) гипертония, протеинурия, диарея,</w:t>
      </w:r>
      <w:r w:rsidR="0059535B">
        <w:t xml:space="preserve"> </w:t>
      </w:r>
      <w:r w:rsidRPr="00EB52C8">
        <w:t>усталость</w:t>
      </w:r>
      <w:r>
        <w:t xml:space="preserve">, </w:t>
      </w:r>
      <w:r w:rsidRPr="00EB52C8">
        <w:t>снижение веса и снижение аппетита. Побочные реакции, которые чаще всего приводили к</w:t>
      </w:r>
      <w:r>
        <w:t xml:space="preserve"> </w:t>
      </w:r>
      <w:r w:rsidRPr="00EB52C8">
        <w:t>прекращения приема ленватиниба были протеинурия, астения, артериальная гипертензия, нарушение мозгового кровообращения,</w:t>
      </w:r>
      <w:r>
        <w:t xml:space="preserve"> </w:t>
      </w:r>
      <w:r w:rsidRPr="00EB52C8">
        <w:t>диарея и легочная эмболия</w:t>
      </w:r>
      <w:r>
        <w:t xml:space="preserve"> </w:t>
      </w:r>
      <w:r>
        <w:fldChar w:fldCharType="begin"/>
      </w:r>
      <w:r>
        <w:instrText xml:space="preserve"> ADDIN ZOTERO_ITEM CSL_CITATION {"citationID":"xZ3Sg3SU","properties":{"formattedCitation":"[2]","plainCitation":"[2]","noteIndex":0},"citationItems":[{"id":2745,"uris":["http://zotero.org/users/5483459/items/95XEZDWJ"],"itemData":{"id":2745,"type":"document","title":"European  Medicines Agency. SUMMARY OF PRODUCT CHARACTERISTICS. LENVIMA 4 mg, 10 mg hard capsules.26.11.2021"}}],"schema":"https://github.com/citation-style-language/schema/raw/master/csl-citation.json"} </w:instrText>
      </w:r>
      <w:r>
        <w:fldChar w:fldCharType="separate"/>
      </w:r>
      <w:r w:rsidRPr="00A91D2B">
        <w:t>[2]</w:t>
      </w:r>
      <w:r>
        <w:fldChar w:fldCharType="end"/>
      </w:r>
      <w:r>
        <w:t xml:space="preserve">. </w:t>
      </w:r>
    </w:p>
    <w:p w14:paraId="62997EF1" w14:textId="77777777" w:rsidR="008356A7" w:rsidRDefault="008356A7" w:rsidP="000A0E3B">
      <w:pPr>
        <w:ind w:firstLine="851"/>
      </w:pPr>
    </w:p>
    <w:p w14:paraId="3786AD32" w14:textId="77777777" w:rsidR="00200EBA" w:rsidRPr="001D675C" w:rsidRDefault="00200EBA" w:rsidP="000A0E3B">
      <w:pPr>
        <w:rPr>
          <w:b/>
          <w:bCs/>
        </w:rPr>
      </w:pPr>
      <w:r w:rsidRPr="001D675C">
        <w:rPr>
          <w:b/>
          <w:bCs/>
        </w:rPr>
        <w:t>Гепатоцеллюлярный рак</w:t>
      </w:r>
    </w:p>
    <w:p w14:paraId="4BAD868E" w14:textId="77777777" w:rsidR="008356A7" w:rsidRDefault="008356A7" w:rsidP="000A0E3B">
      <w:pPr>
        <w:ind w:firstLine="851"/>
      </w:pPr>
    </w:p>
    <w:p w14:paraId="44AF35B9" w14:textId="15F3F93E" w:rsidR="00200EBA" w:rsidRDefault="00200EBA" w:rsidP="000A0E3B">
      <w:pPr>
        <w:ind w:firstLine="709"/>
      </w:pPr>
      <w:r>
        <w:t>По результатам клинических исследований у пациентов с ГЦР н</w:t>
      </w:r>
      <w:r w:rsidRPr="00EB52C8">
        <w:t xml:space="preserve">аиболее частыми побочными реакциями </w:t>
      </w:r>
      <w:r>
        <w:t>(возникающими у ≥30% пациентов) являлись артериальная гипертензия (44,0%), диарея (38,1%), снижение аппетита (34,9%), утомляемость (30,6%) и снижение массы тела (30,4%).</w:t>
      </w:r>
    </w:p>
    <w:p w14:paraId="10ACDCE4" w14:textId="3A788921" w:rsidR="00200EBA" w:rsidRDefault="00200EBA" w:rsidP="000A0E3B">
      <w:pPr>
        <w:ind w:firstLine="709"/>
      </w:pPr>
      <w:r>
        <w:t xml:space="preserve">Наиболее серьезными побочными реакциями были печеночная недостаточность (2,8%), печеночная энцефалопатия (4,6%), кровотечение из варикозно расширенных вен пищевода (1,4%), кровоизлияние в мозг (0,6%), артериальное тромбоэмболические осложнения (2,0%), включая инфаркт миокарда (0,8%), инфаркт головного мозга (0,4%) и нарушения мозгового кровообращения (0,4%), явления почечной недостаточности/нарушения (1,4%). </w:t>
      </w:r>
      <w:r w:rsidR="002B319F">
        <w:t>Ч</w:t>
      </w:r>
      <w:r>
        <w:t xml:space="preserve">астота снижения количества нейтрофилов </w:t>
      </w:r>
      <w:r w:rsidR="002B319F">
        <w:t xml:space="preserve">была выше </w:t>
      </w:r>
      <w:r>
        <w:t>у пациентов с ГЦР (8,7% при приеме ленватиниба, чем при других типах опухолей, не являющихся ГЦР (1,4%)), которое не было связано с инфекцией, сепсисом или бактериальным перитонитом.</w:t>
      </w:r>
    </w:p>
    <w:p w14:paraId="52A2D2C5" w14:textId="314609EC" w:rsidR="00200EBA" w:rsidRDefault="00200EBA" w:rsidP="000A0E3B">
      <w:pPr>
        <w:ind w:firstLine="709"/>
      </w:pPr>
      <w:r>
        <w:t>У 496 пациентов с ГЦР модификация дозы (прекращение или снижение) и прекращение лечения были действия, предпринятые в связи с побочной реакцией, у 62,3% и 20,2% пациентов соответственно. Неблагоприятные реакции</w:t>
      </w:r>
      <w:r w:rsidR="002F67D4">
        <w:t>,</w:t>
      </w:r>
      <w:r>
        <w:t xml:space="preserve"> которые чаще всего приводили к изменению дозы (у ≥5% пациентов): снижение аппетита, диарея, протеинурия, артериальная гипертензия, утомляемость, снижение количества тромбоцитов. Побочные реакции, которые чаще всего были причиной прекращения приема ленватиниба были печеночная энцефалопатия, утомляемость, повышение </w:t>
      </w:r>
      <w:r w:rsidR="0061717D">
        <w:t>АД</w:t>
      </w:r>
      <w:r>
        <w:t xml:space="preserve">, протеинурия и печеночная недостаточность </w:t>
      </w:r>
      <w:r>
        <w:fldChar w:fldCharType="begin"/>
      </w:r>
      <w:r>
        <w:instrText xml:space="preserve"> ADDIN ZOTERO_ITEM CSL_CITATION {"citationID":"agnBlDkY","properties":{"formattedCitation":"[2]","plainCitation":"[2]","noteIndex":0},"citationItems":[{"id":2745,"uris":["http://zotero.org/users/5483459/items/95XEZDWJ"],"itemData":{"id":2745,"type":"document","title":"European  Medicines Agency. SUMMARY OF PRODUCT CHARACTERISTICS. LENVIMA 4 mg, 10 mg hard capsules.26.11.2021"}}],"schema":"https://github.com/citation-style-language/schema/raw/master/csl-citation.json"} </w:instrText>
      </w:r>
      <w:r>
        <w:fldChar w:fldCharType="separate"/>
      </w:r>
      <w:r w:rsidRPr="00A91D2B">
        <w:t>[2]</w:t>
      </w:r>
      <w:r>
        <w:fldChar w:fldCharType="end"/>
      </w:r>
      <w:r>
        <w:t>.</w:t>
      </w:r>
    </w:p>
    <w:p w14:paraId="4B7CB565" w14:textId="77777777" w:rsidR="00200EBA" w:rsidRDefault="00200EBA" w:rsidP="00200EBA">
      <w:pPr>
        <w:ind w:firstLine="851"/>
      </w:pPr>
    </w:p>
    <w:p w14:paraId="0A47B7C4" w14:textId="77777777" w:rsidR="00200EBA" w:rsidRPr="00897228" w:rsidRDefault="00200EBA" w:rsidP="008356A7">
      <w:pPr>
        <w:rPr>
          <w:b/>
          <w:bCs/>
        </w:rPr>
      </w:pPr>
      <w:r w:rsidRPr="00897228">
        <w:rPr>
          <w:b/>
          <w:bCs/>
        </w:rPr>
        <w:t>Рак эндометрия</w:t>
      </w:r>
    </w:p>
    <w:p w14:paraId="7C618608" w14:textId="77777777" w:rsidR="00200EBA" w:rsidRDefault="00200EBA" w:rsidP="00200EBA">
      <w:pPr>
        <w:ind w:hanging="142"/>
        <w:rPr>
          <w:b/>
          <w:bCs/>
        </w:rPr>
      </w:pPr>
    </w:p>
    <w:p w14:paraId="445FEB13" w14:textId="130673AF" w:rsidR="00200EBA" w:rsidRDefault="00200EBA" w:rsidP="00200EBA">
      <w:pPr>
        <w:ind w:firstLine="709"/>
      </w:pPr>
      <w:r>
        <w:t>По результатам клинических исследований у пациентов с РЭ безопасность ленватиниба в комбинации с пембролизумабом оценивали у 530 пациентов с распространенны</w:t>
      </w:r>
      <w:r w:rsidR="007126F9">
        <w:t>м</w:t>
      </w:r>
      <w:r>
        <w:t xml:space="preserve"> РЭ, получа</w:t>
      </w:r>
      <w:r w:rsidR="007126F9">
        <w:t>вших</w:t>
      </w:r>
      <w:r>
        <w:t xml:space="preserve"> 20 мг ленватиниба один раз в день и 200 мг пембролизумаба каждые 3 недели. Наиболее частыми (встречающимися у ≥20% пациентов) побочными реакциями были артериальная гипертензия (63%), диарея (57%), гипотиреоз (56%), тошнота (51%), снижение аппетита (47%), рвота (39%), усталость (38%), снижение массы тела (35%), артралгия (33%), протеинурия (29%), запор (27%), головная боль (27%), инфекция мочевыводящих путей (27%), дисфония (25%), боль в животе (23%), астения (23%), синдром </w:t>
      </w:r>
      <w:r w:rsidR="008B16E3" w:rsidRPr="00EB52C8">
        <w:t>ЛПЭ</w:t>
      </w:r>
      <w:r>
        <w:t xml:space="preserve"> (23%), стоматит (23%), анемия (22%) и гипомагниемия (20%).</w:t>
      </w:r>
    </w:p>
    <w:p w14:paraId="2ECA0FA5" w14:textId="06F66647" w:rsidR="00200EBA" w:rsidRDefault="00200EBA" w:rsidP="00200EBA">
      <w:pPr>
        <w:ind w:firstLine="709"/>
      </w:pPr>
      <w:r>
        <w:t>Наиболее частыми (возникающими у ≥5% пациентов) тяжелыми (степени ≥3) побочными реакциями были артериальная гипертензия (37,2%), снижение массы тела (9,1%), диарея (8,1%), повышение липазы (7,7%), снижение аппетит</w:t>
      </w:r>
      <w:r w:rsidR="007126F9">
        <w:t>а</w:t>
      </w:r>
      <w:r>
        <w:t xml:space="preserve"> (6,4%), астения (6%), утомляемость (6%), гипокалиемия (5,7%), анемия (5,3%) и протеинурия (5,1%).</w:t>
      </w:r>
    </w:p>
    <w:p w14:paraId="18C6FB52" w14:textId="1F4DF91E" w:rsidR="00200EBA" w:rsidRDefault="00200EBA" w:rsidP="00200EBA">
      <w:pPr>
        <w:ind w:firstLine="709"/>
      </w:pPr>
      <w:r>
        <w:lastRenderedPageBreak/>
        <w:t>Прекращение приема ленватиниба произошло у 30,6% пациентов, а прекращение приема как ленватиниба, так и пембролизумаба произошло у 15,3% пациентов из-за побочных реакций. Самы</w:t>
      </w:r>
      <w:r w:rsidR="007126F9">
        <w:t>е</w:t>
      </w:r>
      <w:r>
        <w:t xml:space="preserve"> распространенны</w:t>
      </w:r>
      <w:r w:rsidR="007126F9">
        <w:t>е</w:t>
      </w:r>
      <w:r>
        <w:t xml:space="preserve"> (возникающие у ≥1% пациентов) нежелательные реакции, приведшие к прекращению приема ленватиниба, были артериальная гипертензия (1,9%), диарея (1,3%), астения (1,3%), снижение аппетита (1,3%), протеинурия (1,3%), и снижение веса (1,1%).</w:t>
      </w:r>
    </w:p>
    <w:p w14:paraId="24A42C1E" w14:textId="45DBCF8D" w:rsidR="00200EBA" w:rsidRDefault="00200EBA" w:rsidP="00200EBA">
      <w:pPr>
        <w:ind w:firstLine="709"/>
      </w:pPr>
      <w:r>
        <w:t xml:space="preserve">Прерывание приема ленватиниба из-за побочных реакций произошло у 63,2% пациентов. </w:t>
      </w:r>
      <w:r w:rsidR="00D82D9F">
        <w:t>П</w:t>
      </w:r>
      <w:r>
        <w:t>рерывание приема ленватиниба и пембролизумаба из-за побочных реакций произошло в 34,3% случаев. Наиболее частые (встречающиеся у ≥5% пациентов) нежелательные реакции, приводящие к прерыванию лечения ленватинибом были артериальная гипертензия (12,6%), диарея (11,5%), протеинурия (7,2%), рвота (7%), утомляемость, (5,7%) и снижение аппетита (5,7%).</w:t>
      </w:r>
    </w:p>
    <w:p w14:paraId="493D3EA2" w14:textId="3BB7CE51" w:rsidR="00200EBA" w:rsidRDefault="00200EBA" w:rsidP="000A0E3B">
      <w:pPr>
        <w:ind w:firstLine="709"/>
      </w:pPr>
      <w:r>
        <w:t xml:space="preserve">Снижение дозы ленватиниба из-за побочных реакций произошло у 67,0% пациентов. Большинство частых (встречающиеся у ≥5% пациентов) </w:t>
      </w:r>
      <w:r w:rsidR="005B40C6">
        <w:t>нежелательных реакций</w:t>
      </w:r>
      <w:r>
        <w:t xml:space="preserve">, </w:t>
      </w:r>
      <w:r w:rsidR="005B40C6">
        <w:t xml:space="preserve">приводящих </w:t>
      </w:r>
      <w:r>
        <w:t xml:space="preserve">к снижению дозы ленватиниба </w:t>
      </w:r>
      <w:r w:rsidR="005B40C6">
        <w:t xml:space="preserve">включали артериальную гипертензию </w:t>
      </w:r>
      <w:r>
        <w:t xml:space="preserve">(16,2%), </w:t>
      </w:r>
      <w:r w:rsidR="005B40C6">
        <w:t xml:space="preserve">диарею </w:t>
      </w:r>
      <w:r>
        <w:t xml:space="preserve">(12,5%), синдром </w:t>
      </w:r>
      <w:r w:rsidR="00C932E7" w:rsidRPr="00EB52C8">
        <w:t>ЛПЭ</w:t>
      </w:r>
      <w:r>
        <w:t xml:space="preserve"> (9,1%), усталость (8,7%), </w:t>
      </w:r>
      <w:r w:rsidR="005B40C6">
        <w:t xml:space="preserve">протеинурию </w:t>
      </w:r>
      <w:r>
        <w:t xml:space="preserve">(7,7%), снижение аппетита (6,6%), </w:t>
      </w:r>
      <w:r w:rsidR="005B40C6">
        <w:t xml:space="preserve">тошноту </w:t>
      </w:r>
      <w:r>
        <w:t xml:space="preserve">(5,5%), </w:t>
      </w:r>
      <w:r w:rsidR="005B40C6">
        <w:t xml:space="preserve">астению </w:t>
      </w:r>
      <w:r>
        <w:t>(5,1%), снижение веса (5,1%).</w:t>
      </w:r>
    </w:p>
    <w:p w14:paraId="7CAF3D05" w14:textId="77777777" w:rsidR="008D0F00" w:rsidRDefault="008D0F00" w:rsidP="000A0E3B">
      <w:pPr>
        <w:ind w:firstLine="709"/>
      </w:pPr>
    </w:p>
    <w:bookmarkEnd w:id="233"/>
    <w:p w14:paraId="4D98AE7C" w14:textId="77777777" w:rsidR="00200EBA" w:rsidRDefault="00200EBA" w:rsidP="000A0E3B">
      <w:pPr>
        <w:rPr>
          <w:b/>
          <w:bCs/>
          <w:color w:val="000000" w:themeColor="text1"/>
        </w:rPr>
      </w:pPr>
      <w:r w:rsidRPr="00966128">
        <w:rPr>
          <w:b/>
          <w:bCs/>
          <w:color w:val="000000" w:themeColor="text1"/>
        </w:rPr>
        <w:t xml:space="preserve">Почечно-клеточный рак </w:t>
      </w:r>
    </w:p>
    <w:p w14:paraId="756A9885" w14:textId="77777777" w:rsidR="00200EBA" w:rsidRDefault="00200EBA" w:rsidP="000A0E3B">
      <w:pPr>
        <w:ind w:firstLine="709"/>
        <w:rPr>
          <w:b/>
          <w:bCs/>
          <w:color w:val="000000" w:themeColor="text1"/>
        </w:rPr>
      </w:pPr>
    </w:p>
    <w:p w14:paraId="156A1F7A" w14:textId="5C9CB161" w:rsidR="00200EBA" w:rsidRPr="00FC4968" w:rsidRDefault="00200EBA" w:rsidP="000A0E3B">
      <w:pPr>
        <w:ind w:firstLine="709"/>
        <w:rPr>
          <w:lang w:eastAsia="ru-RU"/>
        </w:rPr>
      </w:pPr>
      <w:r w:rsidRPr="00FC4968">
        <w:t xml:space="preserve">По результатам клинических исследований у пациентов с ПКР безопасность ленватиниба в комбинации с пембролизумабом оценивали у </w:t>
      </w:r>
      <w:r>
        <w:t xml:space="preserve">1047 пациентов. </w:t>
      </w:r>
      <w:r w:rsidRPr="00FC4968">
        <w:rPr>
          <w:lang w:eastAsia="ru-RU"/>
        </w:rPr>
        <w:t>Наиболее частыми побочными реакциями (сообщалось не менее чем у 30% пациентов) были: утомляемость</w:t>
      </w:r>
      <w:r>
        <w:rPr>
          <w:lang w:eastAsia="ru-RU"/>
        </w:rPr>
        <w:t xml:space="preserve">, </w:t>
      </w:r>
      <w:r w:rsidRPr="00FC4968">
        <w:rPr>
          <w:lang w:eastAsia="ru-RU"/>
        </w:rPr>
        <w:t>диарея, скелетно-мышечные боли, гипотиреоз, гипертония, стоматит; снижение аппетита</w:t>
      </w:r>
      <w:r>
        <w:rPr>
          <w:lang w:eastAsia="ru-RU"/>
        </w:rPr>
        <w:t xml:space="preserve">, </w:t>
      </w:r>
      <w:r w:rsidRPr="00FC4968">
        <w:rPr>
          <w:lang w:eastAsia="ru-RU"/>
        </w:rPr>
        <w:t xml:space="preserve">сыпь и тошнота. </w:t>
      </w:r>
      <w:r>
        <w:rPr>
          <w:lang w:eastAsia="ru-RU"/>
        </w:rPr>
        <w:t>82%</w:t>
      </w:r>
      <w:r w:rsidRPr="00FC4968">
        <w:rPr>
          <w:lang w:eastAsia="ru-RU"/>
        </w:rPr>
        <w:t xml:space="preserve"> пациентов имели </w:t>
      </w:r>
      <w:r w:rsidR="00C932E7">
        <w:rPr>
          <w:lang w:eastAsia="ru-RU"/>
        </w:rPr>
        <w:t>НЯ</w:t>
      </w:r>
      <w:r w:rsidRPr="00FC4968">
        <w:rPr>
          <w:lang w:eastAsia="ru-RU"/>
        </w:rPr>
        <w:t xml:space="preserve"> 3 степени или выше.</w:t>
      </w:r>
      <w:r>
        <w:rPr>
          <w:lang w:eastAsia="ru-RU"/>
        </w:rPr>
        <w:t xml:space="preserve"> Н</w:t>
      </w:r>
      <w:r w:rsidRPr="00FC4968">
        <w:rPr>
          <w:lang w:eastAsia="ru-RU"/>
        </w:rPr>
        <w:t xml:space="preserve">аиболее частыми побочными реакциями степени 3 или выше (≥5%) были: артериальная гипертензия (29%); </w:t>
      </w:r>
      <w:r>
        <w:rPr>
          <w:lang w:eastAsia="ru-RU"/>
        </w:rPr>
        <w:t>п</w:t>
      </w:r>
      <w:r w:rsidR="007126F9">
        <w:rPr>
          <w:lang w:eastAsia="ru-RU"/>
        </w:rPr>
        <w:t>о</w:t>
      </w:r>
      <w:r>
        <w:rPr>
          <w:lang w:eastAsia="ru-RU"/>
        </w:rPr>
        <w:t xml:space="preserve">вышение </w:t>
      </w:r>
      <w:r w:rsidRPr="00FC4968">
        <w:rPr>
          <w:lang w:eastAsia="ru-RU"/>
        </w:rPr>
        <w:t>липаз</w:t>
      </w:r>
      <w:r>
        <w:rPr>
          <w:lang w:eastAsia="ru-RU"/>
        </w:rPr>
        <w:t xml:space="preserve">ы </w:t>
      </w:r>
      <w:r w:rsidRPr="00FC4968">
        <w:rPr>
          <w:lang w:eastAsia="ru-RU"/>
        </w:rPr>
        <w:t xml:space="preserve">(18%); диарея (10%); усталость (9%); </w:t>
      </w:r>
      <w:r>
        <w:rPr>
          <w:lang w:eastAsia="ru-RU"/>
        </w:rPr>
        <w:t>повышение</w:t>
      </w:r>
      <w:r w:rsidRPr="00FC4968">
        <w:rPr>
          <w:lang w:eastAsia="ru-RU"/>
        </w:rPr>
        <w:t xml:space="preserve"> амилаз</w:t>
      </w:r>
      <w:r>
        <w:rPr>
          <w:lang w:eastAsia="ru-RU"/>
        </w:rPr>
        <w:t>ы</w:t>
      </w:r>
      <w:r w:rsidRPr="00FC4968">
        <w:rPr>
          <w:lang w:eastAsia="ru-RU"/>
        </w:rPr>
        <w:t xml:space="preserve"> (9%); гепатотоксичность (9%);</w:t>
      </w:r>
      <w:r>
        <w:rPr>
          <w:lang w:eastAsia="ru-RU"/>
        </w:rPr>
        <w:t xml:space="preserve"> </w:t>
      </w:r>
      <w:r w:rsidRPr="00FC4968">
        <w:rPr>
          <w:lang w:eastAsia="ru-RU"/>
        </w:rPr>
        <w:t xml:space="preserve">протеинурия (8%); </w:t>
      </w:r>
      <w:r>
        <w:rPr>
          <w:lang w:eastAsia="ru-RU"/>
        </w:rPr>
        <w:t>снижение веса</w:t>
      </w:r>
      <w:r w:rsidRPr="00FC4968">
        <w:rPr>
          <w:lang w:eastAsia="ru-RU"/>
        </w:rPr>
        <w:t xml:space="preserve"> (8%); геморрагические явления (5%).</w:t>
      </w:r>
    </w:p>
    <w:p w14:paraId="23465A39" w14:textId="2B37C4E3" w:rsidR="00200EBA" w:rsidRPr="00FC4968" w:rsidRDefault="00200EBA" w:rsidP="000A0E3B">
      <w:pPr>
        <w:ind w:firstLine="709"/>
        <w:rPr>
          <w:lang w:eastAsia="ru-RU"/>
        </w:rPr>
      </w:pPr>
      <w:r w:rsidRPr="00FC4968">
        <w:rPr>
          <w:lang w:eastAsia="ru-RU"/>
        </w:rPr>
        <w:t xml:space="preserve">Побочные реакции со смертельным исходом наблюдались у 4,3% пациентов, получавших </w:t>
      </w:r>
      <w:r w:rsidRPr="00FC4968">
        <w:t>ленватиниб</w:t>
      </w:r>
      <w:r>
        <w:t xml:space="preserve"> </w:t>
      </w:r>
      <w:r w:rsidRPr="00FC4968">
        <w:rPr>
          <w:lang w:eastAsia="ru-RU"/>
        </w:rPr>
        <w:t>и пембролизумаб</w:t>
      </w:r>
      <w:r>
        <w:rPr>
          <w:lang w:eastAsia="ru-RU"/>
        </w:rPr>
        <w:t xml:space="preserve">, это были </w:t>
      </w:r>
      <w:r w:rsidR="005B40C6">
        <w:rPr>
          <w:lang w:eastAsia="ru-RU"/>
        </w:rPr>
        <w:t>остановка сердца и дыхания</w:t>
      </w:r>
      <w:r w:rsidRPr="00FC4968">
        <w:rPr>
          <w:lang w:eastAsia="ru-RU"/>
        </w:rPr>
        <w:t xml:space="preserve"> (0,9%), сепсис (0,9%) и по одному случаю (0,3%) каждого из</w:t>
      </w:r>
      <w:r>
        <w:rPr>
          <w:lang w:eastAsia="ru-RU"/>
        </w:rPr>
        <w:t xml:space="preserve"> </w:t>
      </w:r>
      <w:r w:rsidR="000A0E3B">
        <w:rPr>
          <w:lang w:eastAsia="ru-RU"/>
        </w:rPr>
        <w:t xml:space="preserve">следующих: </w:t>
      </w:r>
      <w:r w:rsidRPr="00FC4968">
        <w:rPr>
          <w:lang w:eastAsia="ru-RU"/>
        </w:rPr>
        <w:t>аритмия, аутоиммунный гепатит, одышка, гипертонический криз, повышение уровня креатинина в крови,</w:t>
      </w:r>
      <w:r>
        <w:rPr>
          <w:lang w:eastAsia="ru-RU"/>
        </w:rPr>
        <w:t xml:space="preserve"> </w:t>
      </w:r>
      <w:r w:rsidRPr="00FC4968">
        <w:rPr>
          <w:lang w:eastAsia="ru-RU"/>
        </w:rPr>
        <w:t>синдром полиорганной дисфункции, миастенический синдром, миокардит, нефрит,</w:t>
      </w:r>
      <w:r>
        <w:rPr>
          <w:lang w:eastAsia="ru-RU"/>
        </w:rPr>
        <w:t xml:space="preserve"> </w:t>
      </w:r>
      <w:r w:rsidRPr="00FC4968">
        <w:rPr>
          <w:lang w:eastAsia="ru-RU"/>
        </w:rPr>
        <w:t>пневмонит, разрыв аневризмы, сепсис и субарахноидальное кровоизлияние.</w:t>
      </w:r>
    </w:p>
    <w:p w14:paraId="5CFFFA72" w14:textId="77777777" w:rsidR="00200EBA" w:rsidRPr="00FC4968" w:rsidRDefault="00200EBA" w:rsidP="000A0E3B">
      <w:pPr>
        <w:ind w:firstLine="709"/>
        <w:rPr>
          <w:lang w:eastAsia="ru-RU"/>
        </w:rPr>
      </w:pPr>
      <w:r w:rsidRPr="00FC4968">
        <w:rPr>
          <w:lang w:eastAsia="ru-RU"/>
        </w:rPr>
        <w:t xml:space="preserve">Серьезные побочные реакции возникали у 51% пациентов, получавших </w:t>
      </w:r>
      <w:r w:rsidRPr="00FC4968">
        <w:t>ленватиниб</w:t>
      </w:r>
      <w:r>
        <w:t xml:space="preserve"> </w:t>
      </w:r>
      <w:r w:rsidRPr="00FC4968">
        <w:rPr>
          <w:lang w:eastAsia="ru-RU"/>
        </w:rPr>
        <w:t>и пембролизумаб Серьезными побочными реакциями у ≥2% пациентов были геморрагические явления (5%), диарея (4%),</w:t>
      </w:r>
      <w:r>
        <w:rPr>
          <w:lang w:eastAsia="ru-RU"/>
        </w:rPr>
        <w:t xml:space="preserve"> </w:t>
      </w:r>
      <w:r w:rsidRPr="00FC4968">
        <w:rPr>
          <w:lang w:eastAsia="ru-RU"/>
        </w:rPr>
        <w:t>артериальная гипертензия (3%), инфаркт миокарда (3%), пневмонит (3%), рвота (3%), острая почечная недостаточность</w:t>
      </w:r>
      <w:r>
        <w:rPr>
          <w:lang w:eastAsia="ru-RU"/>
        </w:rPr>
        <w:t xml:space="preserve"> </w:t>
      </w:r>
      <w:r w:rsidRPr="00FC4968">
        <w:rPr>
          <w:lang w:eastAsia="ru-RU"/>
        </w:rPr>
        <w:t>(2%), надпочечниковая недостаточность (2%), одышка (2%) и пневмония (2%).</w:t>
      </w:r>
    </w:p>
    <w:p w14:paraId="6337DB07" w14:textId="3744AADA" w:rsidR="00200EBA" w:rsidRPr="00FC4968" w:rsidRDefault="00200EBA" w:rsidP="000A0E3B">
      <w:pPr>
        <w:ind w:firstLine="709"/>
        <w:rPr>
          <w:lang w:eastAsia="ru-RU"/>
        </w:rPr>
      </w:pPr>
      <w:r w:rsidRPr="00FC4968">
        <w:rPr>
          <w:lang w:eastAsia="ru-RU"/>
        </w:rPr>
        <w:t xml:space="preserve">Прекращение приема </w:t>
      </w:r>
      <w:r w:rsidRPr="00FC4968">
        <w:t>ленватиниб</w:t>
      </w:r>
      <w:r w:rsidR="00C932E7">
        <w:t>а</w:t>
      </w:r>
      <w:r w:rsidRPr="00FC4968">
        <w:rPr>
          <w:lang w:eastAsia="ru-RU"/>
        </w:rPr>
        <w:t xml:space="preserve">, пембролизумаба или обоих </w:t>
      </w:r>
      <w:r>
        <w:rPr>
          <w:lang w:eastAsia="ru-RU"/>
        </w:rPr>
        <w:t xml:space="preserve">препаратов </w:t>
      </w:r>
      <w:r w:rsidRPr="00FC4968">
        <w:rPr>
          <w:lang w:eastAsia="ru-RU"/>
        </w:rPr>
        <w:t xml:space="preserve">из-за побочных реакций произошло </w:t>
      </w:r>
      <w:r>
        <w:rPr>
          <w:lang w:eastAsia="ru-RU"/>
        </w:rPr>
        <w:t xml:space="preserve">у </w:t>
      </w:r>
      <w:r w:rsidRPr="00FC4968">
        <w:rPr>
          <w:lang w:eastAsia="ru-RU"/>
        </w:rPr>
        <w:t>37% всех больных;</w:t>
      </w:r>
      <w:r>
        <w:rPr>
          <w:lang w:eastAsia="ru-RU"/>
        </w:rPr>
        <w:t xml:space="preserve"> у</w:t>
      </w:r>
      <w:r w:rsidRPr="00FC4968">
        <w:rPr>
          <w:lang w:eastAsia="ru-RU"/>
        </w:rPr>
        <w:t xml:space="preserve"> 26% </w:t>
      </w:r>
      <w:r>
        <w:rPr>
          <w:lang w:eastAsia="ru-RU"/>
        </w:rPr>
        <w:t>был отмен</w:t>
      </w:r>
      <w:r w:rsidR="00FA46B8">
        <w:rPr>
          <w:lang w:eastAsia="ru-RU"/>
        </w:rPr>
        <w:t>ен</w:t>
      </w:r>
      <w:r>
        <w:rPr>
          <w:lang w:eastAsia="ru-RU"/>
        </w:rPr>
        <w:t xml:space="preserve"> ленватиниб</w:t>
      </w:r>
      <w:r w:rsidRPr="00FC4968">
        <w:rPr>
          <w:lang w:eastAsia="ru-RU"/>
        </w:rPr>
        <w:t xml:space="preserve"> и </w:t>
      </w:r>
      <w:r>
        <w:rPr>
          <w:lang w:eastAsia="ru-RU"/>
        </w:rPr>
        <w:t xml:space="preserve">у </w:t>
      </w:r>
      <w:r w:rsidRPr="00FC4968">
        <w:rPr>
          <w:lang w:eastAsia="ru-RU"/>
        </w:rPr>
        <w:t>13% оба препарата. Наиболее част</w:t>
      </w:r>
      <w:r w:rsidR="00C932E7">
        <w:rPr>
          <w:lang w:eastAsia="ru-RU"/>
        </w:rPr>
        <w:t>ой</w:t>
      </w:r>
      <w:r w:rsidRPr="00FC4968">
        <w:rPr>
          <w:lang w:eastAsia="ru-RU"/>
        </w:rPr>
        <w:t xml:space="preserve"> побочн</w:t>
      </w:r>
      <w:r w:rsidR="00C932E7">
        <w:rPr>
          <w:lang w:eastAsia="ru-RU"/>
        </w:rPr>
        <w:t>ой</w:t>
      </w:r>
      <w:r w:rsidRPr="00FC4968">
        <w:rPr>
          <w:lang w:eastAsia="ru-RU"/>
        </w:rPr>
        <w:t xml:space="preserve"> реакци</w:t>
      </w:r>
      <w:r w:rsidR="00C932E7">
        <w:rPr>
          <w:lang w:eastAsia="ru-RU"/>
        </w:rPr>
        <w:t>ей</w:t>
      </w:r>
      <w:r>
        <w:rPr>
          <w:lang w:eastAsia="ru-RU"/>
        </w:rPr>
        <w:t xml:space="preserve"> </w:t>
      </w:r>
      <w:r w:rsidRPr="00FC4968">
        <w:rPr>
          <w:lang w:eastAsia="ru-RU"/>
        </w:rPr>
        <w:t xml:space="preserve">(≥2%), </w:t>
      </w:r>
      <w:r>
        <w:rPr>
          <w:lang w:eastAsia="ru-RU"/>
        </w:rPr>
        <w:t>котор</w:t>
      </w:r>
      <w:r w:rsidR="00C932E7">
        <w:rPr>
          <w:lang w:eastAsia="ru-RU"/>
        </w:rPr>
        <w:t>ая</w:t>
      </w:r>
      <w:r>
        <w:rPr>
          <w:lang w:eastAsia="ru-RU"/>
        </w:rPr>
        <w:t xml:space="preserve"> </w:t>
      </w:r>
      <w:r w:rsidRPr="00FC4968">
        <w:rPr>
          <w:lang w:eastAsia="ru-RU"/>
        </w:rPr>
        <w:t xml:space="preserve"> привел</w:t>
      </w:r>
      <w:r w:rsidR="00C932E7">
        <w:rPr>
          <w:lang w:eastAsia="ru-RU"/>
        </w:rPr>
        <w:t>а</w:t>
      </w:r>
      <w:r w:rsidRPr="00FC4968">
        <w:rPr>
          <w:lang w:eastAsia="ru-RU"/>
        </w:rPr>
        <w:t xml:space="preserve"> к прекращению приема </w:t>
      </w:r>
      <w:r>
        <w:rPr>
          <w:lang w:eastAsia="ru-RU"/>
        </w:rPr>
        <w:t>ленватиниба</w:t>
      </w:r>
      <w:r w:rsidRPr="00FC4968">
        <w:rPr>
          <w:lang w:eastAsia="ru-RU"/>
        </w:rPr>
        <w:t>, пембролизумаба или того и другого</w:t>
      </w:r>
      <w:r>
        <w:rPr>
          <w:lang w:eastAsia="ru-RU"/>
        </w:rPr>
        <w:t xml:space="preserve"> был </w:t>
      </w:r>
      <w:r w:rsidRPr="00FC4968">
        <w:rPr>
          <w:lang w:eastAsia="ru-RU"/>
        </w:rPr>
        <w:t>миокарди</w:t>
      </w:r>
      <w:r>
        <w:rPr>
          <w:lang w:eastAsia="ru-RU"/>
        </w:rPr>
        <w:t xml:space="preserve">т </w:t>
      </w:r>
      <w:r>
        <w:rPr>
          <w:lang w:eastAsia="ru-RU"/>
        </w:rPr>
        <w:fldChar w:fldCharType="begin"/>
      </w:r>
      <w:r>
        <w:rPr>
          <w:lang w:eastAsia="ru-RU"/>
        </w:rPr>
        <w:instrText xml:space="preserve"> ADDIN ZOTERO_ITEM CSL_CITATION {"citationID":"f8miFxwA","properties":{"formattedCitation":"[33]","plainCitation":"[33]","noteIndex":0},"citationItems":[{"id":2659,"uris":["http://zotero.org/users/5483459/items/JD8GLMBS"],"itemData":{"id":2659,"type":"document","title":"Product Monograph LENVIMA® Lenvatinib capsules 4 mg and 10 mg Lenvatinib (as lenvatinib mesylate). Eisai Limited.Date of Initial Authorization: DEC 22, 2015 Date of Revision:MAY 31, 2022"}}],"schema":"https://github.com/citation-style-language/schema/raw/master/csl-citation.json"} </w:instrText>
      </w:r>
      <w:r>
        <w:rPr>
          <w:lang w:eastAsia="ru-RU"/>
        </w:rPr>
        <w:fldChar w:fldCharType="separate"/>
      </w:r>
      <w:r w:rsidRPr="00545231">
        <w:t>[33]</w:t>
      </w:r>
      <w:r>
        <w:rPr>
          <w:lang w:eastAsia="ru-RU"/>
        </w:rPr>
        <w:fldChar w:fldCharType="end"/>
      </w:r>
      <w:r>
        <w:rPr>
          <w:lang w:eastAsia="ru-RU"/>
        </w:rPr>
        <w:t>.</w:t>
      </w:r>
    </w:p>
    <w:bookmarkEnd w:id="236"/>
    <w:p w14:paraId="09CA7745" w14:textId="77777777" w:rsidR="0054382D" w:rsidRDefault="0054382D" w:rsidP="00200EBA">
      <w:pPr>
        <w:spacing w:before="240" w:after="240"/>
        <w:outlineLvl w:val="2"/>
        <w:rPr>
          <w:rFonts w:eastAsia="Times New Roman"/>
          <w:b/>
          <w:bCs/>
          <w:iCs/>
          <w:lang w:eastAsia="en-US"/>
        </w:rPr>
        <w:sectPr w:rsidR="0054382D" w:rsidSect="00AB01E2">
          <w:pgSz w:w="11906" w:h="16838"/>
          <w:pgMar w:top="1134" w:right="849" w:bottom="1134" w:left="1701" w:header="708" w:footer="709" w:gutter="0"/>
          <w:cols w:space="708"/>
          <w:docGrid w:linePitch="360"/>
        </w:sectPr>
      </w:pPr>
    </w:p>
    <w:p w14:paraId="70DA7FCB" w14:textId="1014D20A" w:rsidR="00200EBA" w:rsidRDefault="00200EBA" w:rsidP="00200EBA">
      <w:pPr>
        <w:spacing w:before="240" w:after="240"/>
        <w:outlineLvl w:val="2"/>
        <w:rPr>
          <w:rFonts w:eastAsia="Times New Roman"/>
          <w:b/>
          <w:bCs/>
          <w:iCs/>
          <w:lang w:eastAsia="en-US"/>
        </w:rPr>
      </w:pPr>
      <w:bookmarkStart w:id="238" w:name="_Toc126059765"/>
      <w:r w:rsidRPr="00620389">
        <w:rPr>
          <w:rFonts w:eastAsia="Times New Roman"/>
          <w:b/>
          <w:bCs/>
          <w:iCs/>
          <w:lang w:eastAsia="en-US"/>
        </w:rPr>
        <w:lastRenderedPageBreak/>
        <w:t>4.</w:t>
      </w:r>
      <w:r>
        <w:rPr>
          <w:rFonts w:eastAsia="Times New Roman"/>
          <w:b/>
          <w:bCs/>
          <w:iCs/>
          <w:lang w:eastAsia="en-US"/>
        </w:rPr>
        <w:t>3.3. Пострегистрационный опыт применения</w:t>
      </w:r>
      <w:bookmarkEnd w:id="238"/>
    </w:p>
    <w:p w14:paraId="0965904D" w14:textId="1071EB23" w:rsidR="00200EBA" w:rsidRPr="00BF7299" w:rsidRDefault="00200EBA" w:rsidP="00200EBA">
      <w:pPr>
        <w:ind w:firstLine="851"/>
      </w:pPr>
      <w:r>
        <w:t>В</w:t>
      </w:r>
      <w:r w:rsidRPr="00F26648">
        <w:t xml:space="preserve"> </w:t>
      </w:r>
      <w:r>
        <w:t>исследованиях</w:t>
      </w:r>
      <w:r w:rsidRPr="00F26648">
        <w:t xml:space="preserve"> </w:t>
      </w:r>
      <w:r>
        <w:t>на</w:t>
      </w:r>
      <w:r w:rsidRPr="00F26648">
        <w:t xml:space="preserve"> </w:t>
      </w:r>
      <w:r>
        <w:t>постмаркетинговом</w:t>
      </w:r>
      <w:r w:rsidRPr="00F26648">
        <w:t xml:space="preserve"> </w:t>
      </w:r>
      <w:r>
        <w:t>этапе</w:t>
      </w:r>
      <w:r w:rsidRPr="00F26648">
        <w:t xml:space="preserve"> </w:t>
      </w:r>
      <w:r>
        <w:t>был</w:t>
      </w:r>
      <w:r w:rsidRPr="00F26648">
        <w:t xml:space="preserve"> </w:t>
      </w:r>
      <w:r>
        <w:t>выявлен</w:t>
      </w:r>
      <w:r w:rsidRPr="00F26648">
        <w:t xml:space="preserve"> </w:t>
      </w:r>
      <w:r>
        <w:t>ряд НЯ</w:t>
      </w:r>
      <w:r w:rsidRPr="00F26648">
        <w:t xml:space="preserve">, </w:t>
      </w:r>
      <w:r>
        <w:t>которые</w:t>
      </w:r>
      <w:r w:rsidRPr="00F26648">
        <w:t xml:space="preserve"> </w:t>
      </w:r>
      <w:r>
        <w:t>не</w:t>
      </w:r>
      <w:r w:rsidRPr="00F26648">
        <w:t xml:space="preserve"> </w:t>
      </w:r>
      <w:r>
        <w:t>были</w:t>
      </w:r>
      <w:r w:rsidRPr="00F26648">
        <w:t xml:space="preserve"> </w:t>
      </w:r>
      <w:r>
        <w:t xml:space="preserve">обнаружены во время исследований </w:t>
      </w:r>
      <w:r>
        <w:rPr>
          <w:lang w:val="en-US"/>
        </w:rPr>
        <w:t>II</w:t>
      </w:r>
      <w:r w:rsidRPr="00D43185">
        <w:t>/</w:t>
      </w:r>
      <w:r>
        <w:rPr>
          <w:lang w:val="en-US"/>
        </w:rPr>
        <w:t>III</w:t>
      </w:r>
      <w:r>
        <w:t xml:space="preserve"> фазы</w:t>
      </w:r>
      <w:r w:rsidRPr="00D43185">
        <w:t xml:space="preserve">. </w:t>
      </w:r>
      <w:r>
        <w:t>Поскольку</w:t>
      </w:r>
      <w:r w:rsidRPr="009052BC">
        <w:t xml:space="preserve"> </w:t>
      </w:r>
      <w:r w:rsidR="000A0E3B">
        <w:t xml:space="preserve">сведения об </w:t>
      </w:r>
      <w:r>
        <w:t>эти</w:t>
      </w:r>
      <w:r w:rsidR="000A0E3B">
        <w:t>х</w:t>
      </w:r>
      <w:r w:rsidRPr="009052BC">
        <w:t xml:space="preserve"> </w:t>
      </w:r>
      <w:r>
        <w:t>НЯ</w:t>
      </w:r>
      <w:r w:rsidRPr="009052BC">
        <w:t xml:space="preserve"> </w:t>
      </w:r>
      <w:r>
        <w:t>получены</w:t>
      </w:r>
      <w:r w:rsidRPr="009052BC">
        <w:t xml:space="preserve"> </w:t>
      </w:r>
      <w:r>
        <w:t>из</w:t>
      </w:r>
      <w:r w:rsidRPr="009052BC">
        <w:t xml:space="preserve"> </w:t>
      </w:r>
      <w:r>
        <w:t>баз</w:t>
      </w:r>
      <w:r w:rsidRPr="009052BC">
        <w:t xml:space="preserve"> </w:t>
      </w:r>
      <w:r>
        <w:t>данных</w:t>
      </w:r>
      <w:r w:rsidRPr="009052BC">
        <w:t xml:space="preserve"> </w:t>
      </w:r>
      <w:r>
        <w:t>о</w:t>
      </w:r>
      <w:r w:rsidRPr="009052BC">
        <w:t xml:space="preserve"> </w:t>
      </w:r>
      <w:r>
        <w:t>репортировании</w:t>
      </w:r>
      <w:r w:rsidRPr="009052BC">
        <w:t xml:space="preserve"> </w:t>
      </w:r>
      <w:r>
        <w:t>побочных</w:t>
      </w:r>
      <w:r w:rsidRPr="009052BC">
        <w:t xml:space="preserve"> </w:t>
      </w:r>
      <w:r>
        <w:t>эффектов</w:t>
      </w:r>
      <w:r w:rsidRPr="009052BC">
        <w:t xml:space="preserve"> </w:t>
      </w:r>
      <w:r>
        <w:t>лекарственных</w:t>
      </w:r>
      <w:r w:rsidRPr="009052BC">
        <w:t xml:space="preserve"> </w:t>
      </w:r>
      <w:r>
        <w:t>препаратов, оценить реальную частоту их возникновения и определить причинно-следственную связь невозможно</w:t>
      </w:r>
      <w:r w:rsidRPr="009052BC">
        <w:t>.</w:t>
      </w:r>
      <w:r>
        <w:t xml:space="preserve"> Сообщалось о сле</w:t>
      </w:r>
      <w:r w:rsidR="008D0F00">
        <w:t>д</w:t>
      </w:r>
      <w:r>
        <w:t>ующих побочных реакциях:</w:t>
      </w:r>
    </w:p>
    <w:p w14:paraId="185D8FB3" w14:textId="384D7ABA" w:rsidR="00200EBA" w:rsidRPr="00BF7299" w:rsidRDefault="00C13C99" w:rsidP="00200EBA">
      <w:pPr>
        <w:pStyle w:val="af3"/>
        <w:numPr>
          <w:ilvl w:val="0"/>
          <w:numId w:val="27"/>
        </w:numPr>
      </w:pPr>
      <w:r>
        <w:t>ЖКТ</w:t>
      </w:r>
      <w:r w:rsidR="00200EBA" w:rsidRPr="00BF7299">
        <w:t>: панкреатит, повышение активности амилазы.</w:t>
      </w:r>
    </w:p>
    <w:p w14:paraId="585E8291" w14:textId="77777777" w:rsidR="00200EBA" w:rsidRPr="00BF7299" w:rsidRDefault="00200EBA" w:rsidP="00200EBA">
      <w:pPr>
        <w:pStyle w:val="af3"/>
        <w:numPr>
          <w:ilvl w:val="0"/>
          <w:numId w:val="27"/>
        </w:numPr>
      </w:pPr>
      <w:r w:rsidRPr="00BF7299">
        <w:t>Общие: нарушение заживления ран</w:t>
      </w:r>
      <w:r>
        <w:t>.</w:t>
      </w:r>
    </w:p>
    <w:p w14:paraId="3CC3EBE3" w14:textId="77777777" w:rsidR="00200EBA" w:rsidRPr="00BF7299" w:rsidRDefault="00200EBA" w:rsidP="00200EBA">
      <w:pPr>
        <w:pStyle w:val="af3"/>
        <w:numPr>
          <w:ilvl w:val="0"/>
          <w:numId w:val="27"/>
        </w:numPr>
      </w:pPr>
      <w:r w:rsidRPr="00BF7299">
        <w:t>Гепатобилиарная</w:t>
      </w:r>
      <w:r>
        <w:t xml:space="preserve"> система</w:t>
      </w:r>
      <w:r w:rsidRPr="00BF7299">
        <w:t>: холецистит</w:t>
      </w:r>
      <w:r>
        <w:t>.</w:t>
      </w:r>
    </w:p>
    <w:p w14:paraId="433D3CEE" w14:textId="77777777" w:rsidR="00200EBA" w:rsidRPr="00BF7299" w:rsidRDefault="00200EBA" w:rsidP="00200EBA">
      <w:pPr>
        <w:pStyle w:val="af3"/>
        <w:numPr>
          <w:ilvl w:val="0"/>
          <w:numId w:val="27"/>
        </w:numPr>
      </w:pPr>
      <w:r w:rsidRPr="00BF7299">
        <w:t>Опорно-двигательный аппарат и соединительная ткань: свищ, остеонекроз челюсти.</w:t>
      </w:r>
    </w:p>
    <w:p w14:paraId="1F574BA8" w14:textId="77777777" w:rsidR="00200EBA" w:rsidRPr="00BF7299" w:rsidRDefault="00200EBA" w:rsidP="00200EBA">
      <w:pPr>
        <w:pStyle w:val="af3"/>
        <w:numPr>
          <w:ilvl w:val="0"/>
          <w:numId w:val="27"/>
        </w:numPr>
      </w:pPr>
      <w:r w:rsidRPr="00BF7299">
        <w:t>Нарушения со стороны почек и мочевыводящих путей: нефротический синдром.</w:t>
      </w:r>
    </w:p>
    <w:p w14:paraId="72FE33A9" w14:textId="77777777" w:rsidR="00200EBA" w:rsidRPr="00BF7299" w:rsidRDefault="00200EBA" w:rsidP="00200EBA">
      <w:pPr>
        <w:pStyle w:val="af3"/>
        <w:numPr>
          <w:ilvl w:val="0"/>
          <w:numId w:val="27"/>
        </w:numPr>
      </w:pPr>
      <w:r w:rsidRPr="00BF7299">
        <w:t>Нарушения со стороны органов дыхания, грудной клетки и средостения: пневмоторакс.</w:t>
      </w:r>
    </w:p>
    <w:p w14:paraId="1D10CD1D" w14:textId="77777777" w:rsidR="00200EBA" w:rsidRPr="00BF7299" w:rsidRDefault="00200EBA" w:rsidP="00200EBA">
      <w:pPr>
        <w:pStyle w:val="af3"/>
        <w:numPr>
          <w:ilvl w:val="0"/>
          <w:numId w:val="27"/>
        </w:numPr>
      </w:pPr>
      <w:r w:rsidRPr="00BF7299">
        <w:t>Сосудистые расстройства: диссекция артерии и аневризма артерии (включая разрыв)</w:t>
      </w:r>
      <w:r>
        <w:t>.</w:t>
      </w:r>
    </w:p>
    <w:p w14:paraId="251A8F8E" w14:textId="0EED748D" w:rsidR="00200EBA" w:rsidRPr="0035315E" w:rsidRDefault="00200EBA" w:rsidP="000A0E3B">
      <w:pPr>
        <w:ind w:firstLine="567"/>
        <w:rPr>
          <w:lang w:val="en-US"/>
        </w:rPr>
      </w:pPr>
      <w:r w:rsidRPr="00BF7299">
        <w:t>Поскольку об этих реакциях сообщается добровольно из популяции неопределенного размера, не</w:t>
      </w:r>
      <w:r>
        <w:t xml:space="preserve"> </w:t>
      </w:r>
      <w:r w:rsidRPr="00BF7299">
        <w:t>всегда можно достоверно оценить их частоту или установить причинно-следственную связь с лекарственными препаратами</w:t>
      </w:r>
      <w:r>
        <w:t xml:space="preserve"> </w:t>
      </w:r>
      <w:r>
        <w:fldChar w:fldCharType="begin"/>
      </w:r>
      <w:r>
        <w:instrText xml:space="preserve"> ADDIN ZOTERO_ITEM CSL_CITATION {"citationID":"VJDZzowL","properties":{"formattedCitation":"[2,3,20,27,34]","plainCitation":"[2,3,20,27,34]","noteIndex":0},"citationItems":[{"id":2653,"uris":["http://zotero.org/users/5483459/items/4RCY3Z5J"],"itemData":{"id":2653,"type":"document","title":"PRODUCT MONOGRAPH INCLUDING PATIENT MEDICATION INFORMATION PrLENVIMA® Lenvatinib capsules 4mg and 10mg Lenvatinib (as lenvatinib mesylate) Multiple Receptor Tyrosine Kinase Inhibitor Antineoplastic Agent, ATC code:L01XE29. Eisai Limited.2018."},"label":"page"},{"id":2784,"uris":["http://zotero.org/users/5483459/items/Z3WVRZQB"],"itemData":{"id":2784,"type":"document","title":"European  Medicines Agency. Assessment report Lenvima International non-proprietary name: lenvatinib Procedure No. EMEA/H/C/003727/0000.26 March 2015."},"label":"page"},{"id":2745,"uris":["http://zotero.org/users/5483459/items/95XEZDWJ"],"itemData":{"id":2745,"type":"document","title":"European  Medicines Agency. SUMMARY OF PRODUCT CHARACTERISTICS. LENVIMA 4 mg, 10 mg hard capsules.26.11.2021"},"label":"page"},{"id":2660,"uris":["http://zotero.org/users/5483459/items/43FJ36FN"],"itemData":{"id":2660,"type":"article-journal","abstract":"This article reviews the discovery, development, clinical testing, and regulatory approval of the tyrosine kinase inhibitor lenvatinib (E7080) and highlights future potential in the management of solid tumors.","container-title":"The Oncologist","DOI":"10.1634/theoncologist.2019-0407","ISSN":"1083-7159","issue":"2","journalAbbreviation":"Oncologist","note":"PMID: 32043789\nPMCID: PMC7011622","page":"e302-e310","source":"PubMed Central","title":"Lenvatinib in Management of Solid Tumors","volume":"25","author":[{"family":"Hao","given":"Zhonglin"},{"family":"Wang","given":"Peng"}],"issued":{"date-parts":[["2020",2]]}},"label":"page"},{"id":2864,"uris":["http://zotero.org/users/5483459/items/ZKETR6BA"],"itemData":{"id":2864,"type":"article-journal","abstract":"INTRODUCTION: Lenvatinib is an oral multitargeted tyrosine kinase inhibitor that has shown efficacy and manageable safety across multiple cancer types. The recommended starting doses for lenvatinib differ across cancer types and indications based on whether it is used as monotherapy or as combination therapy.\nAREAS COVERED: This review covers clinical trials that established the dosing paradigm and efficacy of lenvatinib and defined its adverse-event profile as a monotherapy; or in combination with the mTOR inhibitor, everolimus; or the anti-PD-1 antibody, pembrolizumab; and/or chemotherapy.\nEXPERT OPINION: Lenvatinib has been established as standard-of-care either as a monotherapy or in combination with other anticancer agents for the treatment of radioiodine-refractory differentiated thyroid carcinoma, hepatocellular carcinoma, renal cell carcinoma, and endometrial carcinoma, and is being investigated further across several other tumor types. The dosing and adverse-event management strategies for lenvatinib hav</w:instrText>
      </w:r>
      <w:r w:rsidRPr="0035315E">
        <w:rPr>
          <w:lang w:val="en-US"/>
        </w:rPr>
        <w:instrText xml:space="preserve">e been developed through extensive clinical trial experience. Collectively, the data provide the rationale to start lenvatinib at the recommended doses and then interrupt or dose reduce as necessary to achieve required dose intensity for maximized patient benefit. The adverse-event profile of lenvatinib is consistent with that of other tyrosine kinase inhibitors, and clinicians are encouraged to review and adopt relevant symptom-management strategies.","container-title":"Expert Review of Anticancer Therapy","DOI":"10.1080/14737140.2022.2039123","ISSN":"1744-8328","issue":"4","journalAbbreviation":"Expert Rev Anticancer Ther","language":"eng","note":"PMID: 35260027\nPMCID: PMC9484451","page":"383-400","source":"PubMed","title":"Lenvatinib dose, efficacy, and safety in the treatment of multiple malignancies","volume":"22","author":[{"family":"Motzer","given":"Robert J."},{"family":"Taylor","given":"Matthew H."},{"family":"Evans","given":"Thomas R. Jeffry"},{"family":"Okusaka","given":"Takuji"},{"family":"Glen","given":"Hilary"},{"family":"Lubiniecki","given":"Gregory M."},{"family":"Dutcus","given":"Corina"},{"family":"Smith","given":"Alan D."},{"family":"Okpara","given":"Chinyere E."},{"family":"Hussein","given":"Ziad"},{"family":"Hayato","given":"Seiichi"},{"family":"Tamai","given":"Toshiyuki"},{"family":"Makker","given":"Vicky"}],"issued":{"date-parts":[["2022",4]]}},"label":"page"}],"schema":"https://github.com/citation-style-language/schema/raw/master/csl-citation.json"} </w:instrText>
      </w:r>
      <w:r>
        <w:fldChar w:fldCharType="separate"/>
      </w:r>
      <w:r w:rsidRPr="0035315E">
        <w:rPr>
          <w:lang w:val="en-US"/>
        </w:rPr>
        <w:t>[2,3,20,27,34]</w:t>
      </w:r>
      <w:r>
        <w:fldChar w:fldCharType="end"/>
      </w:r>
      <w:r w:rsidRPr="00753CF2">
        <w:rPr>
          <w:lang w:val="en-US"/>
        </w:rPr>
        <w:t>.</w:t>
      </w:r>
    </w:p>
    <w:p w14:paraId="07020DFC" w14:textId="77777777" w:rsidR="00200EBA" w:rsidRPr="00C600BE" w:rsidRDefault="00200EBA" w:rsidP="00200EBA">
      <w:pPr>
        <w:pStyle w:val="2"/>
        <w:spacing w:line="240" w:lineRule="auto"/>
        <w:rPr>
          <w:color w:val="000000" w:themeColor="text1"/>
          <w:szCs w:val="24"/>
          <w:lang w:val="en-US"/>
        </w:rPr>
      </w:pPr>
      <w:bookmarkStart w:id="239" w:name="bookmark45"/>
      <w:bookmarkStart w:id="240" w:name="bookmark44"/>
      <w:bookmarkStart w:id="241" w:name="_Toc126059766"/>
      <w:bookmarkEnd w:id="239"/>
      <w:bookmarkEnd w:id="240"/>
      <w:r>
        <w:rPr>
          <w:color w:val="000000" w:themeColor="text1"/>
          <w:szCs w:val="24"/>
        </w:rPr>
        <w:t>Список</w:t>
      </w:r>
      <w:r w:rsidRPr="00C600BE">
        <w:rPr>
          <w:color w:val="000000" w:themeColor="text1"/>
          <w:szCs w:val="24"/>
          <w:lang w:val="en-US"/>
        </w:rPr>
        <w:t xml:space="preserve"> </w:t>
      </w:r>
      <w:r>
        <w:rPr>
          <w:color w:val="000000" w:themeColor="text1"/>
          <w:szCs w:val="24"/>
        </w:rPr>
        <w:t>литературы</w:t>
      </w:r>
      <w:bookmarkEnd w:id="241"/>
    </w:p>
    <w:p w14:paraId="74DF3663" w14:textId="77777777" w:rsidR="00200EBA" w:rsidRPr="0035315E" w:rsidRDefault="00200EBA" w:rsidP="008356A7">
      <w:pPr>
        <w:pStyle w:val="afff2"/>
        <w:tabs>
          <w:tab w:val="clear" w:pos="504"/>
        </w:tabs>
        <w:spacing w:after="0"/>
        <w:ind w:left="709" w:hanging="425"/>
        <w:rPr>
          <w:lang w:val="en-US"/>
        </w:rPr>
      </w:pPr>
      <w:r>
        <w:fldChar w:fldCharType="begin"/>
      </w:r>
      <w:r w:rsidRPr="00C37A01">
        <w:rPr>
          <w:lang w:val="en-US"/>
        </w:rPr>
        <w:instrText xml:space="preserve"> ADDIN ZOTERO_BIBL {"uncited":[],"omitted":[],"custom":[]} CSL_BIBLIOGRAPHY </w:instrText>
      </w:r>
      <w:r>
        <w:fldChar w:fldCharType="separate"/>
      </w:r>
      <w:r w:rsidRPr="0035315E">
        <w:rPr>
          <w:lang w:val="en-US"/>
        </w:rPr>
        <w:t xml:space="preserve">1. </w:t>
      </w:r>
      <w:r w:rsidRPr="0035315E">
        <w:rPr>
          <w:lang w:val="en-US"/>
        </w:rPr>
        <w:tab/>
        <w:t>Eisai Inc. A Phase 1, Open-Label, Single-Dose, Pharmacokinetic and Safety Study of E7080 (24 mg) Administered to Subjects With Mild, Moderate, and Severe Renal Impairment and to Healthy Subjects [</w:t>
      </w:r>
      <w:r w:rsidRPr="0035315E">
        <w:t>Интернет</w:t>
      </w:r>
      <w:r w:rsidRPr="0035315E">
        <w:rPr>
          <w:lang w:val="en-US"/>
        </w:rPr>
        <w:t xml:space="preserve">]. clinicaltrials.gov; 2015 </w:t>
      </w:r>
      <w:r w:rsidRPr="0035315E">
        <w:t>апр</w:t>
      </w:r>
      <w:r w:rsidRPr="0035315E">
        <w:rPr>
          <w:lang w:val="en-US"/>
        </w:rPr>
        <w:t xml:space="preserve"> [</w:t>
      </w:r>
      <w:r w:rsidRPr="0035315E">
        <w:t>цитируется</w:t>
      </w:r>
      <w:r w:rsidRPr="0035315E">
        <w:rPr>
          <w:lang w:val="en-US"/>
        </w:rPr>
        <w:t xml:space="preserve"> </w:t>
      </w:r>
      <w:r w:rsidRPr="0035315E">
        <w:t>по</w:t>
      </w:r>
      <w:r w:rsidRPr="0035315E">
        <w:rPr>
          <w:lang w:val="en-US"/>
        </w:rPr>
        <w:t xml:space="preserve"> 27 </w:t>
      </w:r>
      <w:r w:rsidRPr="0035315E">
        <w:t>октябрь</w:t>
      </w:r>
      <w:r w:rsidRPr="0035315E">
        <w:rPr>
          <w:lang w:val="en-US"/>
        </w:rPr>
        <w:t xml:space="preserve"> 2022 </w:t>
      </w:r>
      <w:r w:rsidRPr="0035315E">
        <w:t>г</w:t>
      </w:r>
      <w:r w:rsidRPr="0035315E">
        <w:rPr>
          <w:lang w:val="en-US"/>
        </w:rPr>
        <w:t xml:space="preserve">.]. Report No.: NCT02199379. </w:t>
      </w:r>
      <w:r w:rsidRPr="0035315E">
        <w:t>Доступно</w:t>
      </w:r>
      <w:r w:rsidRPr="0035315E">
        <w:rPr>
          <w:lang w:val="en-US"/>
        </w:rPr>
        <w:t xml:space="preserve"> </w:t>
      </w:r>
      <w:r w:rsidRPr="0035315E">
        <w:t>на</w:t>
      </w:r>
      <w:r w:rsidRPr="0035315E">
        <w:rPr>
          <w:lang w:val="en-US"/>
        </w:rPr>
        <w:t>: https://clinicaltrials.gov/ct2/show/NCT02199379</w:t>
      </w:r>
    </w:p>
    <w:p w14:paraId="32367CDC" w14:textId="77777777" w:rsidR="00200EBA" w:rsidRPr="0035315E" w:rsidRDefault="00200EBA" w:rsidP="008356A7">
      <w:pPr>
        <w:pStyle w:val="afff2"/>
        <w:tabs>
          <w:tab w:val="clear" w:pos="504"/>
        </w:tabs>
        <w:spacing w:after="0"/>
        <w:ind w:left="709" w:hanging="425"/>
        <w:rPr>
          <w:lang w:val="en-US"/>
        </w:rPr>
      </w:pPr>
      <w:r w:rsidRPr="0035315E">
        <w:rPr>
          <w:lang w:val="en-US"/>
        </w:rPr>
        <w:t xml:space="preserve">2. </w:t>
      </w:r>
      <w:r w:rsidRPr="0035315E">
        <w:rPr>
          <w:lang w:val="en-US"/>
        </w:rPr>
        <w:tab/>
        <w:t xml:space="preserve">European  Medicines Agency. SUMMARY OF PRODUCT CHARACTERISTICS. LENVIMA 4 mg, 10 mg hard capsules.26.11.2021. </w:t>
      </w:r>
    </w:p>
    <w:p w14:paraId="6F60D85D" w14:textId="77777777" w:rsidR="00200EBA" w:rsidRPr="00753CF2" w:rsidRDefault="00200EBA" w:rsidP="008356A7">
      <w:pPr>
        <w:pStyle w:val="afff2"/>
        <w:tabs>
          <w:tab w:val="clear" w:pos="504"/>
        </w:tabs>
        <w:spacing w:after="0"/>
        <w:ind w:left="709" w:hanging="425"/>
      </w:pPr>
      <w:r w:rsidRPr="0035315E">
        <w:rPr>
          <w:lang w:val="en-US"/>
        </w:rPr>
        <w:t xml:space="preserve">3. </w:t>
      </w:r>
      <w:r w:rsidRPr="0035315E">
        <w:rPr>
          <w:lang w:val="en-US"/>
        </w:rPr>
        <w:tab/>
        <w:t>European  Medicines Agency. Assessment report Lenvima International non-proprietary name: lenvatinib Procedure No. EMEA</w:t>
      </w:r>
      <w:r w:rsidRPr="00753CF2">
        <w:t>/</w:t>
      </w:r>
      <w:r w:rsidRPr="0035315E">
        <w:rPr>
          <w:lang w:val="en-US"/>
        </w:rPr>
        <w:t>H</w:t>
      </w:r>
      <w:r w:rsidRPr="00753CF2">
        <w:t>/</w:t>
      </w:r>
      <w:r w:rsidRPr="0035315E">
        <w:rPr>
          <w:lang w:val="en-US"/>
        </w:rPr>
        <w:t>C</w:t>
      </w:r>
      <w:r w:rsidRPr="00753CF2">
        <w:t xml:space="preserve">/003727/0000.26 </w:t>
      </w:r>
      <w:r w:rsidRPr="0035315E">
        <w:rPr>
          <w:lang w:val="en-US"/>
        </w:rPr>
        <w:t>March</w:t>
      </w:r>
      <w:r w:rsidRPr="00753CF2">
        <w:t xml:space="preserve"> 2015. </w:t>
      </w:r>
    </w:p>
    <w:p w14:paraId="71595CD2" w14:textId="77777777" w:rsidR="00200EBA" w:rsidRPr="0035315E" w:rsidRDefault="00200EBA" w:rsidP="008356A7">
      <w:pPr>
        <w:pStyle w:val="afff2"/>
        <w:tabs>
          <w:tab w:val="clear" w:pos="504"/>
        </w:tabs>
        <w:spacing w:after="0"/>
        <w:ind w:left="709" w:hanging="425"/>
        <w:rPr>
          <w:lang w:val="en-US"/>
        </w:rPr>
      </w:pPr>
      <w:r w:rsidRPr="00753CF2">
        <w:t xml:space="preserve">4. </w:t>
      </w:r>
      <w:r w:rsidRPr="00753CF2">
        <w:tab/>
      </w:r>
      <w:r w:rsidRPr="0035315E">
        <w:t>Министерство</w:t>
      </w:r>
      <w:r w:rsidRPr="00753CF2">
        <w:t xml:space="preserve"> </w:t>
      </w:r>
      <w:r w:rsidRPr="0035315E">
        <w:t>здравоохранения</w:t>
      </w:r>
      <w:r w:rsidRPr="00753CF2">
        <w:t xml:space="preserve"> </w:t>
      </w:r>
      <w:r w:rsidRPr="0035315E">
        <w:t>Российской</w:t>
      </w:r>
      <w:r w:rsidRPr="00753CF2">
        <w:t xml:space="preserve"> </w:t>
      </w:r>
      <w:r w:rsidRPr="0035315E">
        <w:t>Федерации</w:t>
      </w:r>
      <w:r w:rsidRPr="00753CF2">
        <w:t xml:space="preserve">. </w:t>
      </w:r>
      <w:r w:rsidRPr="0035315E">
        <w:t>Инструкция</w:t>
      </w:r>
      <w:r w:rsidRPr="00753CF2">
        <w:t xml:space="preserve"> </w:t>
      </w:r>
      <w:r w:rsidRPr="0035315E">
        <w:t>по</w:t>
      </w:r>
      <w:r w:rsidRPr="00753CF2">
        <w:t xml:space="preserve"> </w:t>
      </w:r>
      <w:r w:rsidRPr="0035315E">
        <w:t>медицинскому</w:t>
      </w:r>
      <w:r w:rsidRPr="00753CF2">
        <w:t xml:space="preserve"> </w:t>
      </w:r>
      <w:r w:rsidRPr="0035315E">
        <w:t>применению</w:t>
      </w:r>
      <w:r w:rsidRPr="00753CF2">
        <w:t xml:space="preserve">  </w:t>
      </w:r>
      <w:r w:rsidRPr="0035315E">
        <w:t>для</w:t>
      </w:r>
      <w:r w:rsidRPr="00753CF2">
        <w:t xml:space="preserve"> </w:t>
      </w:r>
      <w:r w:rsidRPr="0035315E">
        <w:t>препарата</w:t>
      </w:r>
      <w:r w:rsidRPr="00753CF2">
        <w:t xml:space="preserve"> </w:t>
      </w:r>
      <w:r w:rsidRPr="0035315E">
        <w:t>Ленвима</w:t>
      </w:r>
      <w:r w:rsidRPr="00753CF2">
        <w:t xml:space="preserve">®. </w:t>
      </w:r>
      <w:r w:rsidRPr="0035315E">
        <w:t>Версия</w:t>
      </w:r>
      <w:r w:rsidRPr="00753CF2">
        <w:t xml:space="preserve"> </w:t>
      </w:r>
      <w:r w:rsidRPr="0035315E">
        <w:t>от</w:t>
      </w:r>
      <w:r w:rsidRPr="00753CF2">
        <w:t xml:space="preserve"> 29.03.2022. </w:t>
      </w:r>
      <w:r w:rsidRPr="0035315E">
        <w:t>Регистрационное</w:t>
      </w:r>
      <w:r w:rsidRPr="00753CF2">
        <w:t xml:space="preserve"> </w:t>
      </w:r>
      <w:r w:rsidRPr="0035315E">
        <w:t>удостоверение</w:t>
      </w:r>
      <w:r w:rsidRPr="00753CF2">
        <w:t xml:space="preserve"> </w:t>
      </w:r>
      <w:r w:rsidRPr="0035315E">
        <w:t>ЛП</w:t>
      </w:r>
      <w:r w:rsidRPr="00753CF2">
        <w:t xml:space="preserve">-003398 </w:t>
      </w:r>
      <w:r w:rsidRPr="0035315E">
        <w:t>от</w:t>
      </w:r>
      <w:r w:rsidRPr="00753CF2">
        <w:t xml:space="preserve"> 29.12.2015.  </w:t>
      </w:r>
      <w:r w:rsidRPr="0035315E">
        <w:t>Эйсай</w:t>
      </w:r>
      <w:r w:rsidRPr="00753CF2">
        <w:t xml:space="preserve"> </w:t>
      </w:r>
      <w:r w:rsidRPr="0035315E">
        <w:t>Юроп</w:t>
      </w:r>
      <w:r w:rsidRPr="00753CF2">
        <w:t xml:space="preserve"> </w:t>
      </w:r>
      <w:r w:rsidRPr="0035315E">
        <w:t>Лимитед</w:t>
      </w:r>
      <w:r w:rsidRPr="00753CF2">
        <w:t xml:space="preserve">. </w:t>
      </w:r>
      <w:r w:rsidRPr="0035315E">
        <w:t>Соединенное</w:t>
      </w:r>
      <w:r w:rsidRPr="0035315E">
        <w:rPr>
          <w:lang w:val="en-US"/>
        </w:rPr>
        <w:t xml:space="preserve"> </w:t>
      </w:r>
      <w:r w:rsidRPr="0035315E">
        <w:t>Королевство</w:t>
      </w:r>
      <w:r w:rsidRPr="0035315E">
        <w:rPr>
          <w:lang w:val="en-US"/>
        </w:rPr>
        <w:t xml:space="preserve">. </w:t>
      </w:r>
    </w:p>
    <w:p w14:paraId="0C4ADA01" w14:textId="77777777" w:rsidR="00200EBA" w:rsidRPr="0035315E" w:rsidRDefault="00200EBA" w:rsidP="008356A7">
      <w:pPr>
        <w:pStyle w:val="afff2"/>
        <w:tabs>
          <w:tab w:val="clear" w:pos="504"/>
        </w:tabs>
        <w:spacing w:after="0"/>
        <w:ind w:left="709" w:hanging="425"/>
        <w:rPr>
          <w:lang w:val="en-US"/>
        </w:rPr>
      </w:pPr>
      <w:r w:rsidRPr="0035315E">
        <w:rPr>
          <w:lang w:val="en-US"/>
        </w:rPr>
        <w:t xml:space="preserve">5. </w:t>
      </w:r>
      <w:r w:rsidRPr="0035315E">
        <w:rPr>
          <w:lang w:val="en-US"/>
        </w:rPr>
        <w:tab/>
        <w:t xml:space="preserve">U.S. Food and Drug Administration. Drug Approval Package.LENVIMA (lenvatinib) Capsules Company:  Eisai, Inc. MEDICAL REVIEW(S) .Application No.:  206947 Approval Date: 2/13/2015. </w:t>
      </w:r>
    </w:p>
    <w:p w14:paraId="2E9A19A1" w14:textId="77777777" w:rsidR="00200EBA" w:rsidRPr="00753CF2" w:rsidRDefault="00200EBA" w:rsidP="008356A7">
      <w:pPr>
        <w:pStyle w:val="afff2"/>
        <w:tabs>
          <w:tab w:val="clear" w:pos="504"/>
        </w:tabs>
        <w:spacing w:after="0"/>
        <w:ind w:left="709" w:hanging="425"/>
      </w:pPr>
      <w:r w:rsidRPr="0035315E">
        <w:rPr>
          <w:lang w:val="en-US"/>
        </w:rPr>
        <w:t xml:space="preserve">6. </w:t>
      </w:r>
      <w:r w:rsidRPr="0035315E">
        <w:rPr>
          <w:lang w:val="en-US"/>
        </w:rPr>
        <w:tab/>
        <w:t>A Pharmacokinetic Study to Assess the Influence of Simultaneous CYP3A4 and P-glycoprotein Inhibition on E7080 Pharmacokinetics Following Single Dose Oral Administration of 5 mg E7080 to Healthy Volunteers - Full Text View - ClinicalTrials.gov [</w:t>
      </w:r>
      <w:r w:rsidRPr="0035315E">
        <w:t>Интернет</w:t>
      </w:r>
      <w:r w:rsidRPr="0035315E">
        <w:rPr>
          <w:lang w:val="en-US"/>
        </w:rPr>
        <w:t xml:space="preserve">]. </w:t>
      </w:r>
      <w:r w:rsidRPr="00753CF2">
        <w:t>[</w:t>
      </w:r>
      <w:r w:rsidRPr="0035315E">
        <w:t>цитируется</w:t>
      </w:r>
      <w:r w:rsidRPr="00753CF2">
        <w:t xml:space="preserve"> </w:t>
      </w:r>
      <w:r w:rsidRPr="0035315E">
        <w:t>по</w:t>
      </w:r>
      <w:r w:rsidRPr="00753CF2">
        <w:t xml:space="preserve"> 30 </w:t>
      </w:r>
      <w:r w:rsidRPr="0035315E">
        <w:t>октябрь</w:t>
      </w:r>
      <w:r w:rsidRPr="00753CF2">
        <w:t xml:space="preserve"> 2022 </w:t>
      </w:r>
      <w:r w:rsidRPr="0035315E">
        <w:t>г</w:t>
      </w:r>
      <w:r w:rsidRPr="00753CF2">
        <w:t xml:space="preserve">.]. </w:t>
      </w:r>
      <w:r w:rsidRPr="0035315E">
        <w:t>Доступно</w:t>
      </w:r>
      <w:r w:rsidRPr="00753CF2">
        <w:t xml:space="preserve"> </w:t>
      </w:r>
      <w:r w:rsidRPr="0035315E">
        <w:t>на</w:t>
      </w:r>
      <w:r w:rsidRPr="00753CF2">
        <w:t xml:space="preserve">: </w:t>
      </w:r>
      <w:r w:rsidRPr="0035315E">
        <w:rPr>
          <w:lang w:val="en-US"/>
        </w:rPr>
        <w:t>https</w:t>
      </w:r>
      <w:r w:rsidRPr="00753CF2">
        <w:t>://</w:t>
      </w:r>
      <w:r w:rsidRPr="0035315E">
        <w:rPr>
          <w:lang w:val="en-US"/>
        </w:rPr>
        <w:t>clinicaltrials</w:t>
      </w:r>
      <w:r w:rsidRPr="00753CF2">
        <w:t>.</w:t>
      </w:r>
      <w:r w:rsidRPr="0035315E">
        <w:rPr>
          <w:lang w:val="en-US"/>
        </w:rPr>
        <w:t>gov</w:t>
      </w:r>
      <w:r w:rsidRPr="00753CF2">
        <w:t>/</w:t>
      </w:r>
      <w:r w:rsidRPr="0035315E">
        <w:rPr>
          <w:lang w:val="en-US"/>
        </w:rPr>
        <w:t>ct</w:t>
      </w:r>
      <w:r w:rsidRPr="00753CF2">
        <w:t>2/</w:t>
      </w:r>
      <w:r w:rsidRPr="0035315E">
        <w:rPr>
          <w:lang w:val="en-US"/>
        </w:rPr>
        <w:t>show</w:t>
      </w:r>
      <w:r w:rsidRPr="00753CF2">
        <w:t>/</w:t>
      </w:r>
      <w:r w:rsidRPr="0035315E">
        <w:rPr>
          <w:lang w:val="en-US"/>
        </w:rPr>
        <w:t>NCT</w:t>
      </w:r>
      <w:r w:rsidRPr="00753CF2">
        <w:t>02198170</w:t>
      </w:r>
    </w:p>
    <w:p w14:paraId="68D5F0FB" w14:textId="0D829D77" w:rsidR="00200EBA" w:rsidRPr="0035315E" w:rsidRDefault="00200EBA" w:rsidP="008356A7">
      <w:pPr>
        <w:pStyle w:val="afff2"/>
        <w:tabs>
          <w:tab w:val="clear" w:pos="504"/>
        </w:tabs>
        <w:spacing w:after="0"/>
        <w:ind w:left="709" w:hanging="425"/>
        <w:rPr>
          <w:lang w:val="en-US"/>
        </w:rPr>
      </w:pPr>
      <w:r w:rsidRPr="0035315E">
        <w:rPr>
          <w:lang w:val="en-US"/>
        </w:rPr>
        <w:t xml:space="preserve">7. </w:t>
      </w:r>
      <w:r w:rsidRPr="0035315E">
        <w:rPr>
          <w:lang w:val="en-US"/>
        </w:rPr>
        <w:tab/>
        <w:t xml:space="preserve">Malumbres M, Barbacid M. Cell cycle kinases in cancer. Curr Opin Genet Dev. </w:t>
      </w:r>
      <w:r w:rsidR="00925501">
        <w:rPr>
          <w:lang w:val="en-US"/>
        </w:rPr>
        <w:t>Feb</w:t>
      </w:r>
      <w:r w:rsidR="00925501" w:rsidRPr="0035315E">
        <w:rPr>
          <w:lang w:val="en-US"/>
        </w:rPr>
        <w:t xml:space="preserve"> </w:t>
      </w:r>
      <w:r w:rsidRPr="0035315E">
        <w:rPr>
          <w:lang w:val="en-US"/>
        </w:rPr>
        <w:t>2007;</w:t>
      </w:r>
      <w:r w:rsidR="00925501">
        <w:rPr>
          <w:lang w:val="en-US"/>
        </w:rPr>
        <w:t xml:space="preserve"> </w:t>
      </w:r>
      <w:r w:rsidRPr="0035315E">
        <w:rPr>
          <w:lang w:val="en-US"/>
        </w:rPr>
        <w:t xml:space="preserve">17(1):60–5. </w:t>
      </w:r>
    </w:p>
    <w:p w14:paraId="728AAF90" w14:textId="3E63749E" w:rsidR="00200EBA" w:rsidRPr="0035315E" w:rsidRDefault="00200EBA" w:rsidP="008356A7">
      <w:pPr>
        <w:pStyle w:val="afff2"/>
        <w:tabs>
          <w:tab w:val="clear" w:pos="504"/>
        </w:tabs>
        <w:spacing w:after="0"/>
        <w:ind w:left="709" w:hanging="425"/>
        <w:rPr>
          <w:lang w:val="en-US"/>
        </w:rPr>
      </w:pPr>
      <w:r w:rsidRPr="0035315E">
        <w:rPr>
          <w:lang w:val="en-US"/>
        </w:rPr>
        <w:t xml:space="preserve">8. </w:t>
      </w:r>
      <w:r w:rsidRPr="0035315E">
        <w:rPr>
          <w:lang w:val="en-US"/>
        </w:rPr>
        <w:tab/>
        <w:t xml:space="preserve">Mansour SJ, Matten WT, Hermann AS, Candia JM, Rong S, Fukasawa K, </w:t>
      </w:r>
      <w:r w:rsidRPr="0035315E">
        <w:t>и</w:t>
      </w:r>
      <w:r w:rsidRPr="0035315E">
        <w:rPr>
          <w:lang w:val="en-US"/>
        </w:rPr>
        <w:t xml:space="preserve"> </w:t>
      </w:r>
      <w:r w:rsidRPr="0035315E">
        <w:t>др</w:t>
      </w:r>
      <w:r w:rsidRPr="0035315E">
        <w:rPr>
          <w:lang w:val="en-US"/>
        </w:rPr>
        <w:t xml:space="preserve">. Transformation of mammalian cells by constitutively active MAP kinase kinase. Science. </w:t>
      </w:r>
      <w:r w:rsidR="00925501">
        <w:rPr>
          <w:lang w:val="en-US"/>
        </w:rPr>
        <w:t>Aug</w:t>
      </w:r>
      <w:r w:rsidRPr="0035315E">
        <w:rPr>
          <w:lang w:val="en-US"/>
        </w:rPr>
        <w:t xml:space="preserve"> 1994;</w:t>
      </w:r>
      <w:r w:rsidR="00925501">
        <w:rPr>
          <w:lang w:val="en-US"/>
        </w:rPr>
        <w:t xml:space="preserve"> </w:t>
      </w:r>
      <w:r w:rsidRPr="0035315E">
        <w:rPr>
          <w:lang w:val="en-US"/>
        </w:rPr>
        <w:t xml:space="preserve">265(5174):966–70. </w:t>
      </w:r>
    </w:p>
    <w:p w14:paraId="4D7E141C" w14:textId="15074D60" w:rsidR="00200EBA" w:rsidRPr="0035315E" w:rsidRDefault="00200EBA" w:rsidP="008356A7">
      <w:pPr>
        <w:pStyle w:val="afff2"/>
        <w:tabs>
          <w:tab w:val="clear" w:pos="504"/>
        </w:tabs>
        <w:spacing w:after="0"/>
        <w:ind w:left="709" w:hanging="425"/>
        <w:rPr>
          <w:lang w:val="en-US"/>
        </w:rPr>
      </w:pPr>
      <w:r w:rsidRPr="0035315E">
        <w:rPr>
          <w:lang w:val="en-US"/>
        </w:rPr>
        <w:lastRenderedPageBreak/>
        <w:t xml:space="preserve">9. </w:t>
      </w:r>
      <w:r w:rsidRPr="0035315E">
        <w:rPr>
          <w:lang w:val="en-US"/>
        </w:rPr>
        <w:tab/>
        <w:t xml:space="preserve">Cohen P. The regulation of protein function by multisite phosphorylation--a 25 year update. Trends Biochem Sci. </w:t>
      </w:r>
      <w:r w:rsidR="00925501">
        <w:rPr>
          <w:lang w:val="en-US"/>
        </w:rPr>
        <w:t>Dec</w:t>
      </w:r>
      <w:r w:rsidR="00925501" w:rsidRPr="0035315E">
        <w:rPr>
          <w:lang w:val="en-US"/>
        </w:rPr>
        <w:t xml:space="preserve"> </w:t>
      </w:r>
      <w:r w:rsidRPr="0035315E">
        <w:rPr>
          <w:lang w:val="en-US"/>
        </w:rPr>
        <w:t>2000;</w:t>
      </w:r>
      <w:r w:rsidR="00925501">
        <w:rPr>
          <w:lang w:val="en-US"/>
        </w:rPr>
        <w:t xml:space="preserve"> </w:t>
      </w:r>
      <w:r w:rsidRPr="0035315E">
        <w:rPr>
          <w:lang w:val="en-US"/>
        </w:rPr>
        <w:t xml:space="preserve">25(12):596–601. </w:t>
      </w:r>
    </w:p>
    <w:p w14:paraId="78D6461E" w14:textId="47C74F96" w:rsidR="00200EBA" w:rsidRPr="0035315E" w:rsidRDefault="00200EBA" w:rsidP="008356A7">
      <w:pPr>
        <w:pStyle w:val="afff2"/>
        <w:tabs>
          <w:tab w:val="clear" w:pos="504"/>
        </w:tabs>
        <w:spacing w:after="0"/>
        <w:ind w:left="709" w:hanging="425"/>
        <w:rPr>
          <w:lang w:val="en-US"/>
        </w:rPr>
      </w:pPr>
      <w:r w:rsidRPr="0035315E">
        <w:rPr>
          <w:lang w:val="en-US"/>
        </w:rPr>
        <w:t xml:space="preserve">10. </w:t>
      </w:r>
      <w:r w:rsidRPr="0035315E">
        <w:rPr>
          <w:lang w:val="en-US"/>
        </w:rPr>
        <w:tab/>
        <w:t>Tarrant MK, Cole PA. The chemical biology of protein phosphorylation. Annu Rev Biochem. 2009;</w:t>
      </w:r>
      <w:r w:rsidR="00925501">
        <w:rPr>
          <w:lang w:val="en-US"/>
        </w:rPr>
        <w:t xml:space="preserve"> </w:t>
      </w:r>
      <w:r w:rsidRPr="0035315E">
        <w:rPr>
          <w:lang w:val="en-US"/>
        </w:rPr>
        <w:t xml:space="preserve">78:797–825. </w:t>
      </w:r>
    </w:p>
    <w:p w14:paraId="4F4CE5D5" w14:textId="59CE7E9A" w:rsidR="00200EBA" w:rsidRPr="0035315E" w:rsidRDefault="00200EBA" w:rsidP="008356A7">
      <w:pPr>
        <w:pStyle w:val="afff2"/>
        <w:tabs>
          <w:tab w:val="clear" w:pos="504"/>
        </w:tabs>
        <w:spacing w:after="0"/>
        <w:ind w:left="709" w:hanging="425"/>
        <w:rPr>
          <w:lang w:val="en-US"/>
        </w:rPr>
      </w:pPr>
      <w:r w:rsidRPr="0035315E">
        <w:rPr>
          <w:lang w:val="en-US"/>
        </w:rPr>
        <w:t xml:space="preserve">11. </w:t>
      </w:r>
      <w:r w:rsidRPr="0035315E">
        <w:rPr>
          <w:lang w:val="en-US"/>
        </w:rPr>
        <w:tab/>
        <w:t xml:space="preserve">Matsui J, Yamamoto Y, Funahashi Y, Tsuruoka A, Watanabe T, Wakabayashi T, </w:t>
      </w:r>
      <w:r w:rsidRPr="0035315E">
        <w:t>и</w:t>
      </w:r>
      <w:r w:rsidRPr="0035315E">
        <w:rPr>
          <w:lang w:val="en-US"/>
        </w:rPr>
        <w:t xml:space="preserve"> </w:t>
      </w:r>
      <w:r w:rsidRPr="0035315E">
        <w:t>др</w:t>
      </w:r>
      <w:r w:rsidRPr="0035315E">
        <w:rPr>
          <w:lang w:val="en-US"/>
        </w:rPr>
        <w:t xml:space="preserve">. E7080, a novel inhibitor that targets multiple kinases, has potent antitumor activities against stem cell factor producing human small cell lung cancer H146, based on angiogenesis inhibition. Int J Cancer. </w:t>
      </w:r>
      <w:r w:rsidR="00925501">
        <w:rPr>
          <w:lang w:val="en-US"/>
        </w:rPr>
        <w:t>Feb</w:t>
      </w:r>
      <w:r w:rsidRPr="0035315E">
        <w:rPr>
          <w:lang w:val="en-US"/>
        </w:rPr>
        <w:t xml:space="preserve"> 2008;</w:t>
      </w:r>
      <w:r w:rsidR="00925501">
        <w:rPr>
          <w:lang w:val="en-US"/>
        </w:rPr>
        <w:t xml:space="preserve"> </w:t>
      </w:r>
      <w:r w:rsidRPr="0035315E">
        <w:rPr>
          <w:lang w:val="en-US"/>
        </w:rPr>
        <w:t xml:space="preserve">122(3):664–71. </w:t>
      </w:r>
    </w:p>
    <w:p w14:paraId="5419FCD0" w14:textId="7C0D28BD" w:rsidR="00200EBA" w:rsidRPr="0035315E" w:rsidRDefault="00200EBA" w:rsidP="008356A7">
      <w:pPr>
        <w:pStyle w:val="afff2"/>
        <w:tabs>
          <w:tab w:val="clear" w:pos="504"/>
        </w:tabs>
        <w:spacing w:after="0"/>
        <w:ind w:left="709" w:hanging="425"/>
        <w:rPr>
          <w:lang w:val="en-US"/>
        </w:rPr>
      </w:pPr>
      <w:r w:rsidRPr="0035315E">
        <w:rPr>
          <w:lang w:val="en-US"/>
        </w:rPr>
        <w:t xml:space="preserve">12. </w:t>
      </w:r>
      <w:r w:rsidRPr="0035315E">
        <w:rPr>
          <w:lang w:val="en-US"/>
        </w:rPr>
        <w:tab/>
        <w:t xml:space="preserve">Matsui J, Funahashi Y, Uenaka T, Watanabe T, Tsuruoka A, Asada M. Multi-kinase inhibitor E7080 suppresses lymph node and lung metastases of human mammary breast tumor MDA-MB-231 via inhibition of vascular endothelial growth factor-receptor (VEGF-R) 2 and VEGF-R3 kinase. Clin Cancer Res. </w:t>
      </w:r>
      <w:r w:rsidR="00925501">
        <w:rPr>
          <w:lang w:val="en-US"/>
        </w:rPr>
        <w:t>Sept</w:t>
      </w:r>
      <w:r w:rsidRPr="0035315E">
        <w:rPr>
          <w:lang w:val="en-US"/>
        </w:rPr>
        <w:t xml:space="preserve"> 2008;</w:t>
      </w:r>
      <w:r w:rsidR="00925501">
        <w:rPr>
          <w:lang w:val="en-US"/>
        </w:rPr>
        <w:t xml:space="preserve"> </w:t>
      </w:r>
      <w:r w:rsidRPr="0035315E">
        <w:rPr>
          <w:lang w:val="en-US"/>
        </w:rPr>
        <w:t xml:space="preserve">14(17):5459–65. </w:t>
      </w:r>
    </w:p>
    <w:p w14:paraId="040488A4" w14:textId="7E0DA336" w:rsidR="00200EBA" w:rsidRPr="0035315E" w:rsidRDefault="00200EBA" w:rsidP="008356A7">
      <w:pPr>
        <w:pStyle w:val="afff2"/>
        <w:tabs>
          <w:tab w:val="clear" w:pos="504"/>
        </w:tabs>
        <w:spacing w:after="0"/>
        <w:ind w:left="709" w:hanging="425"/>
        <w:rPr>
          <w:lang w:val="en-US"/>
        </w:rPr>
      </w:pPr>
      <w:r w:rsidRPr="0035315E">
        <w:rPr>
          <w:lang w:val="en-US"/>
        </w:rPr>
        <w:t xml:space="preserve">13. </w:t>
      </w:r>
      <w:r w:rsidRPr="0035315E">
        <w:rPr>
          <w:lang w:val="en-US"/>
        </w:rPr>
        <w:tab/>
        <w:t xml:space="preserve">Hussein Z, Mizuo H, Hayato S, Namiki M, Shumaker R. Clinical Pharmacokinetic and Pharmacodynamic Profile of Lenvatinib, an Orally Active, Small-Molecule, Multitargeted Tyrosine Kinase Inhibitor. Eur J Drug Metab Pharmacokinet. </w:t>
      </w:r>
      <w:r w:rsidR="00925501">
        <w:rPr>
          <w:lang w:val="en-US"/>
        </w:rPr>
        <w:t>Dec</w:t>
      </w:r>
      <w:r w:rsidRPr="0035315E">
        <w:rPr>
          <w:lang w:val="en-US"/>
        </w:rPr>
        <w:t xml:space="preserve"> 2017 ;</w:t>
      </w:r>
      <w:r w:rsidR="00925501">
        <w:rPr>
          <w:lang w:val="en-US"/>
        </w:rPr>
        <w:t xml:space="preserve"> </w:t>
      </w:r>
      <w:r w:rsidRPr="0035315E">
        <w:rPr>
          <w:lang w:val="en-US"/>
        </w:rPr>
        <w:t xml:space="preserve">42(6):903–14. </w:t>
      </w:r>
    </w:p>
    <w:p w14:paraId="3CFA9D39" w14:textId="4764DC20" w:rsidR="00200EBA" w:rsidRPr="0035315E" w:rsidRDefault="00200EBA" w:rsidP="008356A7">
      <w:pPr>
        <w:pStyle w:val="afff2"/>
        <w:tabs>
          <w:tab w:val="clear" w:pos="504"/>
        </w:tabs>
        <w:spacing w:after="0"/>
        <w:ind w:left="709" w:hanging="425"/>
        <w:rPr>
          <w:lang w:val="en-US"/>
        </w:rPr>
      </w:pPr>
      <w:r w:rsidRPr="0035315E">
        <w:rPr>
          <w:lang w:val="en-US"/>
        </w:rPr>
        <w:t xml:space="preserve">14. </w:t>
      </w:r>
      <w:r w:rsidRPr="0035315E">
        <w:rPr>
          <w:lang w:val="en-US"/>
        </w:rPr>
        <w:tab/>
        <w:t xml:space="preserve">Nishio M, Horai T, Horiike A, Nokihara H, Yamamoto N, Takahashi T, </w:t>
      </w:r>
      <w:r w:rsidRPr="0035315E">
        <w:t>и</w:t>
      </w:r>
      <w:r w:rsidRPr="0035315E">
        <w:rPr>
          <w:lang w:val="en-US"/>
        </w:rPr>
        <w:t xml:space="preserve"> </w:t>
      </w:r>
      <w:r w:rsidRPr="0035315E">
        <w:t>др</w:t>
      </w:r>
      <w:r w:rsidRPr="0035315E">
        <w:rPr>
          <w:lang w:val="en-US"/>
        </w:rPr>
        <w:t xml:space="preserve">. Phase 1 study of lenvatinib combined with carboplatin and paclitaxel in patients with non-small-cell lung cancer. Br J Cancer. </w:t>
      </w:r>
      <w:r w:rsidR="00925501">
        <w:rPr>
          <w:lang w:val="en-US"/>
        </w:rPr>
        <w:t>Aug</w:t>
      </w:r>
      <w:r w:rsidRPr="0035315E">
        <w:rPr>
          <w:lang w:val="en-US"/>
        </w:rPr>
        <w:t xml:space="preserve"> 2013;</w:t>
      </w:r>
      <w:r w:rsidR="00925501">
        <w:rPr>
          <w:lang w:val="en-US"/>
        </w:rPr>
        <w:t xml:space="preserve"> </w:t>
      </w:r>
      <w:r w:rsidRPr="0035315E">
        <w:rPr>
          <w:lang w:val="en-US"/>
        </w:rPr>
        <w:t xml:space="preserve">109(3):538–44. </w:t>
      </w:r>
    </w:p>
    <w:p w14:paraId="756E5C89" w14:textId="6FF1A328" w:rsidR="00200EBA" w:rsidRPr="0035315E" w:rsidRDefault="00200EBA" w:rsidP="008356A7">
      <w:pPr>
        <w:pStyle w:val="afff2"/>
        <w:tabs>
          <w:tab w:val="clear" w:pos="504"/>
        </w:tabs>
        <w:spacing w:after="0"/>
        <w:ind w:left="709" w:hanging="425"/>
        <w:rPr>
          <w:lang w:val="en-US"/>
        </w:rPr>
      </w:pPr>
      <w:r w:rsidRPr="0035315E">
        <w:rPr>
          <w:lang w:val="en-US"/>
        </w:rPr>
        <w:t xml:space="preserve">15. </w:t>
      </w:r>
      <w:r w:rsidRPr="0035315E">
        <w:rPr>
          <w:lang w:val="en-US"/>
        </w:rPr>
        <w:tab/>
        <w:t xml:space="preserve">Koyama N, Saito K, Nishioka Y, Yusa W, Yamamoto N, Yamada Y, </w:t>
      </w:r>
      <w:r w:rsidRPr="0035315E">
        <w:t>и</w:t>
      </w:r>
      <w:r w:rsidRPr="0035315E">
        <w:rPr>
          <w:lang w:val="en-US"/>
        </w:rPr>
        <w:t xml:space="preserve"> </w:t>
      </w:r>
      <w:r w:rsidRPr="0035315E">
        <w:t>др</w:t>
      </w:r>
      <w:r w:rsidRPr="0035315E">
        <w:rPr>
          <w:lang w:val="en-US"/>
        </w:rPr>
        <w:t xml:space="preserve">. Pharmacodynamic change in plasma angiogenic proteins: a dose-escalation phase 1 study of the multi-kinase inhibitor lenvatinib. BMC Cancer. </w:t>
      </w:r>
      <w:r w:rsidR="00925501">
        <w:rPr>
          <w:lang w:val="en-US"/>
        </w:rPr>
        <w:t>Jul</w:t>
      </w:r>
      <w:r w:rsidRPr="0035315E">
        <w:rPr>
          <w:lang w:val="en-US"/>
        </w:rPr>
        <w:t xml:space="preserve"> 2014;</w:t>
      </w:r>
      <w:r w:rsidR="00925501">
        <w:rPr>
          <w:lang w:val="en-US"/>
        </w:rPr>
        <w:t xml:space="preserve"> </w:t>
      </w:r>
      <w:r w:rsidRPr="0035315E">
        <w:rPr>
          <w:lang w:val="en-US"/>
        </w:rPr>
        <w:t xml:space="preserve">14:530. </w:t>
      </w:r>
    </w:p>
    <w:p w14:paraId="25E0E2E4" w14:textId="3E275743" w:rsidR="00200EBA" w:rsidRPr="0035315E" w:rsidRDefault="00200EBA" w:rsidP="008356A7">
      <w:pPr>
        <w:pStyle w:val="afff2"/>
        <w:tabs>
          <w:tab w:val="clear" w:pos="504"/>
        </w:tabs>
        <w:spacing w:after="0"/>
        <w:ind w:left="709" w:hanging="425"/>
        <w:rPr>
          <w:lang w:val="en-US"/>
        </w:rPr>
      </w:pPr>
      <w:r w:rsidRPr="0035315E">
        <w:rPr>
          <w:lang w:val="en-US"/>
        </w:rPr>
        <w:t xml:space="preserve">16. </w:t>
      </w:r>
      <w:r w:rsidRPr="0035315E">
        <w:rPr>
          <w:lang w:val="en-US"/>
        </w:rPr>
        <w:tab/>
        <w:t xml:space="preserve">Hong DS, Kurzrock R, Wheler JJ, Naing A, Falchook GS, Fu S, </w:t>
      </w:r>
      <w:r w:rsidRPr="0035315E">
        <w:t>и</w:t>
      </w:r>
      <w:r w:rsidRPr="0035315E">
        <w:rPr>
          <w:lang w:val="en-US"/>
        </w:rPr>
        <w:t xml:space="preserve"> </w:t>
      </w:r>
      <w:r w:rsidRPr="0035315E">
        <w:t>др</w:t>
      </w:r>
      <w:r w:rsidRPr="0035315E">
        <w:rPr>
          <w:lang w:val="en-US"/>
        </w:rPr>
        <w:t xml:space="preserve">. Phase I Dose-Escalation Study of the Multikinase Inhibitor Lenvatinib in Patients with Advanced Solid Tumors and in an Expanded Cohort of Patients with Melanoma. Clin Cancer Res. </w:t>
      </w:r>
      <w:r w:rsidR="00925501">
        <w:rPr>
          <w:lang w:val="en-US"/>
        </w:rPr>
        <w:t>Nov</w:t>
      </w:r>
      <w:r w:rsidRPr="0035315E">
        <w:rPr>
          <w:lang w:val="en-US"/>
        </w:rPr>
        <w:t xml:space="preserve"> 2015;</w:t>
      </w:r>
      <w:r w:rsidR="00925501">
        <w:rPr>
          <w:lang w:val="en-US"/>
        </w:rPr>
        <w:t xml:space="preserve"> </w:t>
      </w:r>
      <w:r w:rsidRPr="0035315E">
        <w:rPr>
          <w:lang w:val="en-US"/>
        </w:rPr>
        <w:t xml:space="preserve">21(21):4801–10. </w:t>
      </w:r>
    </w:p>
    <w:p w14:paraId="3F6D06B1" w14:textId="1139847E" w:rsidR="00200EBA" w:rsidRPr="0035315E" w:rsidRDefault="00200EBA" w:rsidP="008356A7">
      <w:pPr>
        <w:pStyle w:val="afff2"/>
        <w:tabs>
          <w:tab w:val="clear" w:pos="504"/>
        </w:tabs>
        <w:spacing w:after="0"/>
        <w:ind w:left="709" w:hanging="425"/>
        <w:rPr>
          <w:lang w:val="en-US"/>
        </w:rPr>
      </w:pPr>
      <w:r w:rsidRPr="0035315E">
        <w:rPr>
          <w:lang w:val="en-US"/>
        </w:rPr>
        <w:t xml:space="preserve">17. </w:t>
      </w:r>
      <w:r w:rsidRPr="0035315E">
        <w:rPr>
          <w:lang w:val="en-US"/>
        </w:rPr>
        <w:tab/>
        <w:t xml:space="preserve">Bendtsen MAF, Grimm D, Bauer J, Wehland M, Wise P, Magnusson NE, </w:t>
      </w:r>
      <w:r w:rsidRPr="0035315E">
        <w:t>и</w:t>
      </w:r>
      <w:r w:rsidRPr="0035315E">
        <w:rPr>
          <w:lang w:val="en-US"/>
        </w:rPr>
        <w:t xml:space="preserve"> </w:t>
      </w:r>
      <w:r w:rsidRPr="0035315E">
        <w:t>др</w:t>
      </w:r>
      <w:r w:rsidRPr="0035315E">
        <w:rPr>
          <w:lang w:val="en-US"/>
        </w:rPr>
        <w:t xml:space="preserve">. Hypertension Caused by Lenvatinib and Everolimus in the Treatment of Metastatic Renal Cell Carcinoma. Int J Mol Sci. </w:t>
      </w:r>
      <w:r w:rsidR="00925501">
        <w:rPr>
          <w:lang w:val="en-US"/>
        </w:rPr>
        <w:t>Aug</w:t>
      </w:r>
      <w:r w:rsidRPr="0035315E">
        <w:rPr>
          <w:lang w:val="en-US"/>
        </w:rPr>
        <w:t xml:space="preserve"> 2017;</w:t>
      </w:r>
      <w:r w:rsidR="00925501">
        <w:rPr>
          <w:lang w:val="en-US"/>
        </w:rPr>
        <w:t xml:space="preserve"> </w:t>
      </w:r>
      <w:r w:rsidRPr="0035315E">
        <w:rPr>
          <w:lang w:val="en-US"/>
        </w:rPr>
        <w:t xml:space="preserve">18(8):E1736. </w:t>
      </w:r>
    </w:p>
    <w:p w14:paraId="54A6812D" w14:textId="698716EB" w:rsidR="00200EBA" w:rsidRPr="0035315E" w:rsidRDefault="00200EBA" w:rsidP="008356A7">
      <w:pPr>
        <w:pStyle w:val="afff2"/>
        <w:tabs>
          <w:tab w:val="clear" w:pos="504"/>
        </w:tabs>
        <w:spacing w:after="0"/>
        <w:ind w:left="709" w:hanging="425"/>
        <w:rPr>
          <w:lang w:val="en-US"/>
        </w:rPr>
      </w:pPr>
      <w:r w:rsidRPr="0035315E">
        <w:rPr>
          <w:lang w:val="en-US"/>
        </w:rPr>
        <w:t xml:space="preserve">18. </w:t>
      </w:r>
      <w:r w:rsidRPr="0035315E">
        <w:rPr>
          <w:lang w:val="en-US"/>
        </w:rPr>
        <w:tab/>
        <w:t xml:space="preserve">Fogli S, Gianfilippo G, Cucchiara F, Del Re M, Valerio L, Elisei R, </w:t>
      </w:r>
      <w:r w:rsidRPr="0035315E">
        <w:t>и</w:t>
      </w:r>
      <w:r w:rsidRPr="0035315E">
        <w:rPr>
          <w:lang w:val="en-US"/>
        </w:rPr>
        <w:t xml:space="preserve"> </w:t>
      </w:r>
      <w:r w:rsidRPr="0035315E">
        <w:t>др</w:t>
      </w:r>
      <w:r w:rsidRPr="0035315E">
        <w:rPr>
          <w:lang w:val="en-US"/>
        </w:rPr>
        <w:t xml:space="preserve">. Clinical pharmacology and drug-drug interactions of lenvatinib in thyroid cancer. Crit Rev Oncol Hematol. </w:t>
      </w:r>
      <w:r w:rsidR="00925501">
        <w:rPr>
          <w:lang w:val="en-US"/>
        </w:rPr>
        <w:t>Jul</w:t>
      </w:r>
      <w:r w:rsidR="00925501" w:rsidRPr="0035315E">
        <w:rPr>
          <w:lang w:val="en-US"/>
        </w:rPr>
        <w:t xml:space="preserve"> </w:t>
      </w:r>
      <w:r w:rsidRPr="0035315E">
        <w:rPr>
          <w:lang w:val="en-US"/>
        </w:rPr>
        <w:t>2021;</w:t>
      </w:r>
      <w:r w:rsidR="00925501">
        <w:rPr>
          <w:lang w:val="en-US"/>
        </w:rPr>
        <w:t xml:space="preserve"> </w:t>
      </w:r>
      <w:r w:rsidRPr="0035315E">
        <w:rPr>
          <w:lang w:val="en-US"/>
        </w:rPr>
        <w:t xml:space="preserve">163:103366. </w:t>
      </w:r>
    </w:p>
    <w:p w14:paraId="12B68320" w14:textId="127006DD" w:rsidR="00200EBA" w:rsidRPr="0035315E" w:rsidRDefault="00200EBA" w:rsidP="008356A7">
      <w:pPr>
        <w:pStyle w:val="afff2"/>
        <w:tabs>
          <w:tab w:val="clear" w:pos="504"/>
        </w:tabs>
        <w:spacing w:after="0"/>
        <w:ind w:left="709" w:hanging="425"/>
        <w:rPr>
          <w:lang w:val="en-US"/>
        </w:rPr>
      </w:pPr>
      <w:r w:rsidRPr="0035315E">
        <w:rPr>
          <w:lang w:val="en-US"/>
        </w:rPr>
        <w:t xml:space="preserve">19. </w:t>
      </w:r>
      <w:r w:rsidRPr="0035315E">
        <w:rPr>
          <w:lang w:val="en-US"/>
        </w:rPr>
        <w:tab/>
        <w:t xml:space="preserve">Bitting RL, Healy P, Creel PA, Turnbull J, Morris K, Wood SY, </w:t>
      </w:r>
      <w:r w:rsidRPr="0035315E">
        <w:t>и</w:t>
      </w:r>
      <w:r w:rsidRPr="0035315E">
        <w:rPr>
          <w:lang w:val="en-US"/>
        </w:rPr>
        <w:t xml:space="preserve"> </w:t>
      </w:r>
      <w:r w:rsidRPr="0035315E">
        <w:t>др</w:t>
      </w:r>
      <w:r w:rsidRPr="0035315E">
        <w:rPr>
          <w:lang w:val="en-US"/>
        </w:rPr>
        <w:t xml:space="preserve">. A Phase Ib Study of Combined VEGFR and mTOR Inhibition With Vatalanib and Everolimus in Patients With Advanced Renal Cell Carcinoma. Clinical Genitourinary Cancer. </w:t>
      </w:r>
      <w:r w:rsidR="00925501">
        <w:rPr>
          <w:lang w:val="en-US"/>
        </w:rPr>
        <w:t>Aug</w:t>
      </w:r>
      <w:r w:rsidRPr="0035315E">
        <w:rPr>
          <w:lang w:val="en-US"/>
        </w:rPr>
        <w:t xml:space="preserve"> 2014;</w:t>
      </w:r>
      <w:r w:rsidR="00925501">
        <w:rPr>
          <w:lang w:val="en-US"/>
        </w:rPr>
        <w:t xml:space="preserve"> </w:t>
      </w:r>
      <w:r w:rsidRPr="0035315E">
        <w:rPr>
          <w:lang w:val="en-US"/>
        </w:rPr>
        <w:t xml:space="preserve">12(4):241–50. </w:t>
      </w:r>
    </w:p>
    <w:p w14:paraId="7ED12C0D" w14:textId="6FDABC10" w:rsidR="00200EBA" w:rsidRPr="0035315E" w:rsidRDefault="00200EBA" w:rsidP="008356A7">
      <w:pPr>
        <w:pStyle w:val="afff2"/>
        <w:tabs>
          <w:tab w:val="clear" w:pos="504"/>
        </w:tabs>
        <w:spacing w:after="0"/>
        <w:ind w:left="709" w:hanging="425"/>
        <w:rPr>
          <w:lang w:val="en-US"/>
        </w:rPr>
      </w:pPr>
      <w:r w:rsidRPr="0035315E">
        <w:rPr>
          <w:lang w:val="en-US"/>
        </w:rPr>
        <w:t xml:space="preserve">20. </w:t>
      </w:r>
      <w:r w:rsidRPr="0035315E">
        <w:rPr>
          <w:lang w:val="en-US"/>
        </w:rPr>
        <w:tab/>
        <w:t xml:space="preserve">Motzer RJ, Taylor MH, Evans TRJ, Okusaka T, Glen H, Lubiniecki GM, </w:t>
      </w:r>
      <w:r w:rsidRPr="0035315E">
        <w:t>и</w:t>
      </w:r>
      <w:r w:rsidRPr="0035315E">
        <w:rPr>
          <w:lang w:val="en-US"/>
        </w:rPr>
        <w:t xml:space="preserve"> </w:t>
      </w:r>
      <w:r w:rsidRPr="0035315E">
        <w:t>др</w:t>
      </w:r>
      <w:r w:rsidRPr="0035315E">
        <w:rPr>
          <w:lang w:val="en-US"/>
        </w:rPr>
        <w:t xml:space="preserve">. Lenvatinib dose, efficacy, and safety in the treatment of multiple malignancies. Expert Rev Anticancer Ther. </w:t>
      </w:r>
      <w:r w:rsidR="00925501">
        <w:rPr>
          <w:lang w:val="en-US"/>
        </w:rPr>
        <w:t>Apr</w:t>
      </w:r>
      <w:r w:rsidR="00925501" w:rsidRPr="0035315E">
        <w:rPr>
          <w:lang w:val="en-US"/>
        </w:rPr>
        <w:t xml:space="preserve"> </w:t>
      </w:r>
      <w:r w:rsidRPr="0035315E">
        <w:rPr>
          <w:lang w:val="en-US"/>
        </w:rPr>
        <w:t>2022;</w:t>
      </w:r>
      <w:r w:rsidR="00925501">
        <w:rPr>
          <w:lang w:val="en-US"/>
        </w:rPr>
        <w:t xml:space="preserve"> </w:t>
      </w:r>
      <w:r w:rsidRPr="0035315E">
        <w:rPr>
          <w:lang w:val="en-US"/>
        </w:rPr>
        <w:t xml:space="preserve">22(4):383–400. </w:t>
      </w:r>
    </w:p>
    <w:p w14:paraId="3993EF3A" w14:textId="0574ABC5" w:rsidR="00200EBA" w:rsidRPr="0035315E" w:rsidRDefault="00200EBA" w:rsidP="008356A7">
      <w:pPr>
        <w:pStyle w:val="afff2"/>
        <w:tabs>
          <w:tab w:val="clear" w:pos="504"/>
        </w:tabs>
        <w:spacing w:after="0"/>
        <w:ind w:left="709" w:hanging="425"/>
        <w:rPr>
          <w:lang w:val="en-US"/>
        </w:rPr>
      </w:pPr>
      <w:r w:rsidRPr="0035315E">
        <w:rPr>
          <w:lang w:val="en-US"/>
        </w:rPr>
        <w:t xml:space="preserve">21. </w:t>
      </w:r>
      <w:r w:rsidRPr="0035315E">
        <w:rPr>
          <w:lang w:val="en-US"/>
        </w:rPr>
        <w:tab/>
        <w:t xml:space="preserve">Robinson B, Schlumberger M, Wirth LJ, Dutcus CE, Song J, Taylor MH, </w:t>
      </w:r>
      <w:r w:rsidRPr="0035315E">
        <w:t>и</w:t>
      </w:r>
      <w:r w:rsidRPr="0035315E">
        <w:rPr>
          <w:lang w:val="en-US"/>
        </w:rPr>
        <w:t xml:space="preserve"> </w:t>
      </w:r>
      <w:r w:rsidRPr="0035315E">
        <w:t>др</w:t>
      </w:r>
      <w:r w:rsidRPr="0035315E">
        <w:rPr>
          <w:lang w:val="en-US"/>
        </w:rPr>
        <w:t xml:space="preserve">. Characterization of Tumor Size Changes Over Time From the Phase 3 Study of Lenvatinib in Thyroid Cancer. J Clin Endocrinol Metab. </w:t>
      </w:r>
      <w:r w:rsidR="00925501">
        <w:rPr>
          <w:lang w:val="en-US"/>
        </w:rPr>
        <w:t>Nov</w:t>
      </w:r>
      <w:r w:rsidR="00925501" w:rsidRPr="0035315E">
        <w:rPr>
          <w:lang w:val="en-US"/>
        </w:rPr>
        <w:t xml:space="preserve"> </w:t>
      </w:r>
      <w:r w:rsidRPr="0035315E">
        <w:rPr>
          <w:lang w:val="en-US"/>
        </w:rPr>
        <w:t>2016;</w:t>
      </w:r>
      <w:r w:rsidR="00925501">
        <w:rPr>
          <w:lang w:val="en-US"/>
        </w:rPr>
        <w:t xml:space="preserve"> </w:t>
      </w:r>
      <w:r w:rsidRPr="0035315E">
        <w:rPr>
          <w:lang w:val="en-US"/>
        </w:rPr>
        <w:t xml:space="preserve">101(11):4103–9. </w:t>
      </w:r>
    </w:p>
    <w:p w14:paraId="7B4D4B53" w14:textId="43FC1C5B" w:rsidR="00200EBA" w:rsidRPr="00762053" w:rsidRDefault="00200EBA" w:rsidP="008356A7">
      <w:pPr>
        <w:pStyle w:val="afff2"/>
        <w:tabs>
          <w:tab w:val="clear" w:pos="504"/>
        </w:tabs>
        <w:spacing w:after="0"/>
        <w:ind w:left="709" w:hanging="425"/>
      </w:pPr>
      <w:r w:rsidRPr="0035315E">
        <w:rPr>
          <w:lang w:val="en-US"/>
        </w:rPr>
        <w:t xml:space="preserve">22. </w:t>
      </w:r>
      <w:r w:rsidRPr="0035315E">
        <w:rPr>
          <w:lang w:val="en-US"/>
        </w:rPr>
        <w:tab/>
        <w:t xml:space="preserve">Schlumberger M, Tahara M, Wirth LJ, Robinson B, Brose MS, Elisei R, </w:t>
      </w:r>
      <w:r w:rsidRPr="0035315E">
        <w:t>и</w:t>
      </w:r>
      <w:r w:rsidRPr="0035315E">
        <w:rPr>
          <w:lang w:val="en-US"/>
        </w:rPr>
        <w:t xml:space="preserve"> </w:t>
      </w:r>
      <w:r w:rsidRPr="0035315E">
        <w:t>др</w:t>
      </w:r>
      <w:r w:rsidRPr="0035315E">
        <w:rPr>
          <w:lang w:val="en-US"/>
        </w:rPr>
        <w:t xml:space="preserve">. Lenvatinib versus placebo in radioiodine-refractory thyroid cancer. N Engl J Med. </w:t>
      </w:r>
      <w:r w:rsidR="00925501">
        <w:rPr>
          <w:lang w:val="en-US"/>
        </w:rPr>
        <w:t>Feb</w:t>
      </w:r>
      <w:r w:rsidRPr="00762053">
        <w:t xml:space="preserve"> 2015 ;</w:t>
      </w:r>
      <w:r w:rsidR="00925501" w:rsidRPr="00762053">
        <w:t xml:space="preserve"> </w:t>
      </w:r>
      <w:r w:rsidRPr="00762053">
        <w:t xml:space="preserve">372(7):621–30. </w:t>
      </w:r>
    </w:p>
    <w:p w14:paraId="5F4FA563" w14:textId="55323313" w:rsidR="00200EBA" w:rsidRPr="0035315E" w:rsidRDefault="00200EBA" w:rsidP="008356A7">
      <w:pPr>
        <w:pStyle w:val="afff2"/>
        <w:tabs>
          <w:tab w:val="clear" w:pos="504"/>
        </w:tabs>
        <w:spacing w:after="0"/>
        <w:ind w:left="709" w:hanging="425"/>
        <w:rPr>
          <w:lang w:val="en-US"/>
        </w:rPr>
      </w:pPr>
      <w:r w:rsidRPr="00762053">
        <w:t xml:space="preserve">23. </w:t>
      </w:r>
      <w:r w:rsidRPr="00762053">
        <w:tab/>
      </w:r>
      <w:r w:rsidRPr="0035315E">
        <w:rPr>
          <w:lang w:val="en-US"/>
        </w:rPr>
        <w:t>Yamashita</w:t>
      </w:r>
      <w:r w:rsidRPr="00762053">
        <w:t xml:space="preserve"> </w:t>
      </w:r>
      <w:r w:rsidRPr="0035315E">
        <w:rPr>
          <w:lang w:val="en-US"/>
        </w:rPr>
        <w:t>T</w:t>
      </w:r>
      <w:r w:rsidRPr="00762053">
        <w:t xml:space="preserve">, </w:t>
      </w:r>
      <w:r w:rsidRPr="0035315E">
        <w:rPr>
          <w:lang w:val="en-US"/>
        </w:rPr>
        <w:t>Kudo</w:t>
      </w:r>
      <w:r w:rsidRPr="00762053">
        <w:t xml:space="preserve"> </w:t>
      </w:r>
      <w:r w:rsidRPr="0035315E">
        <w:rPr>
          <w:lang w:val="en-US"/>
        </w:rPr>
        <w:t>M</w:t>
      </w:r>
      <w:r w:rsidRPr="00762053">
        <w:t xml:space="preserve">, </w:t>
      </w:r>
      <w:r w:rsidRPr="0035315E">
        <w:rPr>
          <w:lang w:val="en-US"/>
        </w:rPr>
        <w:t>Ikeda</w:t>
      </w:r>
      <w:r w:rsidRPr="00762053">
        <w:t xml:space="preserve"> </w:t>
      </w:r>
      <w:r w:rsidRPr="0035315E">
        <w:rPr>
          <w:lang w:val="en-US"/>
        </w:rPr>
        <w:t>K</w:t>
      </w:r>
      <w:r w:rsidRPr="00762053">
        <w:t xml:space="preserve">, </w:t>
      </w:r>
      <w:r w:rsidRPr="0035315E">
        <w:rPr>
          <w:lang w:val="en-US"/>
        </w:rPr>
        <w:t>Izumi</w:t>
      </w:r>
      <w:r w:rsidRPr="00762053">
        <w:t xml:space="preserve"> </w:t>
      </w:r>
      <w:r w:rsidRPr="0035315E">
        <w:rPr>
          <w:lang w:val="en-US"/>
        </w:rPr>
        <w:t>N</w:t>
      </w:r>
      <w:r w:rsidRPr="00762053">
        <w:t xml:space="preserve">, </w:t>
      </w:r>
      <w:r w:rsidRPr="0035315E">
        <w:rPr>
          <w:lang w:val="en-US"/>
        </w:rPr>
        <w:t>Tateishi</w:t>
      </w:r>
      <w:r w:rsidRPr="00762053">
        <w:t xml:space="preserve"> </w:t>
      </w:r>
      <w:r w:rsidRPr="0035315E">
        <w:rPr>
          <w:lang w:val="en-US"/>
        </w:rPr>
        <w:t>R</w:t>
      </w:r>
      <w:r w:rsidRPr="00762053">
        <w:t xml:space="preserve">, </w:t>
      </w:r>
      <w:r w:rsidRPr="0035315E">
        <w:rPr>
          <w:lang w:val="en-US"/>
        </w:rPr>
        <w:t>Ikeda</w:t>
      </w:r>
      <w:r w:rsidRPr="00762053">
        <w:t xml:space="preserve"> </w:t>
      </w:r>
      <w:r w:rsidRPr="0035315E">
        <w:rPr>
          <w:lang w:val="en-US"/>
        </w:rPr>
        <w:t>M</w:t>
      </w:r>
      <w:r w:rsidRPr="00762053">
        <w:t xml:space="preserve">, </w:t>
      </w:r>
      <w:r w:rsidRPr="0035315E">
        <w:t>и</w:t>
      </w:r>
      <w:r w:rsidRPr="00762053">
        <w:t xml:space="preserve"> </w:t>
      </w:r>
      <w:r w:rsidRPr="0035315E">
        <w:t>др</w:t>
      </w:r>
      <w:r w:rsidRPr="00762053">
        <w:t xml:space="preserve">. </w:t>
      </w:r>
      <w:r w:rsidRPr="0035315E">
        <w:rPr>
          <w:lang w:val="en-US"/>
        </w:rPr>
        <w:t xml:space="preserve">REFLECT-a phase 3 trial comparing efficacy and safety of lenvatinib to sorafenib for the treatment of unresectable hepatocellular carcinoma: an analysis of Japanese subset. J Gastroenterol. </w:t>
      </w:r>
      <w:r w:rsidR="00925501">
        <w:rPr>
          <w:lang w:val="en-US"/>
        </w:rPr>
        <w:t>Jan</w:t>
      </w:r>
      <w:r w:rsidR="00925501" w:rsidRPr="0035315E">
        <w:rPr>
          <w:lang w:val="en-US"/>
        </w:rPr>
        <w:t xml:space="preserve"> </w:t>
      </w:r>
      <w:r w:rsidRPr="0035315E">
        <w:rPr>
          <w:lang w:val="en-US"/>
        </w:rPr>
        <w:t>2020;</w:t>
      </w:r>
      <w:r w:rsidR="00925501">
        <w:rPr>
          <w:lang w:val="en-US"/>
        </w:rPr>
        <w:t xml:space="preserve"> </w:t>
      </w:r>
      <w:r w:rsidRPr="0035315E">
        <w:rPr>
          <w:lang w:val="en-US"/>
        </w:rPr>
        <w:t xml:space="preserve">55(1):113–22. </w:t>
      </w:r>
    </w:p>
    <w:p w14:paraId="0D88B916" w14:textId="30379E93" w:rsidR="00200EBA" w:rsidRPr="0035315E" w:rsidRDefault="00200EBA" w:rsidP="008356A7">
      <w:pPr>
        <w:pStyle w:val="afff2"/>
        <w:tabs>
          <w:tab w:val="clear" w:pos="504"/>
        </w:tabs>
        <w:spacing w:after="0"/>
        <w:ind w:left="709" w:hanging="425"/>
        <w:rPr>
          <w:lang w:val="en-US"/>
        </w:rPr>
      </w:pPr>
      <w:r w:rsidRPr="0035315E">
        <w:rPr>
          <w:lang w:val="en-US"/>
        </w:rPr>
        <w:lastRenderedPageBreak/>
        <w:t xml:space="preserve">24. </w:t>
      </w:r>
      <w:r w:rsidRPr="0035315E">
        <w:rPr>
          <w:lang w:val="en-US"/>
        </w:rPr>
        <w:tab/>
        <w:t xml:space="preserve">Kudo M, Finn RS, Qin S, Han KH, Ikeda K, Piscaglia F, </w:t>
      </w:r>
      <w:r w:rsidRPr="0035315E">
        <w:t>и</w:t>
      </w:r>
      <w:r w:rsidRPr="0035315E">
        <w:rPr>
          <w:lang w:val="en-US"/>
        </w:rPr>
        <w:t xml:space="preserve"> </w:t>
      </w:r>
      <w:r w:rsidRPr="0035315E">
        <w:t>др</w:t>
      </w:r>
      <w:r w:rsidRPr="0035315E">
        <w:rPr>
          <w:lang w:val="en-US"/>
        </w:rPr>
        <w:t xml:space="preserve">. Lenvatinib versus sorafenib in first-line treatment of patients with unresectable hepatocellular carcinoma: a randomised phase 3 non-inferiority trial. Lancet. </w:t>
      </w:r>
      <w:r w:rsidR="00925501">
        <w:rPr>
          <w:lang w:val="en-US"/>
        </w:rPr>
        <w:t>March</w:t>
      </w:r>
      <w:r w:rsidRPr="0035315E">
        <w:rPr>
          <w:lang w:val="en-US"/>
        </w:rPr>
        <w:t xml:space="preserve"> 2018;</w:t>
      </w:r>
      <w:r w:rsidR="00925501">
        <w:rPr>
          <w:lang w:val="en-US"/>
        </w:rPr>
        <w:t xml:space="preserve"> </w:t>
      </w:r>
      <w:r w:rsidRPr="0035315E">
        <w:rPr>
          <w:lang w:val="en-US"/>
        </w:rPr>
        <w:t xml:space="preserve">391(10126):1163–73. </w:t>
      </w:r>
    </w:p>
    <w:p w14:paraId="5131269B" w14:textId="571FBF0F" w:rsidR="00200EBA" w:rsidRPr="0035315E" w:rsidRDefault="00200EBA" w:rsidP="008356A7">
      <w:pPr>
        <w:pStyle w:val="afff2"/>
        <w:tabs>
          <w:tab w:val="clear" w:pos="504"/>
        </w:tabs>
        <w:spacing w:after="0"/>
        <w:ind w:left="709" w:hanging="425"/>
        <w:rPr>
          <w:lang w:val="en-US"/>
        </w:rPr>
      </w:pPr>
      <w:r w:rsidRPr="0035315E">
        <w:rPr>
          <w:lang w:val="en-US"/>
        </w:rPr>
        <w:t xml:space="preserve">25. </w:t>
      </w:r>
      <w:r w:rsidRPr="0035315E">
        <w:rPr>
          <w:lang w:val="en-US"/>
        </w:rPr>
        <w:tab/>
        <w:t xml:space="preserve">Evans TRJ, Kudo M, Finn RS, Han KH, Cheng AL, Ikeda M, </w:t>
      </w:r>
      <w:r w:rsidRPr="0035315E">
        <w:t>и</w:t>
      </w:r>
      <w:r w:rsidRPr="0035315E">
        <w:rPr>
          <w:lang w:val="en-US"/>
        </w:rPr>
        <w:t xml:space="preserve"> </w:t>
      </w:r>
      <w:r w:rsidRPr="0035315E">
        <w:t>др</w:t>
      </w:r>
      <w:r w:rsidRPr="0035315E">
        <w:rPr>
          <w:lang w:val="en-US"/>
        </w:rPr>
        <w:t xml:space="preserve">. Urine protein:creatinine ratio vs 24-hour urine protein for proteinuria management: analysis from the phase 3 REFLECT study of lenvatinib vs sorafenib in hepatocellular carcinoma. Br J Cancer. </w:t>
      </w:r>
      <w:r w:rsidR="00925501">
        <w:rPr>
          <w:lang w:val="en-US"/>
        </w:rPr>
        <w:t>Jul</w:t>
      </w:r>
      <w:r w:rsidR="00925501" w:rsidRPr="0035315E">
        <w:rPr>
          <w:lang w:val="en-US"/>
        </w:rPr>
        <w:t xml:space="preserve"> </w:t>
      </w:r>
      <w:r w:rsidRPr="0035315E">
        <w:rPr>
          <w:lang w:val="en-US"/>
        </w:rPr>
        <w:t>2019;</w:t>
      </w:r>
      <w:r w:rsidR="00925501">
        <w:rPr>
          <w:lang w:val="en-US"/>
        </w:rPr>
        <w:t xml:space="preserve"> </w:t>
      </w:r>
      <w:r w:rsidRPr="0035315E">
        <w:rPr>
          <w:lang w:val="en-US"/>
        </w:rPr>
        <w:t xml:space="preserve">121(3):218–21. </w:t>
      </w:r>
    </w:p>
    <w:p w14:paraId="65A2E930" w14:textId="10DA0537" w:rsidR="00200EBA" w:rsidRPr="0035315E" w:rsidRDefault="00200EBA" w:rsidP="008356A7">
      <w:pPr>
        <w:pStyle w:val="afff2"/>
        <w:tabs>
          <w:tab w:val="clear" w:pos="504"/>
        </w:tabs>
        <w:spacing w:after="0"/>
        <w:ind w:left="709" w:hanging="425"/>
        <w:rPr>
          <w:lang w:val="en-US"/>
        </w:rPr>
      </w:pPr>
      <w:r w:rsidRPr="0035315E">
        <w:rPr>
          <w:lang w:val="en-US"/>
        </w:rPr>
        <w:t xml:space="preserve">26. </w:t>
      </w:r>
      <w:r w:rsidRPr="0035315E">
        <w:rPr>
          <w:lang w:val="en-US"/>
        </w:rPr>
        <w:tab/>
        <w:t xml:space="preserve">Motzer R, Alekseev B, Rha SY, Porta C, Eto M, Powles T, </w:t>
      </w:r>
      <w:r w:rsidRPr="0035315E">
        <w:t>и</w:t>
      </w:r>
      <w:r w:rsidRPr="0035315E">
        <w:rPr>
          <w:lang w:val="en-US"/>
        </w:rPr>
        <w:t xml:space="preserve"> </w:t>
      </w:r>
      <w:r w:rsidRPr="0035315E">
        <w:t>др</w:t>
      </w:r>
      <w:r w:rsidRPr="0035315E">
        <w:rPr>
          <w:lang w:val="en-US"/>
        </w:rPr>
        <w:t xml:space="preserve">. Lenvatinib plus Pembrolizumab or Everolimus for Advanced Renal Cell Carcinoma. N Engl J Med. </w:t>
      </w:r>
      <w:r w:rsidR="00925501">
        <w:rPr>
          <w:lang w:val="en-US"/>
        </w:rPr>
        <w:t>Apr</w:t>
      </w:r>
      <w:r w:rsidRPr="0035315E">
        <w:rPr>
          <w:lang w:val="en-US"/>
        </w:rPr>
        <w:t xml:space="preserve"> 2021;</w:t>
      </w:r>
      <w:r w:rsidR="00925501">
        <w:rPr>
          <w:lang w:val="en-US"/>
        </w:rPr>
        <w:t xml:space="preserve"> </w:t>
      </w:r>
      <w:r w:rsidRPr="0035315E">
        <w:rPr>
          <w:lang w:val="en-US"/>
        </w:rPr>
        <w:t xml:space="preserve">384(14):1289–300. </w:t>
      </w:r>
    </w:p>
    <w:p w14:paraId="35D8D152" w14:textId="77777777" w:rsidR="00200EBA" w:rsidRPr="0035315E" w:rsidRDefault="00200EBA" w:rsidP="008356A7">
      <w:pPr>
        <w:pStyle w:val="afff2"/>
        <w:tabs>
          <w:tab w:val="clear" w:pos="504"/>
        </w:tabs>
        <w:spacing w:after="0"/>
        <w:ind w:left="709" w:hanging="425"/>
        <w:rPr>
          <w:lang w:val="en-US"/>
        </w:rPr>
      </w:pPr>
      <w:r w:rsidRPr="0035315E">
        <w:rPr>
          <w:lang w:val="en-US"/>
        </w:rPr>
        <w:t xml:space="preserve">27. </w:t>
      </w:r>
      <w:r w:rsidRPr="0035315E">
        <w:rPr>
          <w:lang w:val="en-US"/>
        </w:rPr>
        <w:tab/>
        <w:t xml:space="preserve">PRODUCT MONOGRAPH INCLUDING PATIENT MEDICATION INFORMATION PrLENVIMA® Lenvatinib capsules 4mg and 10mg Lenvatinib (as lenvatinib mesylate) Multiple Receptor Tyrosine Kinase Inhibitor Antineoplastic Agent, ATC code:L01XE29. Eisai Limited.2018. </w:t>
      </w:r>
    </w:p>
    <w:p w14:paraId="59E30C6E" w14:textId="78223E1F" w:rsidR="00200EBA" w:rsidRPr="0035315E" w:rsidRDefault="00200EBA" w:rsidP="008356A7">
      <w:pPr>
        <w:pStyle w:val="afff2"/>
        <w:tabs>
          <w:tab w:val="clear" w:pos="504"/>
        </w:tabs>
        <w:spacing w:after="0"/>
        <w:ind w:left="709" w:hanging="425"/>
        <w:rPr>
          <w:lang w:val="en-US"/>
        </w:rPr>
      </w:pPr>
      <w:r w:rsidRPr="0035315E">
        <w:rPr>
          <w:lang w:val="en-US"/>
        </w:rPr>
        <w:t xml:space="preserve">28. </w:t>
      </w:r>
      <w:r w:rsidRPr="0035315E">
        <w:rPr>
          <w:lang w:val="en-US"/>
        </w:rPr>
        <w:tab/>
        <w:t xml:space="preserve">Motzer R, Porta C, Alekseev B, Rha SY, Choueiri TK, Mendez-Vidal MJ, </w:t>
      </w:r>
      <w:r w:rsidRPr="0035315E">
        <w:t>и</w:t>
      </w:r>
      <w:r w:rsidRPr="0035315E">
        <w:rPr>
          <w:lang w:val="en-US"/>
        </w:rPr>
        <w:t xml:space="preserve"> </w:t>
      </w:r>
      <w:r w:rsidRPr="0035315E">
        <w:t>др</w:t>
      </w:r>
      <w:r w:rsidRPr="0035315E">
        <w:rPr>
          <w:lang w:val="en-US"/>
        </w:rPr>
        <w:t xml:space="preserve">. Health-related quality-of-life outcomes in patients with advanced renal cell carcinoma treated with lenvatinib plus pembrolizumab or everolimus versus sunitinib (CLEAR): a randomised, phase 3 study. Lancet Oncol. </w:t>
      </w:r>
      <w:r w:rsidR="00925501">
        <w:rPr>
          <w:lang w:val="en-US"/>
        </w:rPr>
        <w:t>Jun</w:t>
      </w:r>
      <w:r w:rsidR="00925501" w:rsidRPr="0035315E">
        <w:rPr>
          <w:lang w:val="en-US"/>
        </w:rPr>
        <w:t xml:space="preserve"> </w:t>
      </w:r>
      <w:r w:rsidRPr="0035315E">
        <w:rPr>
          <w:lang w:val="en-US"/>
        </w:rPr>
        <w:t>2022;</w:t>
      </w:r>
      <w:r w:rsidR="00925501">
        <w:rPr>
          <w:lang w:val="en-US"/>
        </w:rPr>
        <w:t xml:space="preserve"> </w:t>
      </w:r>
      <w:r w:rsidRPr="0035315E">
        <w:rPr>
          <w:lang w:val="en-US"/>
        </w:rPr>
        <w:t xml:space="preserve">23(6):768–80. </w:t>
      </w:r>
    </w:p>
    <w:p w14:paraId="7660C966" w14:textId="2133E3F2" w:rsidR="00200EBA" w:rsidRPr="0035315E" w:rsidRDefault="00200EBA" w:rsidP="008356A7">
      <w:pPr>
        <w:pStyle w:val="afff2"/>
        <w:tabs>
          <w:tab w:val="clear" w:pos="504"/>
        </w:tabs>
        <w:spacing w:after="0"/>
        <w:ind w:left="709" w:hanging="425"/>
        <w:rPr>
          <w:lang w:val="en-US"/>
        </w:rPr>
      </w:pPr>
      <w:r w:rsidRPr="0035315E">
        <w:rPr>
          <w:lang w:val="en-US"/>
        </w:rPr>
        <w:t xml:space="preserve">29. </w:t>
      </w:r>
      <w:r w:rsidRPr="0035315E">
        <w:rPr>
          <w:lang w:val="en-US"/>
        </w:rPr>
        <w:tab/>
        <w:t xml:space="preserve">Makker V, Colombo N, Casado Herráez A, Santin AD, Colomba E, Miller DS, </w:t>
      </w:r>
      <w:r w:rsidRPr="0035315E">
        <w:t>и</w:t>
      </w:r>
      <w:r w:rsidRPr="0035315E">
        <w:rPr>
          <w:lang w:val="en-US"/>
        </w:rPr>
        <w:t xml:space="preserve"> </w:t>
      </w:r>
      <w:r w:rsidRPr="0035315E">
        <w:t>др</w:t>
      </w:r>
      <w:r w:rsidRPr="0035315E">
        <w:rPr>
          <w:lang w:val="en-US"/>
        </w:rPr>
        <w:t xml:space="preserve">. Lenvatinib plus Pembrolizumab for Advanced Endometrial Cancer. N Engl J Med. </w:t>
      </w:r>
      <w:r w:rsidR="00925501">
        <w:rPr>
          <w:lang w:val="en-US"/>
        </w:rPr>
        <w:t>Feb</w:t>
      </w:r>
      <w:r w:rsidRPr="0035315E">
        <w:rPr>
          <w:lang w:val="en-US"/>
        </w:rPr>
        <w:t xml:space="preserve"> 2022;</w:t>
      </w:r>
      <w:r w:rsidR="00925501">
        <w:rPr>
          <w:lang w:val="en-US"/>
        </w:rPr>
        <w:t xml:space="preserve"> </w:t>
      </w:r>
      <w:r w:rsidRPr="0035315E">
        <w:rPr>
          <w:lang w:val="en-US"/>
        </w:rPr>
        <w:t xml:space="preserve">386(5):437–48. </w:t>
      </w:r>
    </w:p>
    <w:p w14:paraId="7A1B4E67" w14:textId="5219EF71" w:rsidR="00200EBA" w:rsidRPr="0035315E" w:rsidRDefault="00200EBA" w:rsidP="008356A7">
      <w:pPr>
        <w:pStyle w:val="afff2"/>
        <w:tabs>
          <w:tab w:val="clear" w:pos="504"/>
        </w:tabs>
        <w:spacing w:after="0"/>
        <w:ind w:left="709" w:hanging="425"/>
        <w:rPr>
          <w:lang w:val="en-US"/>
        </w:rPr>
      </w:pPr>
      <w:r w:rsidRPr="0035315E">
        <w:rPr>
          <w:lang w:val="en-US"/>
        </w:rPr>
        <w:t xml:space="preserve">30. </w:t>
      </w:r>
      <w:r w:rsidRPr="0035315E">
        <w:rPr>
          <w:lang w:val="en-US"/>
        </w:rPr>
        <w:tab/>
        <w:t xml:space="preserve">Kannaiyan R, Mahadevan D. A comprehensive review of protein kinase inhibitors for cancer therapy. Expert Rev Anticancer Ther. </w:t>
      </w:r>
      <w:r w:rsidR="00925501">
        <w:rPr>
          <w:lang w:val="en-US"/>
        </w:rPr>
        <w:t>Dec</w:t>
      </w:r>
      <w:r w:rsidR="00925501" w:rsidRPr="0035315E">
        <w:rPr>
          <w:lang w:val="en-US"/>
        </w:rPr>
        <w:t xml:space="preserve"> </w:t>
      </w:r>
      <w:r w:rsidRPr="0035315E">
        <w:rPr>
          <w:lang w:val="en-US"/>
        </w:rPr>
        <w:t>2018;</w:t>
      </w:r>
      <w:r w:rsidR="00925501">
        <w:rPr>
          <w:lang w:val="en-US"/>
        </w:rPr>
        <w:t xml:space="preserve"> </w:t>
      </w:r>
      <w:r w:rsidRPr="0035315E">
        <w:rPr>
          <w:lang w:val="en-US"/>
        </w:rPr>
        <w:t xml:space="preserve">18(12):1249–70. </w:t>
      </w:r>
    </w:p>
    <w:p w14:paraId="049BCB78" w14:textId="77777777" w:rsidR="00200EBA" w:rsidRPr="0035315E" w:rsidRDefault="00200EBA" w:rsidP="008356A7">
      <w:pPr>
        <w:pStyle w:val="afff2"/>
        <w:tabs>
          <w:tab w:val="clear" w:pos="504"/>
        </w:tabs>
        <w:spacing w:after="0"/>
        <w:ind w:left="709" w:hanging="425"/>
      </w:pPr>
      <w:r w:rsidRPr="0035315E">
        <w:rPr>
          <w:lang w:val="en-US"/>
        </w:rPr>
        <w:t xml:space="preserve">31. </w:t>
      </w:r>
      <w:r w:rsidRPr="0035315E">
        <w:rPr>
          <w:lang w:val="en-US"/>
        </w:rPr>
        <w:tab/>
        <w:t xml:space="preserve">Protein Kinase Inhibitors. </w:t>
      </w:r>
      <w:r w:rsidRPr="0035315E">
        <w:t>В</w:t>
      </w:r>
      <w:r w:rsidRPr="0035315E">
        <w:rPr>
          <w:lang w:val="en-US"/>
        </w:rPr>
        <w:t>: LiverTox: Clinical and Research Information on Drug-Induced Liver Injury [</w:t>
      </w:r>
      <w:r w:rsidRPr="0035315E">
        <w:t>Интернет</w:t>
      </w:r>
      <w:r w:rsidRPr="0035315E">
        <w:rPr>
          <w:lang w:val="en-US"/>
        </w:rPr>
        <w:t>]. Bethesda (MD): National Institute of Diabetes and Digestive and Kidney Diseases; 2012 [</w:t>
      </w:r>
      <w:r w:rsidRPr="0035315E">
        <w:t>цитируется</w:t>
      </w:r>
      <w:r w:rsidRPr="0035315E">
        <w:rPr>
          <w:lang w:val="en-US"/>
        </w:rPr>
        <w:t xml:space="preserve"> </w:t>
      </w:r>
      <w:r w:rsidRPr="0035315E">
        <w:t>по</w:t>
      </w:r>
      <w:r w:rsidRPr="0035315E">
        <w:rPr>
          <w:lang w:val="en-US"/>
        </w:rPr>
        <w:t xml:space="preserve"> 31 </w:t>
      </w:r>
      <w:r w:rsidRPr="0035315E">
        <w:t>октябрь</w:t>
      </w:r>
      <w:r w:rsidRPr="0035315E">
        <w:rPr>
          <w:lang w:val="en-US"/>
        </w:rPr>
        <w:t xml:space="preserve"> 2022 </w:t>
      </w:r>
      <w:r w:rsidRPr="0035315E">
        <w:t>г</w:t>
      </w:r>
      <w:r w:rsidRPr="0035315E">
        <w:rPr>
          <w:lang w:val="en-US"/>
        </w:rPr>
        <w:t xml:space="preserve">.]. </w:t>
      </w:r>
      <w:r w:rsidRPr="0035315E">
        <w:t>Доступно на: http://www.ncbi.nlm.nih.gov/books/NBK548591/</w:t>
      </w:r>
    </w:p>
    <w:p w14:paraId="67D96C6B" w14:textId="3C1271D4" w:rsidR="00200EBA" w:rsidRPr="0035315E" w:rsidRDefault="00200EBA" w:rsidP="008356A7">
      <w:pPr>
        <w:pStyle w:val="afff2"/>
        <w:tabs>
          <w:tab w:val="clear" w:pos="504"/>
        </w:tabs>
        <w:spacing w:after="0"/>
        <w:ind w:left="709" w:hanging="425"/>
        <w:rPr>
          <w:lang w:val="en-US"/>
        </w:rPr>
      </w:pPr>
      <w:r w:rsidRPr="0035315E">
        <w:rPr>
          <w:lang w:val="en-US"/>
        </w:rPr>
        <w:t xml:space="preserve">32. </w:t>
      </w:r>
      <w:r w:rsidRPr="0035315E">
        <w:rPr>
          <w:lang w:val="en-US"/>
        </w:rPr>
        <w:tab/>
        <w:t xml:space="preserve">Bhullar KS, Lagarón NO, McGowan EM, Parmar I, Jha A, Hubbard BP, </w:t>
      </w:r>
      <w:r w:rsidRPr="0035315E">
        <w:t>и</w:t>
      </w:r>
      <w:r w:rsidRPr="0035315E">
        <w:rPr>
          <w:lang w:val="en-US"/>
        </w:rPr>
        <w:t xml:space="preserve"> </w:t>
      </w:r>
      <w:r w:rsidRPr="0035315E">
        <w:t>др</w:t>
      </w:r>
      <w:r w:rsidRPr="0035315E">
        <w:rPr>
          <w:lang w:val="en-US"/>
        </w:rPr>
        <w:t xml:space="preserve">. Kinase-targeted cancer therapies: progress, challenges and future directions. Molecular Cancer. </w:t>
      </w:r>
      <w:r w:rsidR="00925501">
        <w:rPr>
          <w:lang w:val="en-US"/>
        </w:rPr>
        <w:t>Feb</w:t>
      </w:r>
      <w:r w:rsidRPr="0035315E">
        <w:rPr>
          <w:lang w:val="en-US"/>
        </w:rPr>
        <w:t xml:space="preserve"> 2018;</w:t>
      </w:r>
      <w:r w:rsidR="00925501">
        <w:rPr>
          <w:lang w:val="en-US"/>
        </w:rPr>
        <w:t xml:space="preserve"> </w:t>
      </w:r>
      <w:r w:rsidRPr="0035315E">
        <w:rPr>
          <w:lang w:val="en-US"/>
        </w:rPr>
        <w:t xml:space="preserve">17(1):48. </w:t>
      </w:r>
    </w:p>
    <w:p w14:paraId="1B213D0F" w14:textId="77777777" w:rsidR="00200EBA" w:rsidRPr="0035315E" w:rsidRDefault="00200EBA" w:rsidP="008356A7">
      <w:pPr>
        <w:pStyle w:val="afff2"/>
        <w:tabs>
          <w:tab w:val="clear" w:pos="504"/>
        </w:tabs>
        <w:spacing w:after="0"/>
        <w:ind w:left="709" w:hanging="425"/>
        <w:rPr>
          <w:lang w:val="en-US"/>
        </w:rPr>
      </w:pPr>
      <w:r w:rsidRPr="0035315E">
        <w:rPr>
          <w:lang w:val="en-US"/>
        </w:rPr>
        <w:t xml:space="preserve">33. </w:t>
      </w:r>
      <w:r w:rsidRPr="0035315E">
        <w:rPr>
          <w:lang w:val="en-US"/>
        </w:rPr>
        <w:tab/>
        <w:t xml:space="preserve">Product Monograph LENVIMA® Lenvatinib capsules 4 mg and 10 mg Lenvatinib (as lenvatinib mesylate). Eisai Limited.Date of Initial Authorization: DEC 22, 2015 Date of Revision:MAY 31, 2022. </w:t>
      </w:r>
    </w:p>
    <w:p w14:paraId="65302969" w14:textId="1B9F2547" w:rsidR="00200EBA" w:rsidRPr="0035315E" w:rsidRDefault="00200EBA" w:rsidP="008356A7">
      <w:pPr>
        <w:pStyle w:val="afff2"/>
        <w:tabs>
          <w:tab w:val="clear" w:pos="504"/>
        </w:tabs>
        <w:spacing w:after="0"/>
        <w:ind w:left="709" w:hanging="425"/>
      </w:pPr>
      <w:r w:rsidRPr="0035315E">
        <w:rPr>
          <w:lang w:val="en-US"/>
        </w:rPr>
        <w:t xml:space="preserve">34. </w:t>
      </w:r>
      <w:r w:rsidRPr="0035315E">
        <w:rPr>
          <w:lang w:val="en-US"/>
        </w:rPr>
        <w:tab/>
        <w:t xml:space="preserve">Hao Z, Wang P. Lenvatinib in Management of Solid Tumors. </w:t>
      </w:r>
      <w:r w:rsidRPr="0035315E">
        <w:t xml:space="preserve">Oncologist. </w:t>
      </w:r>
      <w:r w:rsidR="00925501">
        <w:rPr>
          <w:lang w:val="en-US"/>
        </w:rPr>
        <w:t>Feb</w:t>
      </w:r>
      <w:r w:rsidR="00925501" w:rsidRPr="0035315E">
        <w:t xml:space="preserve"> </w:t>
      </w:r>
      <w:r w:rsidRPr="0035315E">
        <w:t>2020;</w:t>
      </w:r>
      <w:r w:rsidR="00925501" w:rsidRPr="000971D1">
        <w:t xml:space="preserve"> </w:t>
      </w:r>
      <w:r w:rsidRPr="0035315E">
        <w:t xml:space="preserve">25(2):e302–10. </w:t>
      </w:r>
    </w:p>
    <w:p w14:paraId="03B18D7F" w14:textId="77777777" w:rsidR="00200EBA" w:rsidRPr="00753CF2" w:rsidRDefault="00200EBA" w:rsidP="0054382D">
      <w:r>
        <w:fldChar w:fldCharType="end"/>
      </w:r>
    </w:p>
    <w:p w14:paraId="4D8DE746" w14:textId="60E32B9C" w:rsidR="00200EBA" w:rsidRDefault="00200EBA" w:rsidP="00200EBA">
      <w:pPr>
        <w:pStyle w:val="12"/>
        <w:spacing w:line="240" w:lineRule="auto"/>
        <w:rPr>
          <w:rStyle w:val="src"/>
          <w:rFonts w:cs="Times New Roman"/>
          <w:color w:val="000000" w:themeColor="text1"/>
          <w:szCs w:val="24"/>
        </w:rPr>
      </w:pPr>
      <w:bookmarkStart w:id="242" w:name="_Toc126059767"/>
      <w:bookmarkEnd w:id="231"/>
      <w:r w:rsidRPr="005E6358">
        <w:rPr>
          <w:rStyle w:val="src"/>
          <w:rFonts w:cs="Times New Roman"/>
          <w:color w:val="000000" w:themeColor="text1"/>
          <w:szCs w:val="24"/>
        </w:rPr>
        <w:t xml:space="preserve">5. </w:t>
      </w:r>
      <w:r w:rsidRPr="00095D49">
        <w:rPr>
          <w:rStyle w:val="src"/>
          <w:rFonts w:cs="Times New Roman"/>
          <w:color w:val="000000" w:themeColor="text1"/>
          <w:szCs w:val="24"/>
        </w:rPr>
        <w:t>ОБСУЖДЕНИЕ ДАННЫХ И ИНСТРУКЦИИ ДЛЯ ИССЛЕДОВАТЕЛЯ</w:t>
      </w:r>
      <w:bookmarkEnd w:id="242"/>
    </w:p>
    <w:p w14:paraId="57EE53BA" w14:textId="77777777" w:rsidR="00200EBA" w:rsidRDefault="00200EBA" w:rsidP="00200EBA">
      <w:pPr>
        <w:pStyle w:val="2"/>
        <w:spacing w:line="240" w:lineRule="auto"/>
        <w:rPr>
          <w:color w:val="000000" w:themeColor="text1"/>
          <w:szCs w:val="24"/>
        </w:rPr>
      </w:pPr>
      <w:bookmarkStart w:id="243" w:name="_Toc126059768"/>
      <w:r w:rsidRPr="00095D49">
        <w:rPr>
          <w:color w:val="000000" w:themeColor="text1"/>
          <w:szCs w:val="24"/>
        </w:rPr>
        <w:t>5.1. Обсуждение данных доклинических исследований</w:t>
      </w:r>
      <w:bookmarkEnd w:id="243"/>
    </w:p>
    <w:p w14:paraId="6D0EE49A" w14:textId="6E6FB09B" w:rsidR="00200EBA" w:rsidRPr="00201AD2" w:rsidRDefault="00200EBA" w:rsidP="00200EBA">
      <w:pPr>
        <w:ind w:firstLine="851"/>
      </w:pPr>
      <w:r w:rsidRPr="00201AD2">
        <w:t xml:space="preserve">Доклинических исследований препарата </w:t>
      </w:r>
      <w:r w:rsidR="00C9192C" w:rsidRPr="00201AD2">
        <w:rPr>
          <w:lang w:val="en-US"/>
        </w:rPr>
        <w:t>DT</w:t>
      </w:r>
      <w:r w:rsidR="00C9192C" w:rsidRPr="00201AD2">
        <w:t>-</w:t>
      </w:r>
      <w:r w:rsidR="00C9192C" w:rsidRPr="00201AD2">
        <w:rPr>
          <w:lang w:val="en-US"/>
        </w:rPr>
        <w:t>LNV</w:t>
      </w:r>
      <w:r w:rsidRPr="00201AD2">
        <w:t xml:space="preserve"> (МНН: ленватиниб), капсулы 4 мг</w:t>
      </w:r>
      <w:r w:rsidR="000A0E3B">
        <w:t xml:space="preserve"> и</w:t>
      </w:r>
      <w:r w:rsidRPr="00201AD2">
        <w:t xml:space="preserve"> 10 мг (АО «Р-Фарм», Россия) не проводилось. Так как препарат </w:t>
      </w:r>
      <w:r w:rsidR="00C9192C" w:rsidRPr="00201AD2">
        <w:rPr>
          <w:lang w:val="en-US"/>
        </w:rPr>
        <w:t>DT</w:t>
      </w:r>
      <w:r w:rsidR="00C9192C" w:rsidRPr="00201AD2">
        <w:t>-</w:t>
      </w:r>
      <w:r w:rsidR="00C9192C" w:rsidRPr="00201AD2">
        <w:rPr>
          <w:lang w:val="en-US"/>
        </w:rPr>
        <w:t>LNV</w:t>
      </w:r>
      <w:r w:rsidR="00C9192C" w:rsidRPr="00201AD2">
        <w:t xml:space="preserve"> </w:t>
      </w:r>
      <w:r w:rsidRPr="00201AD2">
        <w:t>представляет собой воспроизведенный препарат ленватиниба, ожидается, что его свойства будут идентичны свойствам оригинального препарата Ленвима</w:t>
      </w:r>
      <w:r w:rsidRPr="00201AD2">
        <w:rPr>
          <w:vertAlign w:val="superscript"/>
        </w:rPr>
        <w:t>®</w:t>
      </w:r>
      <w:r w:rsidRPr="00201AD2">
        <w:t xml:space="preserve"> (МНН: ленватиниб), капсулы 4 мг, 10 мг (владелец РУ: Эйсай Юроп Лимитед, Соединенное Королевство), которому </w:t>
      </w:r>
      <w:r w:rsidR="00201AD2" w:rsidRPr="00201AD2">
        <w:rPr>
          <w:lang w:val="en-US"/>
        </w:rPr>
        <w:t>DT</w:t>
      </w:r>
      <w:r w:rsidR="00201AD2" w:rsidRPr="00201AD2">
        <w:t>-</w:t>
      </w:r>
      <w:r w:rsidR="00201AD2" w:rsidRPr="00201AD2">
        <w:rPr>
          <w:lang w:val="en-US"/>
        </w:rPr>
        <w:t>LNV</w:t>
      </w:r>
      <w:r w:rsidRPr="00201AD2">
        <w:t xml:space="preserve"> (МНН: ленватиниб)</w:t>
      </w:r>
      <w:r w:rsidR="008D0F00" w:rsidRPr="00201AD2">
        <w:t xml:space="preserve"> </w:t>
      </w:r>
      <w:r w:rsidRPr="00201AD2">
        <w:t>полностью соответствует по качественному и количественному составу действующ</w:t>
      </w:r>
      <w:r w:rsidR="00201AD2" w:rsidRPr="00201AD2">
        <w:t>его</w:t>
      </w:r>
      <w:r w:rsidRPr="00201AD2">
        <w:t xml:space="preserve"> и вспомогательных веществ, а также по лекарственной форме и </w:t>
      </w:r>
      <w:r w:rsidRPr="00201AD2">
        <w:lastRenderedPageBreak/>
        <w:t>дозировке. В связи с этим ниже приводятся данные доклинических исследований оригинального препарата Ленвима</w:t>
      </w:r>
      <w:r w:rsidRPr="00201AD2">
        <w:rPr>
          <w:vertAlign w:val="superscript"/>
        </w:rPr>
        <w:t>®</w:t>
      </w:r>
      <w:r w:rsidRPr="00201AD2">
        <w:t xml:space="preserve"> (МНН: ленватиниб), капсулы 4 мг, 10 мг (владелец РУ: Эйсай Юроп Лимитед, Соединенное Королевство).</w:t>
      </w:r>
    </w:p>
    <w:p w14:paraId="6310C48B" w14:textId="77777777" w:rsidR="00822089" w:rsidRPr="00AF7CFB" w:rsidRDefault="00822089" w:rsidP="00822089">
      <w:pPr>
        <w:ind w:firstLine="709"/>
        <w:rPr>
          <w:color w:val="000000" w:themeColor="text1"/>
        </w:rPr>
      </w:pPr>
      <w:r w:rsidRPr="00AF7CFB">
        <w:rPr>
          <w:color w:val="000000" w:themeColor="text1"/>
        </w:rPr>
        <w:t xml:space="preserve">Для изучения ленватиниба 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ленватиниба. </w:t>
      </w:r>
    </w:p>
    <w:p w14:paraId="15510375" w14:textId="77777777" w:rsidR="00822089" w:rsidRPr="009F43BF" w:rsidRDefault="00822089" w:rsidP="00822089">
      <w:pPr>
        <w:ind w:firstLine="709"/>
      </w:pPr>
      <w:r w:rsidRPr="009F43BF">
        <w:t xml:space="preserve">При изучении </w:t>
      </w:r>
      <w:r w:rsidRPr="00944B59">
        <w:rPr>
          <w:bCs/>
        </w:rPr>
        <w:t>первичной фармакодинамики</w:t>
      </w:r>
      <w:r w:rsidRPr="00944B59">
        <w:t xml:space="preserve"> </w:t>
      </w:r>
      <w:r w:rsidRPr="009F43BF">
        <w:rPr>
          <w:i/>
          <w:iCs/>
        </w:rPr>
        <w:t>in vitro</w:t>
      </w:r>
      <w:r w:rsidRPr="009F43BF">
        <w:t xml:space="preserve"> было показано, что ленватиниб селективно ингибировал тирозинкиназную активность рецепторов VEGF (VEGFR1-3) и RET со значени</w:t>
      </w:r>
      <w:r>
        <w:t xml:space="preserve">ем </w:t>
      </w:r>
      <w:r w:rsidRPr="009F43BF">
        <w:t>Ki приблизительно равным 1 нмоль/л. Ленватиниб ингибировал другие тирозинкиназные рецепторы, связанные с проангиогенными и онкогенными путями, включая FGFR1-4, PDGFRα и KIT, со значениями медианной ингибирующей концентрации (IC</w:t>
      </w:r>
      <w:r w:rsidRPr="009B4009">
        <w:rPr>
          <w:vertAlign w:val="subscript"/>
        </w:rPr>
        <w:t>50</w:t>
      </w:r>
      <w:r w:rsidRPr="009F43BF">
        <w:t>) ниже 100 нмоль/л.</w:t>
      </w:r>
    </w:p>
    <w:p w14:paraId="5FFE55C0" w14:textId="77777777" w:rsidR="00822089" w:rsidRPr="009F43BF" w:rsidRDefault="00822089" w:rsidP="00822089">
      <w:pPr>
        <w:ind w:firstLine="709"/>
      </w:pPr>
      <w:r w:rsidRPr="009F43BF">
        <w:t>Константа равновесной диссоциации (Kd) ленватиниба против VEGFR2 составила 2,1 нмоль/л. Рентгеновский анализ кристаллической структуры комплекса VEGFR2-ленватиниб и комплекса FGFR1-ленватиниб показал, что ленватиниб связывается с сайтом связывания аденозинтрифосфата (АТФ) и соседней аллостерической областью в киназном домене, принимая конформацию "аспаргиновая кислота-фенилаланин-глицин (DFG)-in"</w:t>
      </w:r>
      <w:r>
        <w:t>.</w:t>
      </w:r>
    </w:p>
    <w:p w14:paraId="3B2C9412" w14:textId="77777777" w:rsidR="00822089" w:rsidRPr="009F43BF" w:rsidRDefault="00822089" w:rsidP="00822089">
      <w:pPr>
        <w:ind w:firstLine="709"/>
      </w:pPr>
      <w:r w:rsidRPr="009F43BF">
        <w:t xml:space="preserve">Был оценен противоопухолевый эффект ленватиниба </w:t>
      </w:r>
      <w:r w:rsidRPr="009F43BF">
        <w:rPr>
          <w:i/>
          <w:iCs/>
        </w:rPr>
        <w:t>in vivo</w:t>
      </w:r>
      <w:r w:rsidRPr="009F43BF">
        <w:t xml:space="preserve"> на рост опухоли клеточной линии папиллярной карциномы щитовидной железы человека К1 на модели ксенотрансплантата мыши. </w:t>
      </w:r>
      <w:r>
        <w:t>Установлено</w:t>
      </w:r>
      <w:r w:rsidRPr="009F43BF">
        <w:t>, что ежедневное введение ленватиниба в течение 14 дней мышам, которым имплантировали клеточную линию карциномы щитовидной железы человека К1, приводило к задержке роста опухоли дозозависимым образом без статистически значимого влияния на массу тела.</w:t>
      </w:r>
    </w:p>
    <w:p w14:paraId="383950E7" w14:textId="77777777" w:rsidR="00822089" w:rsidRPr="009F43BF" w:rsidRDefault="00822089" w:rsidP="00822089">
      <w:pPr>
        <w:ind w:firstLine="709"/>
      </w:pPr>
      <w:r>
        <w:t>И</w:t>
      </w:r>
      <w:r w:rsidRPr="009F43BF">
        <w:t xml:space="preserve">зучено влияние ленватиниба как на рост опухоли, так и на ангиогенез опухоли в ксенотрансплантатах линии клеток анапластического рака человека 8305C у бестимусных мышей. </w:t>
      </w:r>
      <w:r>
        <w:t>В</w:t>
      </w:r>
      <w:r w:rsidRPr="009F43BF">
        <w:t xml:space="preserve">ыяснено, что ленватиниб имел значительное дозозависимое снижение объема опухоли по сравнению с </w:t>
      </w:r>
      <w:r>
        <w:t>контролем</w:t>
      </w:r>
      <w:r w:rsidRPr="009F43BF">
        <w:t xml:space="preserve"> на 15-й день. Ленватиниб в диапазоне доз от 3 до 100 мг/кг значительно и дозозависимо снижал плотность микрососудов в опухолях 8305C на 15-й день. </w:t>
      </w:r>
    </w:p>
    <w:p w14:paraId="09E18A02" w14:textId="77777777" w:rsidR="00822089" w:rsidRPr="009F43BF" w:rsidRDefault="00822089" w:rsidP="00822089">
      <w:pPr>
        <w:ind w:firstLine="709"/>
      </w:pPr>
      <w:r w:rsidRPr="009F43BF">
        <w:t xml:space="preserve">Для оценки </w:t>
      </w:r>
      <w:r w:rsidRPr="00944B59">
        <w:t xml:space="preserve">потенциальных </w:t>
      </w:r>
      <w:r w:rsidRPr="00944B59">
        <w:rPr>
          <w:bCs/>
        </w:rPr>
        <w:t>вторичных фармакодинамических эффектов</w:t>
      </w:r>
      <w:r w:rsidRPr="009F43BF">
        <w:t xml:space="preserve"> ленватиниба было проведено исследование связывани</w:t>
      </w:r>
      <w:r>
        <w:t>я</w:t>
      </w:r>
      <w:r w:rsidRPr="009F43BF">
        <w:t xml:space="preserve"> с панелью из 50 некиназных рецепторов (ExpressSProfile) при концентрациях ленватиниба от 1 и 10 мкмоль/л. Не отмечалось значительного связывания (&gt;50% ингибирование) ленватиниба </w:t>
      </w:r>
      <w:r>
        <w:t>с</w:t>
      </w:r>
      <w:r w:rsidRPr="009F43BF">
        <w:t xml:space="preserve"> рецепторам</w:t>
      </w:r>
      <w:r>
        <w:t>и</w:t>
      </w:r>
      <w:r w:rsidRPr="009F43BF">
        <w:t xml:space="preserve"> ExpresSProfile при оцениваемых концентрациях, за исключением рецептора 5-гидрокситриптамина 1В (58%) и человеческого переносчик</w:t>
      </w:r>
      <w:r>
        <w:t>а</w:t>
      </w:r>
      <w:r w:rsidRPr="009F43BF">
        <w:t xml:space="preserve"> норадреналина (50%) при 10 мкмоль/л.</w:t>
      </w:r>
    </w:p>
    <w:p w14:paraId="2C782B45" w14:textId="77777777" w:rsidR="00822089" w:rsidRPr="009F43BF" w:rsidRDefault="00822089" w:rsidP="00822089">
      <w:pPr>
        <w:ind w:firstLine="709"/>
      </w:pPr>
      <w:r w:rsidRPr="00944B59">
        <w:rPr>
          <w:bCs/>
        </w:rPr>
        <w:t>Фармакокинетика</w:t>
      </w:r>
      <w:r w:rsidRPr="00944B59">
        <w:t xml:space="preserve"> ленватиниба оценивалась </w:t>
      </w:r>
      <w:r w:rsidRPr="00944B59">
        <w:rPr>
          <w:i/>
          <w:iCs/>
        </w:rPr>
        <w:t>in vivo</w:t>
      </w:r>
      <w:r w:rsidRPr="00944B59">
        <w:t xml:space="preserve"> после перорального введения мыш</w:t>
      </w:r>
      <w:r>
        <w:t>ам</w:t>
      </w:r>
      <w:r w:rsidRPr="00944B59">
        <w:t>, крыс</w:t>
      </w:r>
      <w:r>
        <w:t>ам</w:t>
      </w:r>
      <w:r w:rsidRPr="00944B59">
        <w:t>, собак</w:t>
      </w:r>
      <w:r>
        <w:t>ам</w:t>
      </w:r>
      <w:r w:rsidRPr="00944B59">
        <w:t xml:space="preserve"> и обезьян</w:t>
      </w:r>
      <w:r>
        <w:t>ам</w:t>
      </w:r>
      <w:r w:rsidRPr="009F43BF">
        <w:t xml:space="preserve">. Образцы плазмы, собранные у мышей, крыс, собак и обезьян в ходе токсикокинетических исследований, анализировали с помощью </w:t>
      </w:r>
      <w:r>
        <w:t>в</w:t>
      </w:r>
      <w:r w:rsidRPr="00524381">
        <w:t>ысокоэффективн</w:t>
      </w:r>
      <w:r>
        <w:t>ой</w:t>
      </w:r>
      <w:r w:rsidRPr="00524381">
        <w:t xml:space="preserve"> жидкостн</w:t>
      </w:r>
      <w:r>
        <w:t>ой</w:t>
      </w:r>
      <w:r w:rsidRPr="00524381">
        <w:t xml:space="preserve"> хроматографи</w:t>
      </w:r>
      <w:r>
        <w:t>и (</w:t>
      </w:r>
      <w:r w:rsidRPr="009F43BF">
        <w:t>ВЭЖХ</w:t>
      </w:r>
      <w:r>
        <w:t>)</w:t>
      </w:r>
      <w:r w:rsidRPr="009F43BF">
        <w:t xml:space="preserve"> </w:t>
      </w:r>
      <w:r>
        <w:t>и ж</w:t>
      </w:r>
      <w:r w:rsidRPr="004F1FC8">
        <w:t>идкостн</w:t>
      </w:r>
      <w:r>
        <w:t>ой</w:t>
      </w:r>
      <w:r w:rsidRPr="004F1FC8">
        <w:t xml:space="preserve"> хроматографи</w:t>
      </w:r>
      <w:r>
        <w:t>и</w:t>
      </w:r>
      <w:r w:rsidRPr="004F1FC8">
        <w:t xml:space="preserve"> с масс спектрометрией</w:t>
      </w:r>
      <w:r>
        <w:t xml:space="preserve"> (</w:t>
      </w:r>
      <w:r w:rsidRPr="009F43BF">
        <w:t>ЖХ/МС</w:t>
      </w:r>
      <w:r>
        <w:t>)</w:t>
      </w:r>
      <w:r w:rsidRPr="009F43BF">
        <w:t xml:space="preserve">. После введения радиоактивного </w:t>
      </w:r>
      <w:r w:rsidRPr="00C22830">
        <w:rPr>
          <w:vertAlign w:val="superscript"/>
        </w:rPr>
        <w:t>14</w:t>
      </w:r>
      <w:r w:rsidRPr="009F43BF">
        <w:t xml:space="preserve">C-ленватиниба радиоактивность измеряли жидкостным сцинтилляционным счетчиком (ЖСС). Билиарная экскреция исследовалась у крыс с канюлированными желчными протоками в течение 48 часов после введения </w:t>
      </w:r>
      <w:r w:rsidRPr="00C22830">
        <w:rPr>
          <w:vertAlign w:val="superscript"/>
        </w:rPr>
        <w:t>14</w:t>
      </w:r>
      <w:r w:rsidRPr="009F43BF">
        <w:t>C-ленватиниба.</w:t>
      </w:r>
    </w:p>
    <w:p w14:paraId="1920C6EB" w14:textId="77777777" w:rsidR="00822089" w:rsidRPr="009F43BF" w:rsidRDefault="00822089" w:rsidP="00822089">
      <w:pPr>
        <w:ind w:firstLine="709"/>
      </w:pPr>
      <w:r w:rsidRPr="009F43BF">
        <w:t>Пероральная биодоступность ленватиниба составляла 64,4%, 68,7%, 70,4% и 78,4% у мышей, крыс, собак и обезьян</w:t>
      </w:r>
      <w:r>
        <w:t>,</w:t>
      </w:r>
      <w:r w:rsidRPr="009F43BF">
        <w:t xml:space="preserve"> соответственно. T</w:t>
      </w:r>
      <w:r w:rsidRPr="00D95A14">
        <w:rPr>
          <w:vertAlign w:val="subscript"/>
        </w:rPr>
        <w:t>max</w:t>
      </w:r>
      <w:r w:rsidRPr="009F43BF">
        <w:t xml:space="preserve"> варьировала от 0,5 до 2 часов у </w:t>
      </w:r>
      <w:r w:rsidRPr="009F43BF">
        <w:lastRenderedPageBreak/>
        <w:t xml:space="preserve">животных после перорального введения ленватиниба, что незначительно короче, чем диапазон от 1 до 4 часов, наблюдаемый у людей. </w:t>
      </w:r>
    </w:p>
    <w:p w14:paraId="197BD87A" w14:textId="77777777" w:rsidR="00822089" w:rsidRPr="009F43BF" w:rsidRDefault="00822089" w:rsidP="00822089">
      <w:pPr>
        <w:ind w:firstLine="709"/>
      </w:pPr>
      <w:r w:rsidRPr="009F43BF">
        <w:t xml:space="preserve">Период полувыведения </w:t>
      </w:r>
      <w:r>
        <w:t>(</w:t>
      </w:r>
      <w:r w:rsidRPr="001F08B5">
        <w:t>T</w:t>
      </w:r>
      <w:r w:rsidRPr="00C22830">
        <w:rPr>
          <w:vertAlign w:val="subscript"/>
        </w:rPr>
        <w:t>1/2</w:t>
      </w:r>
      <w:r>
        <w:t xml:space="preserve">) </w:t>
      </w:r>
      <w:r w:rsidRPr="009F43BF">
        <w:t>у всех видов животных после однократного перорального приема ленватиниба колеблется от 1,74 до 5,27 часов, что намного короче, чем у людей (~28 часов после однократного и многократного приема ленватиниба</w:t>
      </w:r>
      <w:r>
        <w:t>)</w:t>
      </w:r>
      <w:r w:rsidRPr="009F43BF">
        <w:t>.</w:t>
      </w:r>
    </w:p>
    <w:p w14:paraId="3F2C6F27" w14:textId="77777777" w:rsidR="00822089" w:rsidRPr="009F43BF" w:rsidRDefault="00822089" w:rsidP="00822089">
      <w:pPr>
        <w:ind w:firstLine="709"/>
      </w:pPr>
      <w:r w:rsidRPr="009F43BF">
        <w:t>Радиоактивность после перорального приема радиоактивно</w:t>
      </w:r>
      <w:r>
        <w:t xml:space="preserve"> меченного</w:t>
      </w:r>
      <w:r w:rsidRPr="009F43BF">
        <w:t xml:space="preserve"> </w:t>
      </w:r>
      <w:r w:rsidRPr="006C4F53">
        <w:rPr>
          <w:vertAlign w:val="superscript"/>
        </w:rPr>
        <w:t>14</w:t>
      </w:r>
      <w:r w:rsidRPr="009F43BF">
        <w:t xml:space="preserve">C-ленватиниба крысам (перорально через желудочный зонд в дозе 3 мг/кг) достигла максимального уровня в большинстве тканей через 30 мин после введения </w:t>
      </w:r>
      <w:r w:rsidRPr="006C4F53">
        <w:rPr>
          <w:vertAlign w:val="superscript"/>
        </w:rPr>
        <w:t>14</w:t>
      </w:r>
      <w:r w:rsidRPr="009F43BF">
        <w:t>C-ленватиниба, за исключением слепой кишки, толстой кишк</w:t>
      </w:r>
      <w:r>
        <w:t>и</w:t>
      </w:r>
      <w:r w:rsidRPr="009F43BF">
        <w:t xml:space="preserve"> и кожи, где он достиг максимального уровня через 6 часов после введения. Распределение </w:t>
      </w:r>
      <w:r w:rsidRPr="006C4F53">
        <w:rPr>
          <w:vertAlign w:val="superscript"/>
        </w:rPr>
        <w:t>14</w:t>
      </w:r>
      <w:r w:rsidRPr="009F43BF">
        <w:t xml:space="preserve">C-ленватиниба было самым высоким в печени крыс, надпочечниках, желудке и тонком кишечнике (в 1–3 раза выше, чем в плазме). Через 30 минут после введения радиоактивного </w:t>
      </w:r>
      <w:r w:rsidRPr="006C4F53">
        <w:rPr>
          <w:vertAlign w:val="superscript"/>
        </w:rPr>
        <w:t>14</w:t>
      </w:r>
      <w:r w:rsidRPr="009F43BF">
        <w:t xml:space="preserve">C-ленватиниба в слепой кишке и толстой кишке, радиоактивность </w:t>
      </w:r>
      <w:r>
        <w:t xml:space="preserve">была </w:t>
      </w:r>
      <w:r w:rsidRPr="009F43BF">
        <w:t xml:space="preserve">примерно в 12 раз выше, чем в плазме через 6 часов после введения. Распределение </w:t>
      </w:r>
      <w:r w:rsidRPr="006C4F53">
        <w:rPr>
          <w:vertAlign w:val="superscript"/>
        </w:rPr>
        <w:t>14</w:t>
      </w:r>
      <w:r w:rsidRPr="009F43BF">
        <w:t xml:space="preserve">C-ленватиниба в головном мозге крыс, мозжечке, продолговатом мозге и спинном мозге составляло ≤2% </w:t>
      </w:r>
      <w:r w:rsidRPr="006C4F53">
        <w:rPr>
          <w:vertAlign w:val="superscript"/>
        </w:rPr>
        <w:t>14</w:t>
      </w:r>
      <w:r w:rsidRPr="009F43BF">
        <w:t>C-ленватиниба в плазме, а распределение радиоактивности в головной мозг составило ≤0,02% от общей дозы радиоактивности.</w:t>
      </w:r>
    </w:p>
    <w:p w14:paraId="26B0F2CD" w14:textId="77777777" w:rsidR="00822089" w:rsidRPr="009F43BF" w:rsidRDefault="00822089" w:rsidP="00822089">
      <w:pPr>
        <w:ind w:firstLine="709"/>
      </w:pPr>
      <w:r w:rsidRPr="006C4F53">
        <w:rPr>
          <w:i/>
          <w:iCs/>
        </w:rPr>
        <w:t>In vitro</w:t>
      </w:r>
      <w:r w:rsidRPr="009F43BF">
        <w:t xml:space="preserve"> ленватиниб в значительной степени связывался с белками плазмы как у животных (~90-98%), так и у человека (98–99%), преимущественно с альбумином и в меньшей степени с α1-кислым гликопротеином и γ-глобулином.</w:t>
      </w:r>
    </w:p>
    <w:p w14:paraId="6D5F6ED2" w14:textId="77777777" w:rsidR="00822089" w:rsidRPr="009F43BF" w:rsidRDefault="00822089" w:rsidP="00822089">
      <w:pPr>
        <w:ind w:firstLine="709"/>
      </w:pPr>
      <w:r w:rsidRPr="009F43BF">
        <w:t xml:space="preserve">Был оценен метаболизм ленватиниба </w:t>
      </w:r>
      <w:r w:rsidRPr="006C4F53">
        <w:rPr>
          <w:i/>
          <w:iCs/>
        </w:rPr>
        <w:t>in vitro</w:t>
      </w:r>
      <w:r w:rsidRPr="009F43BF">
        <w:t xml:space="preserve"> с исп</w:t>
      </w:r>
      <w:r>
        <w:t>ользованием микросом печени мышей, крыс, собак</w:t>
      </w:r>
      <w:r w:rsidRPr="009F43BF">
        <w:t>,</w:t>
      </w:r>
      <w:r>
        <w:t xml:space="preserve"> обезьян</w:t>
      </w:r>
      <w:r w:rsidRPr="009F43BF">
        <w:t xml:space="preserve"> и человека, реакционные смеси анализировали с помощью ЖХ/МС. В микросомах печени было идентифицировано восемь метаболитов. В микросомах печени человека обнаружено шесть метаболитов: М1, М2, М3, М4, М5 и М8. M8 также был обнаружен в микросомах печени обезьян, а остальные 5 метаболитов были обнаружены в микросомах всех исследованных видов. М2, деметилированная форма ленватиниба, был основным метаболитом, идентифицированным в микросомах печени человека.</w:t>
      </w:r>
    </w:p>
    <w:p w14:paraId="012B7204" w14:textId="77777777" w:rsidR="00822089" w:rsidRPr="009F43BF" w:rsidRDefault="00822089" w:rsidP="00822089">
      <w:pPr>
        <w:ind w:firstLine="709"/>
      </w:pPr>
      <w:r w:rsidRPr="009F43BF">
        <w:t xml:space="preserve">После однократного перорального введения </w:t>
      </w:r>
      <w:r w:rsidRPr="006C4F53">
        <w:rPr>
          <w:vertAlign w:val="superscript"/>
        </w:rPr>
        <w:t>14</w:t>
      </w:r>
      <w:r w:rsidRPr="009F43BF">
        <w:t xml:space="preserve">C-ленватиниба крысам (перорально через желудочный зонд в дозе 3 мг/кг), экскреция </w:t>
      </w:r>
      <w:r w:rsidRPr="006C4F53">
        <w:rPr>
          <w:vertAlign w:val="superscript"/>
        </w:rPr>
        <w:t>14</w:t>
      </w:r>
      <w:r w:rsidRPr="009F43BF">
        <w:t xml:space="preserve">C-ленватиниба с калом составила 87,2%, с мочой 12,2%. Через сорок восемь часов после введения однократной пероральной дозы </w:t>
      </w:r>
      <w:r w:rsidRPr="006C4F53">
        <w:rPr>
          <w:vertAlign w:val="superscript"/>
        </w:rPr>
        <w:t>14</w:t>
      </w:r>
      <w:r w:rsidRPr="009F43BF">
        <w:t>C-ленватиниба крысам с канюлированными желчными протоками экскреция с желчью, мочой и калом составила 41,6%, 18,1% и 27,2% дозы</w:t>
      </w:r>
      <w:r>
        <w:t>,</w:t>
      </w:r>
      <w:r w:rsidRPr="009F43BF">
        <w:t xml:space="preserve"> соответственно. Эти данные свидетельствуют о том, что преобладающим путем выведения ленватиниба у крыс является фекальный путь с желчью, и по меньшей мере 65% введенной дозы всасывается.</w:t>
      </w:r>
    </w:p>
    <w:p w14:paraId="7AC1C383" w14:textId="77777777" w:rsidR="00822089" w:rsidRPr="009F43BF" w:rsidRDefault="00822089" w:rsidP="00822089">
      <w:pPr>
        <w:ind w:firstLine="709"/>
      </w:pPr>
      <w:r w:rsidRPr="009F43BF">
        <w:t xml:space="preserve">После однократного перорального введения </w:t>
      </w:r>
      <w:r w:rsidRPr="006C4F53">
        <w:rPr>
          <w:vertAlign w:val="superscript"/>
        </w:rPr>
        <w:t>14</w:t>
      </w:r>
      <w:r w:rsidRPr="009F43BF">
        <w:t xml:space="preserve">C-ленватиниба обезьянам (перорально через желудочный зонд в дозе 3 мг/кг) экскреция </w:t>
      </w:r>
      <w:r w:rsidRPr="006C4F53">
        <w:rPr>
          <w:vertAlign w:val="superscript"/>
        </w:rPr>
        <w:t>14</w:t>
      </w:r>
      <w:r w:rsidRPr="009F43BF">
        <w:t>C-ленватиниба с калом составила 72,8%, с мочой 17,2%.</w:t>
      </w:r>
    </w:p>
    <w:p w14:paraId="76768467" w14:textId="77777777" w:rsidR="00822089" w:rsidRPr="00944B59" w:rsidRDefault="00822089" w:rsidP="00822089">
      <w:pPr>
        <w:ind w:firstLine="709"/>
      </w:pPr>
      <w:r w:rsidRPr="00944B59">
        <w:rPr>
          <w:bCs/>
        </w:rPr>
        <w:t>Токсичность при однократном и многократном введении ленватиниба</w:t>
      </w:r>
      <w:r w:rsidRPr="00944B59">
        <w:t xml:space="preserve"> изучали у крыс, собак и обезьян.</w:t>
      </w:r>
    </w:p>
    <w:p w14:paraId="3BC26CE9" w14:textId="77777777" w:rsidR="00822089" w:rsidRPr="006931A4" w:rsidRDefault="00822089" w:rsidP="00822089">
      <w:pPr>
        <w:ind w:firstLine="709"/>
        <w:rPr>
          <w:iCs/>
        </w:rPr>
      </w:pPr>
      <w:r w:rsidRPr="009F43BF">
        <w:t xml:space="preserve">Исследования токсичности при однократном введении </w:t>
      </w:r>
      <w:r>
        <w:t>проводили</w:t>
      </w:r>
      <w:r w:rsidRPr="009F43BF">
        <w:t xml:space="preserve"> у крыс и собак. Ленватиниб в дозах 10, 30, 100 мг/кг однократно через желудочный зонд вводили самцам крыс </w:t>
      </w:r>
      <w:r w:rsidRPr="0005153E">
        <w:rPr>
          <w:iCs/>
        </w:rPr>
        <w:t>Sprague-Dawley</w:t>
      </w:r>
      <w:r w:rsidRPr="009F43BF">
        <w:t xml:space="preserve"> (6 самцов в экспериментальной группе, 6 в контроле) для оценки общего физического состояния, поведения животных, оценки дыхательной функции. Эксперименты проводилась до введения ленватиниба и через 1, 2, 4 и 8 часов после введения. Было выяснено, что все дозы до 100 мг/кг не оказывали влияния на общее физическое состояние и поведение крыс, не отмечалось статистически значимого влияния </w:t>
      </w:r>
      <w:r w:rsidRPr="009F43BF">
        <w:lastRenderedPageBreak/>
        <w:t xml:space="preserve">ленватиниба на измеренные параметры дыхательной функции у самцов крыс </w:t>
      </w:r>
      <w:r w:rsidRPr="006931A4">
        <w:rPr>
          <w:iCs/>
        </w:rPr>
        <w:t>Sprague-Dawley.</w:t>
      </w:r>
    </w:p>
    <w:p w14:paraId="224D21C0" w14:textId="77777777" w:rsidR="007175C6" w:rsidRPr="009F43BF" w:rsidRDefault="007175C6" w:rsidP="007175C6">
      <w:pPr>
        <w:ind w:firstLine="709"/>
      </w:pPr>
      <w:r w:rsidRPr="009F43BF">
        <w:t xml:space="preserve">Влияние на сердечно-сосудистую систему изучалось при введении ленватиниба в дозах 6 и 30 мг/кг однократно через желудочный зонд собакам (3 самки, 3 самца). Было выяснено, что у самцов собак </w:t>
      </w:r>
      <w:r>
        <w:t>частота сердечных сокращений (</w:t>
      </w:r>
      <w:r w:rsidRPr="009F43BF">
        <w:t>ЧСС</w:t>
      </w:r>
      <w:r>
        <w:t>)</w:t>
      </w:r>
      <w:r w:rsidRPr="009F43BF">
        <w:t xml:space="preserve"> снизилась на 23% через 4 часа после введения дозы 6 мг/кг по сравнению с контролем. </w:t>
      </w:r>
      <w:r>
        <w:t>Артериальное давление (</w:t>
      </w:r>
      <w:r w:rsidRPr="009F43BF">
        <w:t>АД</w:t>
      </w:r>
      <w:r>
        <w:t>)</w:t>
      </w:r>
      <w:r w:rsidRPr="009F43BF">
        <w:t xml:space="preserve"> у самцов увеличилось на 29% и 23% через 2 часа после введения 6 и 30 мг/кг</w:t>
      </w:r>
      <w:r>
        <w:t>,</w:t>
      </w:r>
      <w:r w:rsidRPr="009F43BF">
        <w:t xml:space="preserve"> соответственно</w:t>
      </w:r>
      <w:r>
        <w:t>,</w:t>
      </w:r>
      <w:r w:rsidRPr="009F43BF">
        <w:t xml:space="preserve"> по сравнению с контролем. </w:t>
      </w:r>
      <w:r>
        <w:t>При оценке электрокардиограммы (ЭКГ) п</w:t>
      </w:r>
      <w:r w:rsidRPr="009F43BF">
        <w:t>родолжительность QRS у самцов собак уменьшилась на 13% и 11% через 1 и 4 часа после введения дозы 30 мг/кг по сравнению с контролем.</w:t>
      </w:r>
    </w:p>
    <w:p w14:paraId="04148823" w14:textId="77777777" w:rsidR="007175C6" w:rsidRPr="009F43BF" w:rsidRDefault="007175C6" w:rsidP="007175C6">
      <w:pPr>
        <w:ind w:firstLine="709"/>
      </w:pPr>
      <w:r w:rsidRPr="009F43BF">
        <w:t xml:space="preserve">Ленватиниб оценивался в токсикологических исследованиях при многократном введении у крыс </w:t>
      </w:r>
      <w:r w:rsidRPr="0005153E">
        <w:rPr>
          <w:iCs/>
        </w:rPr>
        <w:t>Sprague Dawley</w:t>
      </w:r>
      <w:r w:rsidRPr="009F43BF">
        <w:t xml:space="preserve"> (до 26 недель), у собак (до 4 недель), у яванских макак (до 39 недель).</w:t>
      </w:r>
    </w:p>
    <w:p w14:paraId="22B761D6" w14:textId="77777777" w:rsidR="007175C6" w:rsidRPr="009F43BF" w:rsidRDefault="007175C6" w:rsidP="007175C6">
      <w:pPr>
        <w:ind w:firstLine="709"/>
      </w:pPr>
      <w:r w:rsidRPr="009F43BF">
        <w:t xml:space="preserve">Основными органами токсичности ленватиниба были </w:t>
      </w:r>
      <w:r>
        <w:t>ЖКТ</w:t>
      </w:r>
      <w:r w:rsidRPr="009F43BF">
        <w:t xml:space="preserve"> (водянистый стул, снижение массы тела и потребления пищи, дегенерация медиальных артерий в желудке и слепой кишке), почк</w:t>
      </w:r>
      <w:r>
        <w:t>и</w:t>
      </w:r>
      <w:r w:rsidRPr="009F43BF">
        <w:t xml:space="preserve"> (гломерулопатия), печен</w:t>
      </w:r>
      <w:r>
        <w:t>ь</w:t>
      </w:r>
      <w:r w:rsidRPr="009F43BF">
        <w:t xml:space="preserve"> (повышение АЛТ и АСТ), желчн</w:t>
      </w:r>
      <w:r>
        <w:t>ый</w:t>
      </w:r>
      <w:r w:rsidRPr="009F43BF">
        <w:t xml:space="preserve"> пузыр</w:t>
      </w:r>
      <w:r>
        <w:t>ь</w:t>
      </w:r>
      <w:r w:rsidRPr="009F43BF">
        <w:t xml:space="preserve"> (артериальный фиброзный некроз), яичк</w:t>
      </w:r>
      <w:r>
        <w:t>и</w:t>
      </w:r>
      <w:r w:rsidRPr="009F43BF">
        <w:t>, головно</w:t>
      </w:r>
      <w:r>
        <w:t>й</w:t>
      </w:r>
      <w:r w:rsidRPr="009F43BF">
        <w:t xml:space="preserve"> мозг</w:t>
      </w:r>
      <w:r>
        <w:t>,</w:t>
      </w:r>
      <w:r w:rsidRPr="009F43BF">
        <w:t xml:space="preserve"> селезенк</w:t>
      </w:r>
      <w:r>
        <w:t>а</w:t>
      </w:r>
      <w:r w:rsidRPr="009F43BF">
        <w:t xml:space="preserve"> (лимфоидная атрофия) и надпочечник</w:t>
      </w:r>
      <w:r>
        <w:t>и</w:t>
      </w:r>
      <w:r w:rsidRPr="009F43BF">
        <w:t xml:space="preserve"> (корковая гипертрофия).</w:t>
      </w:r>
    </w:p>
    <w:p w14:paraId="70310E47" w14:textId="77777777" w:rsidR="007175C6" w:rsidRPr="009F43BF" w:rsidRDefault="007175C6" w:rsidP="007175C6">
      <w:pPr>
        <w:ind w:firstLine="709"/>
      </w:pPr>
      <w:r w:rsidRPr="009F43BF">
        <w:t xml:space="preserve">Ленватиниб не оказывал мутагенного действия в </w:t>
      </w:r>
      <w:r>
        <w:t>тесте</w:t>
      </w:r>
      <w:r w:rsidRPr="009F43BF">
        <w:t xml:space="preserve"> Эймса </w:t>
      </w:r>
      <w:r w:rsidRPr="0039119F">
        <w:rPr>
          <w:i/>
          <w:iCs/>
        </w:rPr>
        <w:t>in vitro</w:t>
      </w:r>
      <w:r w:rsidRPr="009F43BF">
        <w:t xml:space="preserve"> и на мышах </w:t>
      </w:r>
      <w:r w:rsidRPr="0039119F">
        <w:rPr>
          <w:i/>
          <w:iCs/>
        </w:rPr>
        <w:t>in vitro</w:t>
      </w:r>
      <w:r w:rsidRPr="009F43BF">
        <w:t xml:space="preserve">. Ленватиниб был не кластогенным в микроядерном анализе костного мозга крыс </w:t>
      </w:r>
      <w:r w:rsidRPr="00423637">
        <w:rPr>
          <w:i/>
          <w:iCs/>
        </w:rPr>
        <w:t>in vivo</w:t>
      </w:r>
      <w:r w:rsidRPr="009F43BF">
        <w:t xml:space="preserve"> при уровнях доз до 2000 мг/кг. Хотя ленватиниб не был генотоксичен, </w:t>
      </w:r>
      <w:r>
        <w:t>для</w:t>
      </w:r>
      <w:r w:rsidRPr="009F43BF">
        <w:t xml:space="preserve"> 5 из 14 примесей, протестированных </w:t>
      </w:r>
      <w:r w:rsidRPr="00C22830">
        <w:rPr>
          <w:i/>
          <w:iCs/>
        </w:rPr>
        <w:t>in vitro</w:t>
      </w:r>
      <w:r w:rsidRPr="009F43BF">
        <w:t xml:space="preserve"> </w:t>
      </w:r>
      <w:r>
        <w:t>в тесте</w:t>
      </w:r>
      <w:r w:rsidRPr="009F43BF">
        <w:t xml:space="preserve"> Эймс</w:t>
      </w:r>
      <w:r>
        <w:t>а</w:t>
      </w:r>
      <w:r w:rsidRPr="009F43BF">
        <w:t xml:space="preserve">, </w:t>
      </w:r>
      <w:r>
        <w:t>был выявлен мутагенный потенциал</w:t>
      </w:r>
      <w:r w:rsidRPr="009F43BF">
        <w:t xml:space="preserve">. </w:t>
      </w:r>
    </w:p>
    <w:p w14:paraId="24FDBB32" w14:textId="77777777" w:rsidR="007175C6" w:rsidRPr="009F43BF" w:rsidRDefault="007175C6" w:rsidP="007175C6">
      <w:pPr>
        <w:tabs>
          <w:tab w:val="left" w:pos="851"/>
        </w:tabs>
        <w:ind w:firstLine="709"/>
      </w:pPr>
      <w:r w:rsidRPr="009F43BF">
        <w:t>Исследования фертильности/эмбрионального развития ленватиниба не проводились. Однако, результаты токсикокинетических исследований повторных доз позволяют предположить, что введение ленватиниба может ухудшить мужскую и женскую репродуктивную функцию и/или фертильность.</w:t>
      </w:r>
    </w:p>
    <w:p w14:paraId="35033B51" w14:textId="77777777" w:rsidR="007175C6" w:rsidRPr="009F43BF" w:rsidRDefault="007175C6" w:rsidP="007175C6">
      <w:pPr>
        <w:ind w:firstLine="709"/>
      </w:pPr>
      <w:r>
        <w:t>В</w:t>
      </w:r>
      <w:r w:rsidRPr="009F43BF">
        <w:t xml:space="preserve"> токсикокинетических исследованиях у крыс отмечалась фолликулярная атрезия яичников, гипоцеллюлярность семенного эпителия в семенниках в дозах, в 9–39 раз превышающие дозы, рекомендуемые для человека (24 мг). </w:t>
      </w:r>
    </w:p>
    <w:p w14:paraId="58075735" w14:textId="77777777" w:rsidR="007175C6" w:rsidRPr="009F43BF" w:rsidRDefault="007175C6" w:rsidP="007175C6">
      <w:pPr>
        <w:ind w:firstLine="709"/>
      </w:pPr>
      <w:r w:rsidRPr="009F43BF">
        <w:t xml:space="preserve">При токсикокинетических исследованиях у обезьян отмечалась фолликулярная атрезия яичников и снижение частоты менструаций </w:t>
      </w:r>
      <w:r>
        <w:t>при</w:t>
      </w:r>
      <w:r w:rsidRPr="009F43BF">
        <w:t xml:space="preserve"> экспозици</w:t>
      </w:r>
      <w:r>
        <w:t>и</w:t>
      </w:r>
      <w:r w:rsidRPr="009F43BF">
        <w:t xml:space="preserve"> ленватиниба примерно в 0,2–1 раза превыша</w:t>
      </w:r>
      <w:r>
        <w:t>вшей</w:t>
      </w:r>
      <w:r w:rsidRPr="009F43BF">
        <w:t xml:space="preserve"> клиническую экспозицию в рекомендованной дозе для человека. Гипоклеточность семенного эпителия в семенниках наблюдалось у обезьян при </w:t>
      </w:r>
      <w:r>
        <w:t>экспозиции</w:t>
      </w:r>
      <w:r w:rsidRPr="009F43BF">
        <w:t xml:space="preserve"> ленватиниба примерно в 4–19 раз </w:t>
      </w:r>
      <w:r>
        <w:t>выше</w:t>
      </w:r>
      <w:r w:rsidRPr="009F43BF">
        <w:t xml:space="preserve">, чем </w:t>
      </w:r>
      <w:r>
        <w:t xml:space="preserve">экспозиция </w:t>
      </w:r>
      <w:r w:rsidRPr="009F43BF">
        <w:t xml:space="preserve">в рекомендуемой дозе для человека. </w:t>
      </w:r>
    </w:p>
    <w:p w14:paraId="2CA982B8" w14:textId="1DA645B2" w:rsidR="007175C6" w:rsidRPr="00944B59" w:rsidRDefault="007175C6" w:rsidP="007175C6">
      <w:pPr>
        <w:ind w:firstLine="709"/>
      </w:pPr>
      <w:r>
        <w:t>В</w:t>
      </w:r>
      <w:r w:rsidRPr="00944B59">
        <w:t xml:space="preserve"> </w:t>
      </w:r>
      <w:r w:rsidRPr="00944B59">
        <w:rPr>
          <w:bCs/>
        </w:rPr>
        <w:t>токсикокинетических</w:t>
      </w:r>
      <w:r w:rsidRPr="00944B59">
        <w:t xml:space="preserve"> исследованиях у собак отмечались гипоцеллюлярность семенного эпителия в яичках и </w:t>
      </w:r>
      <w:r w:rsidR="00202E76">
        <w:t>десквамация</w:t>
      </w:r>
      <w:r w:rsidR="00202E76" w:rsidRPr="00944B59">
        <w:t xml:space="preserve"> </w:t>
      </w:r>
      <w:r w:rsidRPr="00944B59">
        <w:t xml:space="preserve">клеток семенного эпителия в придатках яичка при </w:t>
      </w:r>
      <w:r>
        <w:t>экспозиции</w:t>
      </w:r>
      <w:r w:rsidRPr="00944B59">
        <w:t xml:space="preserve"> ленватиниба примерно от 0,02 до 0,09 раз превыша</w:t>
      </w:r>
      <w:r>
        <w:t>вш</w:t>
      </w:r>
      <w:r w:rsidRPr="00944B59">
        <w:t>ей клиническую экспозицию при рекомендуемой дозе для человека.</w:t>
      </w:r>
    </w:p>
    <w:p w14:paraId="7E0886FC" w14:textId="77777777" w:rsidR="007175C6" w:rsidRPr="00944B59" w:rsidRDefault="007175C6" w:rsidP="007175C6">
      <w:pPr>
        <w:ind w:firstLine="709"/>
      </w:pPr>
      <w:r w:rsidRPr="00944B59">
        <w:t xml:space="preserve">В исследовании на беременных крысах были изучены токсикокинетические показатели проницаемости плацентарного барьера и оценена способность проникновения ленватиниба в молоко лактирующих крыс. Хотя ленватиниб преодолел плацентарный барьер, процентное распределение радиоактивности </w:t>
      </w:r>
      <w:r>
        <w:t>в</w:t>
      </w:r>
      <w:r w:rsidRPr="00944B59">
        <w:t xml:space="preserve"> каждый плод составляло ≤ 0,02% от </w:t>
      </w:r>
      <w:r>
        <w:t>введенной дозы</w:t>
      </w:r>
      <w:r w:rsidRPr="00944B59">
        <w:t xml:space="preserve"> радиоактивности, что свидетельствует об относительно низкой плацентарной передаче ленватиниба плоду.</w:t>
      </w:r>
    </w:p>
    <w:p w14:paraId="282F6FF4" w14:textId="77777777" w:rsidR="007175C6" w:rsidRPr="009F43BF" w:rsidRDefault="007175C6" w:rsidP="007175C6">
      <w:pPr>
        <w:ind w:firstLine="709"/>
      </w:pPr>
      <w:r w:rsidRPr="00944B59">
        <w:t xml:space="preserve">В исследовании на крысах была изучена </w:t>
      </w:r>
      <w:r>
        <w:rPr>
          <w:bCs/>
        </w:rPr>
        <w:t>эмбрио</w:t>
      </w:r>
      <w:r w:rsidRPr="00944B59">
        <w:rPr>
          <w:bCs/>
        </w:rPr>
        <w:t>фетальная токсичность</w:t>
      </w:r>
      <w:r>
        <w:rPr>
          <w:bCs/>
        </w:rPr>
        <w:t>.</w:t>
      </w:r>
      <w:r w:rsidRPr="00944B59">
        <w:t xml:space="preserve"> Исследование эмбриофетального развития, проведенное на крысах, показало, что ленватиниб эмбриотоксичен, фетотоксичен и обладает тератогенным потенциалом. В группе ленватиниба постимплантационные потери составляли 82,2</w:t>
      </w:r>
      <w:r w:rsidRPr="009F43BF">
        <w:t xml:space="preserve">% по сравнению с </w:t>
      </w:r>
      <w:r w:rsidRPr="009F43BF">
        <w:lastRenderedPageBreak/>
        <w:t xml:space="preserve">контрольной группой (3,8%) из-за ранней резорбции плода, что приводило к статистически значимому снижению среднего числа живых плодов в помете и количества самок с живыми плодами. </w:t>
      </w:r>
    </w:p>
    <w:p w14:paraId="3EE6A79A" w14:textId="77777777" w:rsidR="007175C6" w:rsidRPr="009F43BF" w:rsidRDefault="007175C6" w:rsidP="007175C6">
      <w:pPr>
        <w:ind w:firstLine="709"/>
      </w:pPr>
      <w:r>
        <w:t>Введение</w:t>
      </w:r>
      <w:r w:rsidRPr="009F43BF">
        <w:t xml:space="preserve"> ленватиниб</w:t>
      </w:r>
      <w:r>
        <w:t>а</w:t>
      </w:r>
      <w:r w:rsidRPr="009F43BF">
        <w:t xml:space="preserve"> приводило к статистически значимому дозозависимому увеличению количеств</w:t>
      </w:r>
      <w:r>
        <w:t>а</w:t>
      </w:r>
      <w:r w:rsidRPr="009F43BF">
        <w:t xml:space="preserve"> плодов с внешними аномалиями и скелетными аномалиями по сравнению с контролем </w:t>
      </w:r>
      <w:r>
        <w:t>в</w:t>
      </w:r>
      <w:r w:rsidRPr="009F43BF">
        <w:t xml:space="preserve"> исследовании у крыс и кролик</w:t>
      </w:r>
      <w:r>
        <w:t>ов</w:t>
      </w:r>
      <w:r w:rsidRPr="009F43BF">
        <w:t>. Внешние аномалии плода наблюдались при уровнях доз ≥0,3 мг/кг (1,8 мг/м</w:t>
      </w:r>
      <w:r w:rsidRPr="00C22830">
        <w:rPr>
          <w:vertAlign w:val="superscript"/>
        </w:rPr>
        <w:t>2</w:t>
      </w:r>
      <w:r w:rsidRPr="009F43BF">
        <w:t>). Аномалии плодов включали дозозависимый париетальный отек, криптофтальмию, отсутствующие или аномальные хвосты.</w:t>
      </w:r>
    </w:p>
    <w:p w14:paraId="31B88F1F" w14:textId="77777777" w:rsidR="007175C6" w:rsidRPr="00944B59" w:rsidRDefault="007175C6" w:rsidP="007175C6">
      <w:pPr>
        <w:ind w:firstLine="709"/>
      </w:pPr>
      <w:r w:rsidRPr="009F43BF">
        <w:t>При оценке постнатальной токсичности выяснено, что органы-мишени токсичности, вызванн</w:t>
      </w:r>
      <w:r>
        <w:t>ой</w:t>
      </w:r>
      <w:r w:rsidRPr="009F43BF">
        <w:t xml:space="preserve"> ленватинибом, в целом аналогичн</w:t>
      </w:r>
      <w:r>
        <w:t>ы</w:t>
      </w:r>
      <w:r w:rsidRPr="009F43BF">
        <w:t xml:space="preserve"> </w:t>
      </w:r>
      <w:r>
        <w:t>таковым</w:t>
      </w:r>
      <w:r w:rsidRPr="009F43BF">
        <w:t xml:space="preserve"> у взрослых крыс и включали резцы, бедренную кость, большеберцовую кость, грудину, бедренный и грудинный костный мозг, почки, ЖКТ, надпочечники, печень, общий желчный проток, сердце, вилочковую железу, селезенку, поджелудочную железу. Дополнительные органы-мишени для ленватиниба у молодых крыс включали большеберцовую кость и легкие. При дозе 10 мг/кг отмечались тромбоз, инфаркт миокарда, гипертрофия </w:t>
      </w:r>
      <w:r w:rsidRPr="00944B59">
        <w:t>сердца и альвеолярные кровоизлияния в легких, что, возможно, связано с ингибированием VEGF.</w:t>
      </w:r>
    </w:p>
    <w:p w14:paraId="10575961" w14:textId="77777777" w:rsidR="007175C6" w:rsidRPr="00944B59" w:rsidRDefault="007175C6" w:rsidP="007175C6">
      <w:pPr>
        <w:ind w:firstLine="709"/>
      </w:pPr>
      <w:r w:rsidRPr="00944B59">
        <w:rPr>
          <w:bCs/>
        </w:rPr>
        <w:t>Токсикокинетические исследования</w:t>
      </w:r>
      <w:r w:rsidRPr="00944B59">
        <w:t xml:space="preserve"> повторных доз ленватиниба у самцов и самок крыс, собак и обезьян, получавши</w:t>
      </w:r>
      <w:r>
        <w:t>х</w:t>
      </w:r>
      <w:r w:rsidRPr="00944B59">
        <w:t xml:space="preserve"> пероральные дозы один раз в день в течение 26, 4 и 39 недель</w:t>
      </w:r>
      <w:r>
        <w:t>,</w:t>
      </w:r>
      <w:r w:rsidRPr="00944B59">
        <w:t xml:space="preserve"> соответственно, не выявили системного накопления ленватиниба. Системное воздействие на самцов и самок был</w:t>
      </w:r>
      <w:r>
        <w:t>о</w:t>
      </w:r>
      <w:r w:rsidRPr="00944B59">
        <w:t xml:space="preserve"> в целом сопоставим</w:t>
      </w:r>
      <w:r>
        <w:t>о</w:t>
      </w:r>
      <w:r w:rsidRPr="00944B59">
        <w:t xml:space="preserve"> у всех изученных видов животных. У собак при дозах &lt;30 мг/кг системная экспозиция обычно увеличивалась пропорционально дозе. Системное воздействие увеличилось менее чем пропорционально дозе при более высоких уровнях дозы у крыс (&gt; 10 мг/кг). У обезьян системное воздействие увеличивалось более чем пропорционально дозе при низких уровнях дозы (0,1–3 мг/кг). В о</w:t>
      </w:r>
      <w:r>
        <w:t>тличие от крыс и обезьян</w:t>
      </w:r>
      <w:r w:rsidRPr="00944B59">
        <w:t xml:space="preserve">, системное воздействие </w:t>
      </w:r>
      <w:r>
        <w:t>у</w:t>
      </w:r>
      <w:r w:rsidRPr="00944B59">
        <w:t xml:space="preserve"> человека увеличивалось пропорционально дозе.</w:t>
      </w:r>
    </w:p>
    <w:p w14:paraId="020C8BCC" w14:textId="77777777" w:rsidR="007175C6" w:rsidRPr="009F43BF" w:rsidRDefault="007175C6" w:rsidP="007175C6">
      <w:pPr>
        <w:ind w:firstLine="709"/>
      </w:pPr>
      <w:r w:rsidRPr="00944B59">
        <w:t xml:space="preserve">Было рассчитано, что </w:t>
      </w:r>
      <w:r w:rsidRPr="00944B59">
        <w:rPr>
          <w:lang w:val="en-US"/>
        </w:rPr>
        <w:t>c</w:t>
      </w:r>
      <w:r w:rsidRPr="00944B59">
        <w:t>редний фотоэффект (MPE) для ленватиниба составляет -0,024, что указывает на отсутствие</w:t>
      </w:r>
      <w:r w:rsidRPr="009F43BF">
        <w:t xml:space="preserve"> фототоксичности (MPE &lt;0,1).</w:t>
      </w:r>
    </w:p>
    <w:p w14:paraId="17778686" w14:textId="77777777" w:rsidR="00200EBA" w:rsidRPr="00F37EE0" w:rsidRDefault="00200EBA" w:rsidP="00200EBA">
      <w:pPr>
        <w:pStyle w:val="2"/>
        <w:spacing w:line="240" w:lineRule="auto"/>
        <w:rPr>
          <w:color w:val="000000" w:themeColor="text1"/>
          <w:szCs w:val="24"/>
        </w:rPr>
      </w:pPr>
      <w:bookmarkStart w:id="244" w:name="_Hlk484355353"/>
      <w:bookmarkStart w:id="245" w:name="_Toc126059769"/>
      <w:r w:rsidRPr="00F37EE0">
        <w:rPr>
          <w:color w:val="000000" w:themeColor="text1"/>
          <w:szCs w:val="24"/>
        </w:rPr>
        <w:t>5.2. Обсуждение данных клинических исследований</w:t>
      </w:r>
      <w:bookmarkEnd w:id="245"/>
    </w:p>
    <w:p w14:paraId="5F708849" w14:textId="2CA521FB" w:rsidR="00200EBA" w:rsidRPr="00201AD2" w:rsidRDefault="00200EBA" w:rsidP="00200EBA">
      <w:pPr>
        <w:ind w:firstLine="851"/>
      </w:pPr>
      <w:bookmarkStart w:id="246" w:name="_Hlk118301727"/>
      <w:bookmarkStart w:id="247" w:name="_Toc301482877"/>
      <w:bookmarkStart w:id="248" w:name="_Toc298775567"/>
      <w:bookmarkEnd w:id="244"/>
      <w:r w:rsidRPr="00201AD2">
        <w:t xml:space="preserve">Клинических исследований препарата </w:t>
      </w:r>
      <w:r w:rsidR="00201AD2" w:rsidRPr="00201AD2">
        <w:rPr>
          <w:lang w:val="en-US"/>
        </w:rPr>
        <w:t>DT</w:t>
      </w:r>
      <w:r w:rsidR="00201AD2" w:rsidRPr="00201AD2">
        <w:t>-</w:t>
      </w:r>
      <w:r w:rsidR="00201AD2" w:rsidRPr="00201AD2">
        <w:rPr>
          <w:lang w:val="en-US"/>
        </w:rPr>
        <w:t>LNV</w:t>
      </w:r>
      <w:r w:rsidRPr="00201AD2">
        <w:t xml:space="preserve"> (МНН: </w:t>
      </w:r>
      <w:r w:rsidRPr="00201AD2">
        <w:rPr>
          <w:bCs/>
        </w:rPr>
        <w:t>ленватиниб)</w:t>
      </w:r>
      <w:r w:rsidRPr="00201AD2">
        <w:t xml:space="preserve">, капсулы 4 мг, 10 мг (АО «Р-Фарм», Россия) не проводилось. Так как </w:t>
      </w:r>
      <w:r w:rsidR="00201AD2" w:rsidRPr="00201AD2">
        <w:rPr>
          <w:lang w:val="en-US"/>
        </w:rPr>
        <w:t>DT</w:t>
      </w:r>
      <w:r w:rsidR="00201AD2" w:rsidRPr="00201AD2">
        <w:t>-</w:t>
      </w:r>
      <w:r w:rsidR="00201AD2" w:rsidRPr="00201AD2">
        <w:rPr>
          <w:lang w:val="en-US"/>
        </w:rPr>
        <w:t>LNV</w:t>
      </w:r>
      <w:r w:rsidRPr="00201AD2">
        <w:t xml:space="preserve"> (МНН: </w:t>
      </w:r>
      <w:r w:rsidRPr="00201AD2">
        <w:rPr>
          <w:bCs/>
        </w:rPr>
        <w:t>ленватиниб)</w:t>
      </w:r>
      <w:r w:rsidRPr="00201AD2">
        <w:t xml:space="preserve">, представляет собой воспроизведенный препарат </w:t>
      </w:r>
      <w:r w:rsidRPr="00201AD2">
        <w:rPr>
          <w:bCs/>
        </w:rPr>
        <w:t>ленватиниба</w:t>
      </w:r>
      <w:r w:rsidRPr="00201AD2">
        <w:t>, ожидается, что его свойства будут идентичны свойствам оригинального препарата Ленвима</w:t>
      </w:r>
      <w:r w:rsidRPr="00201AD2">
        <w:rPr>
          <w:vertAlign w:val="superscript"/>
        </w:rPr>
        <w:t>®</w:t>
      </w:r>
      <w:r w:rsidRPr="00201AD2">
        <w:t xml:space="preserve"> (МНН: </w:t>
      </w:r>
      <w:r w:rsidRPr="00201AD2">
        <w:rPr>
          <w:bCs/>
        </w:rPr>
        <w:t>ленватиниб</w:t>
      </w:r>
      <w:r w:rsidRPr="00201AD2">
        <w:t>), капсулы 4 мг, 10 мг (</w:t>
      </w:r>
      <w:r w:rsidRPr="00201AD2">
        <w:rPr>
          <w:rFonts w:eastAsia="Calibri"/>
          <w:bCs/>
        </w:rPr>
        <w:t>владелец РУ: Эйсай Юроп Лимитед, Соединенное Королевство</w:t>
      </w:r>
      <w:r w:rsidRPr="00201AD2">
        <w:t xml:space="preserve">), которому </w:t>
      </w:r>
      <w:r w:rsidR="00201AD2" w:rsidRPr="00201AD2">
        <w:rPr>
          <w:lang w:val="en-US"/>
        </w:rPr>
        <w:t>DT</w:t>
      </w:r>
      <w:r w:rsidR="00201AD2" w:rsidRPr="00201AD2">
        <w:t>-</w:t>
      </w:r>
      <w:r w:rsidR="00201AD2" w:rsidRPr="00201AD2">
        <w:rPr>
          <w:lang w:val="en-US"/>
        </w:rPr>
        <w:t>LNV</w:t>
      </w:r>
      <w:r w:rsidRPr="00201AD2">
        <w:t xml:space="preserve"> (МНН: </w:t>
      </w:r>
      <w:r w:rsidRPr="00201AD2">
        <w:rPr>
          <w:bCs/>
        </w:rPr>
        <w:t>ленватиниб)</w:t>
      </w:r>
      <w:r w:rsidRPr="00201AD2">
        <w:t>, полностью соответствует по качественному и ко</w:t>
      </w:r>
      <w:r w:rsidR="00201AD2" w:rsidRPr="00201AD2">
        <w:t>личественному составу действующего</w:t>
      </w:r>
      <w:r w:rsidRPr="00201AD2">
        <w:t xml:space="preserve"> и вспомогательных веществ, а также по лекарственной форме и дозировке. В связи с этим ниже приводятся данные клинических исследований оригинального препарата </w:t>
      </w:r>
      <w:r w:rsidRPr="00201AD2">
        <w:rPr>
          <w:bCs/>
        </w:rPr>
        <w:t>ленватиниб</w:t>
      </w:r>
      <w:r w:rsidRPr="00201AD2">
        <w:t>.</w:t>
      </w:r>
    </w:p>
    <w:bookmarkEnd w:id="246"/>
    <w:p w14:paraId="7932A1B5" w14:textId="77777777" w:rsidR="007175C6" w:rsidRDefault="007175C6" w:rsidP="007175C6">
      <w:pPr>
        <w:ind w:firstLine="709"/>
      </w:pPr>
      <w:r w:rsidRPr="00236EE5">
        <w:t xml:space="preserve">Ленватиниб является ингибитором тирозинкиназы I типа, проявляющим выраженную антиангиогенную активность при лечении рака. </w:t>
      </w:r>
      <w:r>
        <w:t>Благодаря</w:t>
      </w:r>
      <w:r w:rsidRPr="00236EE5">
        <w:t xml:space="preserve"> активност</w:t>
      </w:r>
      <w:r>
        <w:t>и</w:t>
      </w:r>
      <w:r w:rsidRPr="00236EE5">
        <w:t xml:space="preserve"> при множественных солидных опухолях</w:t>
      </w:r>
      <w:r w:rsidRPr="00506F4C">
        <w:t xml:space="preserve">, </w:t>
      </w:r>
      <w:r>
        <w:t xml:space="preserve">препарат </w:t>
      </w:r>
      <w:r w:rsidRPr="00506F4C">
        <w:t xml:space="preserve">был одобрен при дифференцированном </w:t>
      </w:r>
      <w:r>
        <w:t>РЩЖ</w:t>
      </w:r>
      <w:r w:rsidRPr="00506F4C">
        <w:t xml:space="preserve">, </w:t>
      </w:r>
      <w:r>
        <w:t>ГЦК,</w:t>
      </w:r>
      <w:r w:rsidRPr="00506F4C">
        <w:t xml:space="preserve"> </w:t>
      </w:r>
      <w:r>
        <w:t>ПКК</w:t>
      </w:r>
      <w:r w:rsidRPr="00506F4C">
        <w:t xml:space="preserve"> </w:t>
      </w:r>
      <w:r>
        <w:t xml:space="preserve">и при лечении РЭ как </w:t>
      </w:r>
      <w:r w:rsidRPr="00506F4C">
        <w:t>в качестве монотерапии или в комбин</w:t>
      </w:r>
      <w:r>
        <w:t>ированной химиотерапии.</w:t>
      </w:r>
      <w:r w:rsidRPr="00506F4C">
        <w:t xml:space="preserve"> Кроме того, ленватиниб продемонстрировал многообещающие результаты при некоторых других типах опухолей, включая медуллярный рак, анапластический </w:t>
      </w:r>
      <w:r>
        <w:t>РЩЖ</w:t>
      </w:r>
      <w:r w:rsidRPr="00506F4C">
        <w:t xml:space="preserve">, </w:t>
      </w:r>
      <w:r w:rsidRPr="006E4432">
        <w:t xml:space="preserve">аденоидно-кистозный рак и </w:t>
      </w:r>
      <w:r>
        <w:t>РЭ.</w:t>
      </w:r>
      <w:r w:rsidRPr="006E4432">
        <w:t xml:space="preserve"> Ленватиниб – пероральный мультикиназный ингибитор, </w:t>
      </w:r>
      <w:r w:rsidRPr="006E4432">
        <w:lastRenderedPageBreak/>
        <w:t>действующий на рецепторы к фактору роста эндотелия сосудов 1–VEGF, рецепторы к фактору роста фибробластов FGFR, рецепторы к тромбоцитарному фактору роста α (PDGFR),</w:t>
      </w:r>
      <w:r>
        <w:t xml:space="preserve"> </w:t>
      </w:r>
      <w:r w:rsidRPr="006E4432">
        <w:t>а также протоонкогены RET и KIT</w:t>
      </w:r>
      <w:r>
        <w:t>.</w:t>
      </w:r>
    </w:p>
    <w:p w14:paraId="26729324" w14:textId="77777777" w:rsidR="007175C6" w:rsidRDefault="007175C6" w:rsidP="007175C6">
      <w:pPr>
        <w:ind w:firstLine="709"/>
      </w:pPr>
      <w:r>
        <w:t>В феврале 2015 года FDA одобрило ленватиниб для лечения пациентов с местно-распространенным или метастатическим, прогрессирующим, резистентным к лечению лечение радиоактивным йодом дифференцированного РЩЖ. В мае 2015 года ЕМА также одобрило ленватиниб для лечения прогрессирующего, местно-распространенного или метастатического дифференцированного РЩЖ у взрослых, у которых заболевание прогрессировало, несмотря на стандартное лечение радиоактивным йодом. В последующие годы, после проведения клинических исследований, л</w:t>
      </w:r>
      <w:r w:rsidRPr="0010791D">
        <w:t>енватиниб</w:t>
      </w:r>
      <w:r>
        <w:t xml:space="preserve"> был зарегистрирован по показаниям ГЦК,</w:t>
      </w:r>
      <w:r w:rsidRPr="00506F4C">
        <w:t xml:space="preserve"> почечно-клеточн</w:t>
      </w:r>
      <w:r>
        <w:t>ая</w:t>
      </w:r>
      <w:r w:rsidRPr="00506F4C">
        <w:t xml:space="preserve"> карцином</w:t>
      </w:r>
      <w:r>
        <w:t>а</w:t>
      </w:r>
      <w:r w:rsidRPr="00506F4C">
        <w:t xml:space="preserve"> </w:t>
      </w:r>
      <w:r>
        <w:t xml:space="preserve">и РЭ. В Российской Федерации ленватиниб </w:t>
      </w:r>
      <w:r w:rsidRPr="00687904">
        <w:t>был зарегистрирован 29.12.2015.</w:t>
      </w:r>
    </w:p>
    <w:p w14:paraId="1483A59F" w14:textId="77777777" w:rsidR="007175C6" w:rsidRDefault="007175C6" w:rsidP="007175C6">
      <w:pPr>
        <w:ind w:firstLine="709"/>
      </w:pPr>
      <w:r>
        <w:t>Эффективность лекарственных препаратов, содержащих л</w:t>
      </w:r>
      <w:r w:rsidRPr="0010791D">
        <w:t>енватиниб</w:t>
      </w:r>
      <w:r>
        <w:t xml:space="preserve">, в качестве средства для лечения </w:t>
      </w:r>
      <w:r w:rsidRPr="00506F4C">
        <w:t>множественных солидных опухолях</w:t>
      </w:r>
      <w:r>
        <w:t xml:space="preserve"> (</w:t>
      </w:r>
      <w:r w:rsidRPr="00506F4C">
        <w:t>дифференцированн</w:t>
      </w:r>
      <w:r>
        <w:t>ый РЩЖ</w:t>
      </w:r>
      <w:r w:rsidRPr="00506F4C">
        <w:t xml:space="preserve">, </w:t>
      </w:r>
      <w:r>
        <w:t>ГЦК,</w:t>
      </w:r>
      <w:r w:rsidRPr="00506F4C">
        <w:t xml:space="preserve"> почечно-клеточн</w:t>
      </w:r>
      <w:r>
        <w:t>ая</w:t>
      </w:r>
      <w:r w:rsidRPr="00506F4C">
        <w:t xml:space="preserve"> карцином</w:t>
      </w:r>
      <w:r>
        <w:t xml:space="preserve">а, РЭ) как </w:t>
      </w:r>
      <w:r w:rsidRPr="00506F4C">
        <w:t>в качестве монотерапии или в комбин</w:t>
      </w:r>
      <w:r>
        <w:t>ированной химиотерапии у взрослых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л</w:t>
      </w:r>
      <w:r w:rsidRPr="0010791D">
        <w:t>енватиниб</w:t>
      </w:r>
      <w:r>
        <w:t>а в составе комбинированной терапии солидных опухолей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19757A90" w14:textId="77777777" w:rsidR="007175C6" w:rsidRDefault="007175C6" w:rsidP="007175C6">
      <w:pPr>
        <w:ind w:firstLine="709"/>
      </w:pPr>
      <w:r>
        <w:t>Фармакокинетические параметры ленватиниба изучались у здоровых взрослых добровольцев, у пациентов с печеночной недостаточностью, почечной недостаточностью и солидными опухолями.</w:t>
      </w:r>
    </w:p>
    <w:p w14:paraId="4AEBA9D3" w14:textId="77777777" w:rsidR="007175C6" w:rsidRDefault="007175C6" w:rsidP="007175C6">
      <w:pPr>
        <w:ind w:firstLine="709"/>
      </w:pPr>
      <w:r>
        <w:t>Ленватиниб, как в таблетках, так и в капсулах, быстро всасывался после перорального приема, время достижения максимальной концентрации препарата в плазме (</w:t>
      </w:r>
      <w:r w:rsidRPr="00CB6DD7">
        <w:rPr>
          <w:lang w:val="en-US"/>
        </w:rPr>
        <w:t>T</w:t>
      </w:r>
      <w:r w:rsidRPr="007E6DF5">
        <w:rPr>
          <w:vertAlign w:val="subscript"/>
        </w:rPr>
        <w:t>max</w:t>
      </w:r>
      <w:r>
        <w:t xml:space="preserve">) составляло от 1 до </w:t>
      </w:r>
      <w:r w:rsidRPr="00BC22E6">
        <w:t xml:space="preserve">4 часов. У здоровых добровольцев после однократного приема 24 мг ленватиниба </w:t>
      </w:r>
      <w:r w:rsidRPr="00BC22E6">
        <w:rPr>
          <w:lang w:val="en-US"/>
        </w:rPr>
        <w:t>C</w:t>
      </w:r>
      <w:r w:rsidRPr="00BC22E6">
        <w:rPr>
          <w:vertAlign w:val="subscript"/>
        </w:rPr>
        <w:t>max</w:t>
      </w:r>
      <w:r w:rsidRPr="00BC22E6">
        <w:t xml:space="preserve"> составляла 325 (105) нг/мл, AUC </w:t>
      </w:r>
      <w:r w:rsidRPr="00BC22E6">
        <w:rPr>
          <w:vertAlign w:val="subscript"/>
        </w:rPr>
        <w:t>0-t</w:t>
      </w:r>
      <w:r w:rsidRPr="00BC22E6">
        <w:t xml:space="preserve"> 2990 (974) нг×ч/мл, AUC</w:t>
      </w:r>
      <w:r w:rsidRPr="00BC22E6">
        <w:rPr>
          <w:vertAlign w:val="subscript"/>
        </w:rPr>
        <w:t>0-∞</w:t>
      </w:r>
      <w:r w:rsidRPr="00BC22E6">
        <w:t xml:space="preserve"> 3010 (974) нг×ч/мл (исследование A001</w:t>
      </w:r>
      <w:r>
        <w:t xml:space="preserve">-005). При проведении популяционного фармакокинетического анализа установлено, что у здоровых добровольцев CL/F был на 15% выше по сравнению с пациентами со злокачественными солидными опухолями. </w:t>
      </w:r>
    </w:p>
    <w:p w14:paraId="4DDED061" w14:textId="77777777" w:rsidR="007175C6" w:rsidRPr="00F41B1D" w:rsidRDefault="007175C6" w:rsidP="007175C6">
      <w:pPr>
        <w:ind w:firstLine="709"/>
      </w:pPr>
      <w:r w:rsidRPr="00F41B1D">
        <w:t xml:space="preserve">В условиях </w:t>
      </w:r>
      <w:r w:rsidRPr="001C22AB">
        <w:rPr>
          <w:i/>
          <w:iCs/>
        </w:rPr>
        <w:t>і</w:t>
      </w:r>
      <w:r w:rsidRPr="001C22AB">
        <w:rPr>
          <w:i/>
          <w:iCs/>
          <w:lang w:val="en-US"/>
        </w:rPr>
        <w:t>n</w:t>
      </w:r>
      <w:r w:rsidRPr="001C22AB">
        <w:rPr>
          <w:i/>
          <w:iCs/>
        </w:rPr>
        <w:t xml:space="preserve"> vitro</w:t>
      </w:r>
      <w:r w:rsidRPr="00F41B1D">
        <w:t xml:space="preserve"> ленватиниб продемонстрировал высокую степень связывания с белками плазмы крови человека, которая варьировала от 98 до 99% (0,3</w:t>
      </w:r>
      <w:r w:rsidRPr="005724A8">
        <w:t>‒</w:t>
      </w:r>
      <w:r w:rsidRPr="00F41B1D">
        <w:t xml:space="preserve">30 мкг/мл мезилата). Препарат связывался преимущественно с альбумином и в незначительной степени </w:t>
      </w:r>
      <w:r w:rsidRPr="005724A8">
        <w:t>‒</w:t>
      </w:r>
      <w:r w:rsidRPr="00F41B1D">
        <w:t xml:space="preserve"> с альфа-1-кислым гликопротеином и гамма-глобулином. Подобное связывание с белками плазмы (от 97% до 99%) без зависимости от концентраций ленватиниба (от 0,2 до 1,2 мкг/мл) наблюдалось в плазме </w:t>
      </w:r>
      <w:r>
        <w:t>при</w:t>
      </w:r>
      <w:r w:rsidRPr="00F41B1D">
        <w:t xml:space="preserve"> печеночной недостаточности, почечной недостаточности и </w:t>
      </w:r>
      <w:r>
        <w:t xml:space="preserve">у </w:t>
      </w:r>
      <w:r w:rsidRPr="00F41B1D">
        <w:t>здоровых субъектов.</w:t>
      </w:r>
    </w:p>
    <w:p w14:paraId="77ECF313" w14:textId="77777777" w:rsidR="007175C6" w:rsidRPr="00F41B1D" w:rsidRDefault="007175C6" w:rsidP="007175C6">
      <w:pPr>
        <w:ind w:firstLine="709"/>
      </w:pPr>
      <w:r w:rsidRPr="00F41B1D">
        <w:t xml:space="preserve">Исследования </w:t>
      </w:r>
      <w:r w:rsidRPr="009D30E1">
        <w:rPr>
          <w:i/>
          <w:iCs/>
        </w:rPr>
        <w:t>і</w:t>
      </w:r>
      <w:r w:rsidRPr="009D30E1">
        <w:rPr>
          <w:i/>
          <w:iCs/>
          <w:lang w:val="en-US"/>
        </w:rPr>
        <w:t>n</w:t>
      </w:r>
      <w:r w:rsidRPr="009D30E1">
        <w:rPr>
          <w:i/>
          <w:iCs/>
        </w:rPr>
        <w:t xml:space="preserve"> vitro</w:t>
      </w:r>
      <w:r w:rsidRPr="00F41B1D">
        <w:t xml:space="preserve"> показали, что ленватиниб является субстратом Р-гликопротеина и белка резистентности рака молочной железы (BCRP) и не является субстратом белков-переносчиков органических анионов и катионов (OAT1, ОАТЗ, OATP </w:t>
      </w:r>
      <w:r>
        <w:t>1</w:t>
      </w:r>
      <w:r w:rsidRPr="00F41B1D">
        <w:t>B1, OATP1ВЗ, OCT1, OCT2, MATE1, MATE2-K) или белка-переносчика солей желчных кислот (</w:t>
      </w:r>
      <w:r w:rsidRPr="00BD5949">
        <w:t>B</w:t>
      </w:r>
      <w:r w:rsidRPr="00A02BC4">
        <w:t>ile salt export pump</w:t>
      </w:r>
      <w:r>
        <w:t xml:space="preserve">, </w:t>
      </w:r>
      <w:r w:rsidRPr="00F41B1D">
        <w:t>BSEP).</w:t>
      </w:r>
    </w:p>
    <w:p w14:paraId="583617F0" w14:textId="77777777" w:rsidR="007175C6" w:rsidRDefault="007175C6" w:rsidP="007175C6">
      <w:pPr>
        <w:ind w:firstLine="709"/>
      </w:pPr>
      <w:r w:rsidRPr="000F12F5">
        <w:rPr>
          <w:i/>
          <w:iCs/>
        </w:rPr>
        <w:t>In vitro</w:t>
      </w:r>
      <w:r>
        <w:t xml:space="preserve"> было продемонстрировано, что цитохром Р450 3А4 является преобладающей (&gt;80%) изоформой, участвующей в Р450-опосредованном метаболизме ленватиниба. Однако данные </w:t>
      </w:r>
      <w:r w:rsidRPr="002801F9">
        <w:rPr>
          <w:i/>
          <w:iCs/>
        </w:rPr>
        <w:t>in vivo</w:t>
      </w:r>
      <w:r>
        <w:t xml:space="preserve"> показали, что не-P450-опосредованные пути способствовали значительной части общего метаболизма ленватиниба. В исследованиях </w:t>
      </w:r>
      <w:r w:rsidRPr="002801F9">
        <w:rPr>
          <w:i/>
          <w:iCs/>
        </w:rPr>
        <w:t>in vivo</w:t>
      </w:r>
      <w:r>
        <w:rPr>
          <w:i/>
          <w:iCs/>
        </w:rPr>
        <w:t xml:space="preserve"> </w:t>
      </w:r>
      <w:r>
        <w:t>установлено</w:t>
      </w:r>
      <w:r>
        <w:rPr>
          <w:i/>
          <w:iCs/>
        </w:rPr>
        <w:t xml:space="preserve">, </w:t>
      </w:r>
      <w:r w:rsidRPr="0025443E">
        <w:lastRenderedPageBreak/>
        <w:t>что</w:t>
      </w:r>
      <w:r>
        <w:rPr>
          <w:i/>
          <w:iCs/>
        </w:rPr>
        <w:t xml:space="preserve"> </w:t>
      </w:r>
      <w:r>
        <w:t xml:space="preserve">индукторы и ингибиторы CYP 3A4 оказывали минимальное влияние на экспозицию ленватиниба. </w:t>
      </w:r>
    </w:p>
    <w:p w14:paraId="2E412BBA" w14:textId="77777777" w:rsidR="007175C6" w:rsidRDefault="007175C6" w:rsidP="007175C6">
      <w:pPr>
        <w:ind w:firstLine="709"/>
      </w:pPr>
      <w:r w:rsidRPr="00FD32A7">
        <w:t xml:space="preserve">Исследования баланса массы и экскреции ленватиниба показали, что препарат подвергается активному метаболизму в организме человека. Основные установленные пути метаболизма препарата у человека включают: окисление, опосредуемое альдегидоксидазой, деметилирование при участии изофермента </w:t>
      </w:r>
      <w:r>
        <w:rPr>
          <w:lang w:val="en-US"/>
        </w:rPr>
        <w:t>CYP</w:t>
      </w:r>
      <w:r w:rsidRPr="00BC22E6">
        <w:t>3</w:t>
      </w:r>
      <w:r w:rsidRPr="00FD32A7">
        <w:t>А4, конъюгацию глутатион</w:t>
      </w:r>
      <w:r>
        <w:t>а</w:t>
      </w:r>
      <w:r w:rsidRPr="00FD32A7">
        <w:t xml:space="preserve"> с удалением О-арильной группы (хлорфенильного остатка) и комбинации</w:t>
      </w:r>
      <w:r>
        <w:t xml:space="preserve"> </w:t>
      </w:r>
      <w:r w:rsidRPr="00FD32A7">
        <w:t xml:space="preserve">этих механизмов с дальнейшей биотрансформацией (включая глюкуронирование, гидролиз глутатионовой группы, разрушение цистеинового остатка, а также внутримолекулярную перегруппировку конъюгатов цистеинилглицина и цистеина с последующей димеризацией). Данные пути метаболизма </w:t>
      </w:r>
      <w:r w:rsidRPr="007703D3">
        <w:rPr>
          <w:i/>
          <w:iCs/>
        </w:rPr>
        <w:t>і</w:t>
      </w:r>
      <w:r w:rsidRPr="007703D3">
        <w:rPr>
          <w:i/>
          <w:iCs/>
          <w:lang w:val="en-US"/>
        </w:rPr>
        <w:t>n</w:t>
      </w:r>
      <w:r w:rsidRPr="007703D3">
        <w:rPr>
          <w:i/>
          <w:iCs/>
        </w:rPr>
        <w:t xml:space="preserve"> vivo</w:t>
      </w:r>
      <w:r w:rsidRPr="00FD32A7">
        <w:t xml:space="preserve"> согласуются с результатами исследований </w:t>
      </w:r>
      <w:r w:rsidRPr="007703D3">
        <w:rPr>
          <w:i/>
          <w:iCs/>
        </w:rPr>
        <w:t>in vitro</w:t>
      </w:r>
      <w:r w:rsidRPr="00FD32A7">
        <w:t xml:space="preserve"> с использованием биоматериалов человека</w:t>
      </w:r>
      <w:r>
        <w:t>.</w:t>
      </w:r>
      <w:r w:rsidRPr="00CC00EF">
        <w:t xml:space="preserve"> </w:t>
      </w:r>
      <w:r>
        <w:t xml:space="preserve">После достижения </w:t>
      </w:r>
      <w:r>
        <w:rPr>
          <w:lang w:val="en-US"/>
        </w:rPr>
        <w:t>C</w:t>
      </w:r>
      <w:r w:rsidRPr="007E6DF5">
        <w:rPr>
          <w:vertAlign w:val="subscript"/>
        </w:rPr>
        <w:t>max</w:t>
      </w:r>
      <w:r>
        <w:t>, концентрация ленватиниба в плазме крови снижается биэкспоненциально. Период полувыведения ленватиниба в фазе элиминации составляет примерно 28 часов.</w:t>
      </w:r>
    </w:p>
    <w:p w14:paraId="15375ABC" w14:textId="77777777" w:rsidR="007175C6" w:rsidRPr="00CC00EF" w:rsidRDefault="007175C6" w:rsidP="007175C6">
      <w:pPr>
        <w:ind w:firstLine="709"/>
      </w:pPr>
      <w:r>
        <w:t xml:space="preserve">После введения 6 пациентам с солидными опухолями радиоактивно-меченного ленватиниба, приблизительно 2/3 от введенной дозы выводилось через кишечник и 1/4 </w:t>
      </w:r>
      <w:r w:rsidRPr="00F12DC4">
        <w:t>‒</w:t>
      </w:r>
      <w:r>
        <w:t xml:space="preserve"> через почки. Преобладающим метаболитом в экскретах являлся метаболит M2 (5% от дозы), вторым по значимости являлся ленватиниб (2,5 %).</w:t>
      </w:r>
    </w:p>
    <w:p w14:paraId="07A0A1D0" w14:textId="77777777" w:rsidR="007175C6" w:rsidRPr="00312637" w:rsidRDefault="007175C6" w:rsidP="007175C6">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прогрессирующим, резистентным к радиойоду дифференцированным </w:t>
      </w:r>
      <w:r>
        <w:t>РЩЖ</w:t>
      </w:r>
      <w:r w:rsidRPr="00354EFF">
        <w:t xml:space="preserve"> </w:t>
      </w:r>
      <w:r>
        <w:t>показ</w:t>
      </w:r>
      <w:r w:rsidRPr="00354EFF">
        <w:t>ан</w:t>
      </w:r>
      <w:r>
        <w:t>а</w:t>
      </w:r>
      <w:r w:rsidRPr="00354EFF">
        <w:t xml:space="preserve"> </w:t>
      </w:r>
      <w:r>
        <w:t>в</w:t>
      </w:r>
      <w:r w:rsidRPr="00354EFF">
        <w:t xml:space="preserve"> одном</w:t>
      </w:r>
      <w:r>
        <w:t xml:space="preserve"> </w:t>
      </w:r>
      <w:r w:rsidRPr="00354EFF">
        <w:t xml:space="preserve">ключевое исследование </w:t>
      </w:r>
      <w:r>
        <w:rPr>
          <w:lang w:val="en-US"/>
        </w:rPr>
        <w:t>III</w:t>
      </w:r>
      <w:r w:rsidRPr="00354EFF">
        <w:t xml:space="preserve"> фазы E7080-G000-303 (</w:t>
      </w:r>
      <w:r w:rsidRPr="00CD07EA">
        <w:t>ClinicalTrials.gov Identifier: NCT01321554</w:t>
      </w:r>
      <w:r w:rsidRPr="00354EFF">
        <w:t xml:space="preserve">, исследование </w:t>
      </w:r>
      <w:r w:rsidRPr="003E6BAA">
        <w:t>SELECT</w:t>
      </w:r>
      <w:r w:rsidRPr="00354EFF">
        <w:t>).</w:t>
      </w:r>
    </w:p>
    <w:p w14:paraId="386C4EED" w14:textId="77777777" w:rsidR="007175C6" w:rsidRDefault="007175C6" w:rsidP="007175C6">
      <w:pPr>
        <w:ind w:firstLine="709"/>
      </w:pPr>
      <w:r>
        <w:t>М</w:t>
      </w:r>
      <w:r w:rsidRPr="003E6BAA">
        <w:t xml:space="preserve">едиана </w:t>
      </w:r>
      <w:r>
        <w:t>ВБП</w:t>
      </w:r>
      <w:r w:rsidRPr="003E6BAA">
        <w:t xml:space="preserve"> составила 18,3 мес в группе ленватиниба и 3,6 мес в группе плацебо (отношение рисков прогрессирования или смерти 0,21; 99% </w:t>
      </w:r>
      <w:r>
        <w:t xml:space="preserve">ДИ </w:t>
      </w:r>
      <w:r w:rsidRPr="003E6BAA">
        <w:t xml:space="preserve">0,14–0,31; </w:t>
      </w:r>
      <w:r>
        <w:rPr>
          <w:lang w:val="en-US"/>
        </w:rPr>
        <w:t>p</w:t>
      </w:r>
      <w:r w:rsidRPr="003E6BAA">
        <w:t xml:space="preserve">&lt;0,001). Преимущество </w:t>
      </w:r>
      <w:r>
        <w:t>ВБП</w:t>
      </w:r>
      <w:r w:rsidRPr="003E6BAA">
        <w:t>, связанное с ленватинибом, наблюдалось во всех заранее определенных подгруппах. Среднее время до первого снижения дозы составило 2,8 месяца. Среднее время объективного ответа составило 2,0 (95% ДИ: 1,9, 3,5) месяцев</w:t>
      </w:r>
      <w:r>
        <w:t>.</w:t>
      </w:r>
    </w:p>
    <w:p w14:paraId="2E1CB3F0" w14:textId="77777777" w:rsidR="007175C6" w:rsidRDefault="007175C6" w:rsidP="007175C6">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t>нерезектабельной ГЦК доказана в и</w:t>
      </w:r>
      <w:r w:rsidRPr="00AA676B">
        <w:t>сследовани</w:t>
      </w:r>
      <w:r>
        <w:t>и</w:t>
      </w:r>
      <w:r w:rsidRPr="00AA676B">
        <w:t xml:space="preserve"> </w:t>
      </w:r>
      <w:r>
        <w:t>REFLECT</w:t>
      </w:r>
      <w:r w:rsidRPr="00AA676B">
        <w:t xml:space="preserve"> </w:t>
      </w:r>
      <w:r>
        <w:t>(</w:t>
      </w:r>
      <w:r w:rsidRPr="00F77D2A">
        <w:rPr>
          <w:lang w:val="en-US"/>
        </w:rPr>
        <w:t>ClinicalTrials</w:t>
      </w:r>
      <w:r w:rsidRPr="00EB4298">
        <w:t>.</w:t>
      </w:r>
      <w:r w:rsidRPr="00F77D2A">
        <w:rPr>
          <w:lang w:val="en-US"/>
        </w:rPr>
        <w:t>gov</w:t>
      </w:r>
      <w:r w:rsidRPr="00EB4298">
        <w:t xml:space="preserve"> </w:t>
      </w:r>
      <w:r w:rsidRPr="00F77D2A">
        <w:rPr>
          <w:lang w:val="en-US"/>
        </w:rPr>
        <w:t>Identifier</w:t>
      </w:r>
      <w:r w:rsidRPr="00EB4298">
        <w:t xml:space="preserve">: </w:t>
      </w:r>
      <w:r w:rsidRPr="00F77D2A">
        <w:rPr>
          <w:lang w:val="en-US"/>
        </w:rPr>
        <w:t>NCT</w:t>
      </w:r>
      <w:r w:rsidRPr="00EB4298">
        <w:t>01761266</w:t>
      </w:r>
      <w:r>
        <w:t>)</w:t>
      </w:r>
      <w:r w:rsidRPr="00AA676B">
        <w:t xml:space="preserve">— </w:t>
      </w:r>
      <w:r>
        <w:t xml:space="preserve">регистрационном исследование </w:t>
      </w:r>
      <w:r>
        <w:rPr>
          <w:lang w:val="en-US"/>
        </w:rPr>
        <w:t>III</w:t>
      </w:r>
      <w:r>
        <w:t xml:space="preserve"> фазы.</w:t>
      </w:r>
    </w:p>
    <w:p w14:paraId="1E2FCFDD" w14:textId="77777777" w:rsidR="007175C6" w:rsidRDefault="007175C6" w:rsidP="007175C6">
      <w:pPr>
        <w:ind w:firstLine="709"/>
        <w:rPr>
          <w:b/>
        </w:rPr>
      </w:pPr>
      <w:r>
        <w:t>Установлено, что в обеих группах лечения в исследовании REFLECT медиана ОВ была примерно на 9 месяцев больше у субъектов, получавшие противораковую терапию после окончания исследования, чем у пациентов, прекративших терапию. В группе ленватиниба медиана ОВ составила 19,5 месяцев (95% ДИ: 15,7, 23,0) для субъектов, получавшие противораковую терапию после окончания исследования (43%) и 10,5 месяцев (95% ДИ: 8,6, 12,2) у пациентов, прекративших терапию. В группе сорафениба медиана ОВ составила 17,0 месяцев (95% ДИ: 14,2, 18,8) для субъектов, получивших противораковую терапию после окончания исследования (51%) и 7,9 месяца (95% ДИ: 6,6, 9,7) у пациентов, прекративших терапию. Средняя ОВ была примерно на 2,5 месяца дольше в группе ленватиниба по сравнению с группой сорафениба в обеих подгруппах субъектов (с противораковой терапией после окончания исследования или без нее).</w:t>
      </w:r>
    </w:p>
    <w:p w14:paraId="2B460450" w14:textId="77777777" w:rsidR="007175C6" w:rsidRDefault="007175C6" w:rsidP="007175C6">
      <w:pPr>
        <w:ind w:firstLine="709"/>
      </w:pPr>
      <w:r w:rsidRPr="00D77518">
        <w:t xml:space="preserve">Эффективность ленватиниба в комбинации с пембролизумабом изучали в регистрационном исследовании </w:t>
      </w:r>
      <w:r>
        <w:rPr>
          <w:lang w:val="en-US"/>
        </w:rPr>
        <w:t>III</w:t>
      </w:r>
      <w:r w:rsidRPr="00D77518">
        <w:t xml:space="preserve"> фазы у больных с </w:t>
      </w:r>
      <w:r>
        <w:t>РЭ</w:t>
      </w:r>
      <w:r w:rsidRPr="00D77518">
        <w:t xml:space="preserve"> (MK-3475-775/E7080-G000-309, ClinicalTrials.gov Identifier: NCT03517449.). </w:t>
      </w:r>
    </w:p>
    <w:p w14:paraId="38203F4A" w14:textId="77777777" w:rsidR="007175C6" w:rsidRDefault="007175C6" w:rsidP="007175C6">
      <w:pPr>
        <w:ind w:firstLine="709"/>
        <w:rPr>
          <w:b/>
        </w:rPr>
      </w:pPr>
      <w:r>
        <w:t>В ходе исследования было выяснено, что м</w:t>
      </w:r>
      <w:r w:rsidRPr="00B618F3">
        <w:t xml:space="preserve">едиана </w:t>
      </w:r>
      <w:r>
        <w:t>ОВ</w:t>
      </w:r>
      <w:r w:rsidRPr="00B618F3">
        <w:t xml:space="preserve"> была выше при применении ленватиниба в сочетании с пембролизумабом, чем </w:t>
      </w:r>
      <w:r>
        <w:t>в группе сравнения</w:t>
      </w:r>
      <w:r w:rsidRPr="00B618F3">
        <w:t xml:space="preserve"> (популяция </w:t>
      </w:r>
      <w:r>
        <w:rPr>
          <w:lang w:val="en-US"/>
        </w:rPr>
        <w:t>ITT</w:t>
      </w:r>
      <w:r w:rsidRPr="00B618F3">
        <w:t>: 17,4 против 12,0 месяцев; отношение риска смерти 0,68; 95% ДИ от 0,56 до 0,84; P&lt;0,001; в целом: 18,3 против 11,4 месяцев; отношение рисков 0,62; 95% ДИ от 0,51 до 0,75; P&lt;0,001)</w:t>
      </w:r>
      <w:r>
        <w:t xml:space="preserve">. </w:t>
      </w:r>
      <w:r>
        <w:lastRenderedPageBreak/>
        <w:t xml:space="preserve">В общей сложности 121/411 (29%) пациентов, получавших ленватиниб и пембролизумаб, получили продолжение исследуемой терапии после прогрессирования заболевания, что определялось по RECIST. Средняя продолжительность постпрогрессирующей терапии составила 2,8 месяца. Оценка состояния опухоли проводилась каждые 8 недель. </w:t>
      </w:r>
      <w:r w:rsidRPr="00B73AB9">
        <w:t xml:space="preserve">Комбинация ленватиниба и пембролизумаба привела к значительно более длительному выживанию без прогрессирования заболевания и </w:t>
      </w:r>
      <w:r>
        <w:t>ОВ</w:t>
      </w:r>
      <w:r w:rsidRPr="00B73AB9">
        <w:t xml:space="preserve"> по сравнению с</w:t>
      </w:r>
      <w:r>
        <w:t xml:space="preserve">о стандартной </w:t>
      </w:r>
      <w:r w:rsidRPr="00B73AB9">
        <w:t>химиотерапией у пациенто</w:t>
      </w:r>
      <w:r>
        <w:t>в</w:t>
      </w:r>
      <w:r w:rsidRPr="00B73AB9">
        <w:t xml:space="preserve"> с распространенным </w:t>
      </w:r>
      <w:r>
        <w:t>РЭ.</w:t>
      </w:r>
    </w:p>
    <w:p w14:paraId="4828C5A3" w14:textId="77777777" w:rsidR="007175C6" w:rsidRDefault="007175C6" w:rsidP="007175C6">
      <w:pPr>
        <w:ind w:firstLine="709"/>
      </w:pPr>
      <w:r w:rsidRPr="00354EFF">
        <w:t>Клиническая эффективность ленватиниба в капсулах по 4 мг и 10 мг для лечения</w:t>
      </w:r>
      <w:r>
        <w:t xml:space="preserve"> </w:t>
      </w:r>
      <w:r w:rsidRPr="00354EFF">
        <w:t xml:space="preserve">пациентов с </w:t>
      </w:r>
      <w:r>
        <w:t xml:space="preserve">ПКР без предшествующей системной терапии доказана в регистрационном исследовании </w:t>
      </w:r>
      <w:r>
        <w:rPr>
          <w:lang w:val="en-US"/>
        </w:rPr>
        <w:t>III</w:t>
      </w:r>
      <w:r>
        <w:t xml:space="preserve"> фазы (E7080, </w:t>
      </w:r>
      <w:r w:rsidRPr="00843860">
        <w:rPr>
          <w:lang w:val="en-US"/>
        </w:rPr>
        <w:t>CLEAR</w:t>
      </w:r>
      <w:r>
        <w:t xml:space="preserve">. </w:t>
      </w:r>
      <w:r w:rsidRPr="00843860">
        <w:rPr>
          <w:lang w:val="en-US"/>
        </w:rPr>
        <w:t>ClinicalTrials</w:t>
      </w:r>
      <w:r w:rsidRPr="00593C83">
        <w:t>.</w:t>
      </w:r>
      <w:r w:rsidRPr="00843860">
        <w:rPr>
          <w:lang w:val="en-US"/>
        </w:rPr>
        <w:t>gov</w:t>
      </w:r>
      <w:r w:rsidRPr="00593C83">
        <w:t xml:space="preserve"> </w:t>
      </w:r>
      <w:r w:rsidRPr="00843860">
        <w:rPr>
          <w:lang w:val="en-US"/>
        </w:rPr>
        <w:t>Identifier</w:t>
      </w:r>
      <w:r w:rsidRPr="00593C83">
        <w:t xml:space="preserve">: </w:t>
      </w:r>
      <w:r w:rsidRPr="00843860">
        <w:rPr>
          <w:lang w:val="en-US"/>
        </w:rPr>
        <w:t>NCT</w:t>
      </w:r>
      <w:r w:rsidRPr="00593C83">
        <w:t>02811861</w:t>
      </w:r>
      <w:r>
        <w:t>)</w:t>
      </w:r>
      <w:r w:rsidRPr="00593C83">
        <w:t xml:space="preserve">. </w:t>
      </w:r>
    </w:p>
    <w:p w14:paraId="5F32CA31" w14:textId="77777777" w:rsidR="007175C6" w:rsidRDefault="007175C6" w:rsidP="007175C6">
      <w:pPr>
        <w:ind w:firstLine="709"/>
      </w:pPr>
      <w:r w:rsidRPr="00E670E6">
        <w:t>ВБП</w:t>
      </w:r>
      <w:r>
        <w:t xml:space="preserve"> заболевания была выше в группе ленватиниба плюс пембролизумаб, чем в группе сунитиниба (медиана 23,9 и 9,2 месяца; отношение рисков прогрессирования заболевания или смерти 0,39; 95% ДИ 0,32–0,49; </w:t>
      </w:r>
      <w:r>
        <w:rPr>
          <w:lang w:val="en-US"/>
        </w:rPr>
        <w:t>p</w:t>
      </w:r>
      <w:r>
        <w:t xml:space="preserve">&lt;0,001), дольше при приеме ленватиниба плюс эверолимус, чем при приеме сунитиниба (медиана 14,7 и 9,2 месяца; отношение рисков 0,65; 95% ДИ 0,53–0,80; </w:t>
      </w:r>
      <w:r>
        <w:rPr>
          <w:lang w:val="en-US"/>
        </w:rPr>
        <w:t>p</w:t>
      </w:r>
      <w:r>
        <w:t xml:space="preserve">&lt;0,001). ОВ была выше в группе ленватиниба плюс пембролизумаб, чем в группе сунитиниба (отношение рисков для смерти 0,66; 95% ДИ от 0,49 до 0,88; </w:t>
      </w:r>
      <w:r>
        <w:rPr>
          <w:lang w:val="en-US"/>
        </w:rPr>
        <w:t>p</w:t>
      </w:r>
      <w:r>
        <w:t xml:space="preserve"> = 0,005), но не выше в группе ленватиниба плюс эверолимус по сравнению с сунитинибом (отношение рисков 1,15; 95% ДИ от 0,88 до 1,50; </w:t>
      </w:r>
      <w:r>
        <w:rPr>
          <w:lang w:val="en-US"/>
        </w:rPr>
        <w:t>p</w:t>
      </w:r>
      <w:r>
        <w:t xml:space="preserve"> = 0,30). Таким образом, комбинация ленватиниба и пембролизумаба ассоциировалась со значительно большей ВБП и ОВ, чем лечение сунитинибом.</w:t>
      </w:r>
    </w:p>
    <w:p w14:paraId="3A839AAF" w14:textId="77777777" w:rsidR="007175C6" w:rsidRDefault="007175C6" w:rsidP="007175C6">
      <w:pPr>
        <w:ind w:firstLine="709"/>
      </w:pPr>
      <w:r>
        <w:t xml:space="preserve">При изучении безопасности был сделан вывод, что лечение ленватинибом сопровождается целым рядом побочных реакций. </w:t>
      </w:r>
    </w:p>
    <w:p w14:paraId="65D20017" w14:textId="77777777" w:rsidR="007175C6" w:rsidRDefault="007175C6" w:rsidP="007175C6">
      <w:pPr>
        <w:ind w:firstLine="709"/>
      </w:pPr>
      <w:r>
        <w:t>По результатам клинических исследований у пациентов с РЩЖ</w:t>
      </w:r>
      <w:r w:rsidRPr="00EB52C8">
        <w:t xml:space="preserve"> </w:t>
      </w:r>
      <w:r>
        <w:t>н</w:t>
      </w:r>
      <w:r w:rsidRPr="00EB52C8">
        <w:t>аиболее серьезными побочными реакциями</w:t>
      </w:r>
      <w:r>
        <w:t xml:space="preserve"> </w:t>
      </w:r>
      <w:r w:rsidRPr="00EB52C8">
        <w:t>были почечная недостаточность (2,4%)</w:t>
      </w:r>
      <w:r>
        <w:t xml:space="preserve">, </w:t>
      </w:r>
      <w:r w:rsidRPr="00EB52C8">
        <w:t>артериальные тромбоэмболии (3,9%), сердечная недостаточность (0,7%), внутричерепные опухолевые кровоизлияния (0,7%),</w:t>
      </w:r>
      <w:r>
        <w:t xml:space="preserve"> </w:t>
      </w:r>
      <w:r w:rsidRPr="00EB52C8">
        <w:t>печеночная недостаточность (0,2%) и артериальные тромбоэмболии (</w:t>
      </w:r>
      <w:r>
        <w:t>нарушения мозгового кровообращения)</w:t>
      </w:r>
      <w:r w:rsidRPr="00EB52C8">
        <w:t xml:space="preserve"> (1,1%), транзиторная ишемическая атака (0,7%) и инфаркт миокарда (0,9%).</w:t>
      </w:r>
    </w:p>
    <w:p w14:paraId="445A6E5D" w14:textId="77777777" w:rsidR="007175C6" w:rsidRDefault="007175C6" w:rsidP="007175C6">
      <w:pPr>
        <w:ind w:firstLine="709"/>
      </w:pPr>
      <w:r>
        <w:t>По результатам клинических исследований у пациентов с ГЦР н</w:t>
      </w:r>
      <w:r w:rsidRPr="00EB52C8">
        <w:t xml:space="preserve">аиболее </w:t>
      </w:r>
      <w:r>
        <w:t>серьезными побочными реакциями были печеночная недостаточность (2,8%), печеночная энцефалопатия (4,6%), кровотечение из варикозно расширенных вен пищевода (1,4%), кровоизлияние в мозг (0,6%), артериальное тромбоэмболические осложнения (2,0%), включая инфаркт миокарда (0,8%), инфаркт головного мозга (0,4%) и нарушения мозгового кровообращения (0,4%), явления почечной недостаточности (1,4%). Частота снижения количества нейтрофилов,</w:t>
      </w:r>
      <w:r w:rsidRPr="00691734">
        <w:t xml:space="preserve"> </w:t>
      </w:r>
      <w:r>
        <w:t>которое не было связано с инфекцией, сепсисом или бактериальным перитонитом, у пациентов с ГЦР (8,7%) при приеме ленватиниба была выше, чем при других типах опухолей, не являющихся ГЦР (1,4%).</w:t>
      </w:r>
    </w:p>
    <w:p w14:paraId="5C48B0DD" w14:textId="77777777" w:rsidR="007175C6" w:rsidRDefault="007175C6" w:rsidP="007175C6">
      <w:pPr>
        <w:ind w:firstLine="709"/>
      </w:pPr>
      <w:r>
        <w:t>По результатам клинических исследований у пациентов с РЭ</w:t>
      </w:r>
      <w:r w:rsidRPr="00EB52C8">
        <w:t xml:space="preserve"> </w:t>
      </w:r>
      <w:r>
        <w:t>н</w:t>
      </w:r>
      <w:r w:rsidRPr="00EB52C8">
        <w:t xml:space="preserve">аиболее серьезными </w:t>
      </w:r>
      <w:r>
        <w:t>частыми</w:t>
      </w:r>
      <w:r w:rsidRPr="00EB52C8">
        <w:t xml:space="preserve"> побочными реакциями</w:t>
      </w:r>
      <w:r>
        <w:t xml:space="preserve"> </w:t>
      </w:r>
      <w:r w:rsidRPr="00EB52C8">
        <w:t>были</w:t>
      </w:r>
      <w:r>
        <w:t xml:space="preserve"> (возникающими у ≥5% пациентов) артериальная гипертензия (37,2%), снижение массы тела (9,1%), диарея (8,1%), повышение липазы (7,7%), снижение аппетита (6,4%), астения (6%), утомляемость (6%), гипокалиемия (5,7%), анемия (5,3%) и протеинурия (5,1%).</w:t>
      </w:r>
    </w:p>
    <w:p w14:paraId="6BB5E846" w14:textId="77777777" w:rsidR="007175C6" w:rsidRDefault="007175C6" w:rsidP="007175C6">
      <w:pPr>
        <w:ind w:firstLine="709"/>
        <w:rPr>
          <w:lang w:eastAsia="ru-RU"/>
        </w:rPr>
      </w:pPr>
      <w:r w:rsidRPr="00FC4968">
        <w:t xml:space="preserve">По результатам клинических исследований у пациентов с ПКР </w:t>
      </w:r>
      <w:r>
        <w:t>наиболее с</w:t>
      </w:r>
      <w:r w:rsidRPr="00FC4968">
        <w:rPr>
          <w:lang w:eastAsia="ru-RU"/>
        </w:rPr>
        <w:t>ерьезными побочными реакциями у ≥2% пациентов были геморрагические явления (5%), диарея (4%),</w:t>
      </w:r>
      <w:r>
        <w:rPr>
          <w:lang w:eastAsia="ru-RU"/>
        </w:rPr>
        <w:t xml:space="preserve"> </w:t>
      </w:r>
      <w:r w:rsidRPr="00FC4968">
        <w:rPr>
          <w:lang w:eastAsia="ru-RU"/>
        </w:rPr>
        <w:t>артериальная гипертензия (3%), инфаркт миокарда (3%), пневмонит (3%), рвота (3%), острая почечная недостаточность</w:t>
      </w:r>
      <w:r>
        <w:rPr>
          <w:lang w:eastAsia="ru-RU"/>
        </w:rPr>
        <w:t xml:space="preserve"> </w:t>
      </w:r>
      <w:r w:rsidRPr="00FC4968">
        <w:rPr>
          <w:lang w:eastAsia="ru-RU"/>
        </w:rPr>
        <w:t>(2%), надпочечниковая недостаточность (2%), одышка (2%) и пневмония (2%).</w:t>
      </w:r>
      <w:r>
        <w:rPr>
          <w:lang w:eastAsia="ru-RU"/>
        </w:rPr>
        <w:t xml:space="preserve"> </w:t>
      </w:r>
      <w:r w:rsidRPr="00FC4968">
        <w:rPr>
          <w:lang w:eastAsia="ru-RU"/>
        </w:rPr>
        <w:t xml:space="preserve">Побочные реакции со смертельным исходом наблюдались у 4,3% пациентов, получавших </w:t>
      </w:r>
      <w:r w:rsidRPr="00FC4968">
        <w:t>ленватиниб</w:t>
      </w:r>
      <w:r>
        <w:t xml:space="preserve"> </w:t>
      </w:r>
      <w:r w:rsidRPr="00FC4968">
        <w:rPr>
          <w:lang w:eastAsia="ru-RU"/>
        </w:rPr>
        <w:t>и пембролизумаб</w:t>
      </w:r>
      <w:r>
        <w:rPr>
          <w:lang w:eastAsia="ru-RU"/>
        </w:rPr>
        <w:t xml:space="preserve">, это были остановка сердца и </w:t>
      </w:r>
      <w:r>
        <w:rPr>
          <w:lang w:eastAsia="ru-RU"/>
        </w:rPr>
        <w:lastRenderedPageBreak/>
        <w:t>дыхания</w:t>
      </w:r>
      <w:r w:rsidRPr="00FC4968">
        <w:rPr>
          <w:lang w:eastAsia="ru-RU"/>
        </w:rPr>
        <w:t xml:space="preserve"> (0,9%), сепсис (0,9%) и по одному случаю (0,3%) каждого из</w:t>
      </w:r>
      <w:r>
        <w:rPr>
          <w:lang w:eastAsia="ru-RU"/>
        </w:rPr>
        <w:t xml:space="preserve"> следующих: </w:t>
      </w:r>
      <w:r w:rsidRPr="00FC4968">
        <w:rPr>
          <w:lang w:eastAsia="ru-RU"/>
        </w:rPr>
        <w:t>аритмия, аутоиммунный гепатит, одышка, гипертонический криз, повышение уровня креатинина в крови,</w:t>
      </w:r>
      <w:r>
        <w:rPr>
          <w:lang w:eastAsia="ru-RU"/>
        </w:rPr>
        <w:t xml:space="preserve"> </w:t>
      </w:r>
      <w:r w:rsidRPr="00FC4968">
        <w:rPr>
          <w:lang w:eastAsia="ru-RU"/>
        </w:rPr>
        <w:t xml:space="preserve">синдром полиорганной </w:t>
      </w:r>
      <w:r>
        <w:rPr>
          <w:lang w:eastAsia="ru-RU"/>
        </w:rPr>
        <w:t>недостаточности</w:t>
      </w:r>
      <w:r w:rsidRPr="00FC4968">
        <w:rPr>
          <w:lang w:eastAsia="ru-RU"/>
        </w:rPr>
        <w:t>, миастенический синдром, миокардит, нефрит,</w:t>
      </w:r>
      <w:r>
        <w:rPr>
          <w:lang w:eastAsia="ru-RU"/>
        </w:rPr>
        <w:t xml:space="preserve"> </w:t>
      </w:r>
      <w:r w:rsidRPr="00FC4968">
        <w:rPr>
          <w:lang w:eastAsia="ru-RU"/>
        </w:rPr>
        <w:t>пневмонит, разрыв аневризмы, сепсис и субарахноидальное кровоизлияние.</w:t>
      </w:r>
    </w:p>
    <w:p w14:paraId="2F68B71A" w14:textId="0665FE1C" w:rsidR="009964DD" w:rsidRDefault="007175C6" w:rsidP="006931A4">
      <w:pPr>
        <w:ind w:firstLine="709"/>
      </w:pPr>
      <w:r>
        <w:t>Ленватиниб является препаратом с управляемым профилем безопасности. На случай развития побочных реакций разработаны схемы к</w:t>
      </w:r>
      <w:r w:rsidRPr="00F95846">
        <w:t>оррекци</w:t>
      </w:r>
      <w:r>
        <w:t>и</w:t>
      </w:r>
      <w:r w:rsidRPr="00F95846">
        <w:t xml:space="preserve"> дозы при нежелательных реакциях</w:t>
      </w:r>
      <w:r>
        <w:t xml:space="preserve"> для всех показаний препарата, а также разработаны режимы модификации дозы при различных состояниях (артериальная гипертензия, диарея, сердечная недостаточность, гепатотоксичность).</w:t>
      </w:r>
    </w:p>
    <w:p w14:paraId="6A9A4556" w14:textId="77777777" w:rsidR="009964DD" w:rsidRPr="00D5518D" w:rsidRDefault="009964DD" w:rsidP="009964DD">
      <w:pPr>
        <w:ind w:firstLine="709"/>
      </w:pPr>
    </w:p>
    <w:p w14:paraId="1E46771C" w14:textId="77777777" w:rsidR="00200EBA" w:rsidRPr="00201AD2" w:rsidRDefault="00200EBA" w:rsidP="009964DD">
      <w:pPr>
        <w:pStyle w:val="ab"/>
        <w:shd w:val="clear" w:color="auto" w:fill="FFFFFF"/>
        <w:spacing w:before="0" w:beforeAutospacing="0" w:after="0" w:afterAutospacing="0"/>
        <w:jc w:val="both"/>
        <w:rPr>
          <w:b/>
        </w:rPr>
      </w:pPr>
      <w:r w:rsidRPr="00201AD2">
        <w:rPr>
          <w:b/>
        </w:rPr>
        <w:t>Оценка пользы</w:t>
      </w:r>
    </w:p>
    <w:p w14:paraId="6EADC49E" w14:textId="77777777" w:rsidR="009964DD" w:rsidRDefault="009964DD" w:rsidP="009964DD">
      <w:pPr>
        <w:ind w:firstLine="709"/>
      </w:pPr>
    </w:p>
    <w:p w14:paraId="10542479" w14:textId="498A5C3B" w:rsidR="00200EBA" w:rsidRDefault="00200EBA" w:rsidP="009964DD">
      <w:pPr>
        <w:ind w:firstLine="709"/>
        <w:rPr>
          <w:rFonts w:eastAsia="Calibri"/>
        </w:rPr>
      </w:pPr>
      <w:r w:rsidRPr="00201AD2">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201AD2">
        <w:rPr>
          <w:rFonts w:eastAsia="Calibri"/>
        </w:rPr>
        <w:t xml:space="preserve"> </w:t>
      </w:r>
    </w:p>
    <w:p w14:paraId="5C01151B" w14:textId="77777777" w:rsidR="009964DD" w:rsidRPr="00201AD2" w:rsidRDefault="009964DD" w:rsidP="009964DD">
      <w:pPr>
        <w:ind w:firstLine="709"/>
        <w:rPr>
          <w:rFonts w:eastAsia="Calibri"/>
        </w:rPr>
      </w:pPr>
    </w:p>
    <w:p w14:paraId="55DDD5A2" w14:textId="5AB49724" w:rsidR="00200EBA" w:rsidRDefault="00200EBA" w:rsidP="009964DD">
      <w:pPr>
        <w:pStyle w:val="ab"/>
        <w:shd w:val="clear" w:color="auto" w:fill="FFFFFF"/>
        <w:spacing w:before="0" w:beforeAutospacing="0" w:after="0" w:afterAutospacing="0"/>
        <w:jc w:val="both"/>
        <w:rPr>
          <w:b/>
        </w:rPr>
      </w:pPr>
      <w:r w:rsidRPr="00201AD2">
        <w:rPr>
          <w:b/>
        </w:rPr>
        <w:t>Оценка риска</w:t>
      </w:r>
    </w:p>
    <w:p w14:paraId="5D171D5D" w14:textId="77777777" w:rsidR="009964DD" w:rsidRPr="00201AD2" w:rsidRDefault="009964DD" w:rsidP="009964DD">
      <w:pPr>
        <w:pStyle w:val="ab"/>
        <w:shd w:val="clear" w:color="auto" w:fill="FFFFFF"/>
        <w:spacing w:before="0" w:beforeAutospacing="0" w:after="0" w:afterAutospacing="0"/>
        <w:jc w:val="both"/>
        <w:rPr>
          <w:b/>
        </w:rPr>
      </w:pPr>
    </w:p>
    <w:p w14:paraId="3A59892F" w14:textId="25989EB7" w:rsidR="00200EBA" w:rsidRDefault="00200EBA" w:rsidP="009964DD">
      <w:pPr>
        <w:ind w:firstLine="709"/>
        <w:rPr>
          <w:color w:val="000000"/>
        </w:rPr>
      </w:pPr>
      <w:bookmarkStart w:id="249" w:name="_Hlk484365438"/>
      <w:bookmarkStart w:id="250" w:name="_Hlk484354093"/>
      <w:bookmarkStart w:id="251" w:name="_Hlk484365465"/>
      <w:r w:rsidRPr="00DB3152">
        <w:rPr>
          <w:lang w:eastAsia="ru-RU"/>
        </w:rPr>
        <w:t xml:space="preserve">Риск применения исследуемого </w:t>
      </w:r>
      <w:r w:rsidRPr="00DB3152">
        <w:t xml:space="preserve">воспроизведенного препарата </w:t>
      </w:r>
      <w:r w:rsidR="00201AD2">
        <w:rPr>
          <w:lang w:val="en-US"/>
        </w:rPr>
        <w:t>DT</w:t>
      </w:r>
      <w:r w:rsidR="00201AD2" w:rsidRPr="00201AD2">
        <w:t>-</w:t>
      </w:r>
      <w:r w:rsidR="00201AD2">
        <w:rPr>
          <w:lang w:val="en-US"/>
        </w:rPr>
        <w:t>LNV</w:t>
      </w:r>
      <w:r>
        <w:t xml:space="preserve"> (МНН: </w:t>
      </w:r>
      <w:r>
        <w:rPr>
          <w:bCs/>
          <w:color w:val="000000" w:themeColor="text1"/>
        </w:rPr>
        <w:t>л</w:t>
      </w:r>
      <w:r w:rsidRPr="009B4BDE">
        <w:rPr>
          <w:bCs/>
          <w:color w:val="000000" w:themeColor="text1"/>
        </w:rPr>
        <w:t>енватиниб</w:t>
      </w:r>
      <w:r>
        <w:rPr>
          <w:bCs/>
          <w:color w:val="000000" w:themeColor="text1"/>
        </w:rPr>
        <w:t>)</w:t>
      </w:r>
      <w:r>
        <w:t xml:space="preserve">, капсулы 4 мг, 10 мг (АО «Р-Фарм», Россия) </w:t>
      </w:r>
      <w:r w:rsidRPr="00DB3152">
        <w:rPr>
          <w:lang w:eastAsia="ru-RU"/>
        </w:rPr>
        <w:t xml:space="preserve">и оригинального препарата </w:t>
      </w:r>
      <w:r w:rsidRPr="001C7E32">
        <w:rPr>
          <w:lang w:eastAsia="ru-RU"/>
        </w:rPr>
        <w:t>Ленвима</w:t>
      </w:r>
      <w:r w:rsidRPr="00D050C7">
        <w:rPr>
          <w:vertAlign w:val="superscript"/>
          <w:lang w:eastAsia="ru-RU"/>
        </w:rPr>
        <w:t>®</w:t>
      </w:r>
      <w:r w:rsidRPr="001C7E32">
        <w:rPr>
          <w:lang w:eastAsia="ru-RU"/>
        </w:rPr>
        <w:t xml:space="preserve"> (МНН: ленватиниб), капсулы 4 мг, 10 мг (владелец РУ: Эйсай Юроп Лимитед, Соединенное Королевство)</w:t>
      </w:r>
      <w:r>
        <w:rPr>
          <w:lang w:eastAsia="ru-RU"/>
        </w:rPr>
        <w:t xml:space="preserve"> </w:t>
      </w:r>
      <w:r w:rsidRPr="00DB3152">
        <w:rPr>
          <w:lang w:eastAsia="ru-RU"/>
        </w:rPr>
        <w:t>ассоциирован</w:t>
      </w:r>
      <w:r w:rsidRPr="00C81BE4">
        <w:rPr>
          <w:lang w:eastAsia="ru-RU"/>
        </w:rPr>
        <w:t xml:space="preserve">,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w:t>
      </w:r>
      <w:r w:rsidR="00D06182" w:rsidRPr="001C7E32">
        <w:rPr>
          <w:lang w:eastAsia="ru-RU"/>
        </w:rPr>
        <w:t>ленватиниб</w:t>
      </w:r>
      <w:r w:rsidR="001E7D71">
        <w:rPr>
          <w:lang w:eastAsia="ru-RU"/>
        </w:rPr>
        <w:t>а</w:t>
      </w:r>
      <w:r w:rsidRPr="00DB3152">
        <w:t xml:space="preserve"> </w:t>
      </w:r>
      <w:r w:rsidR="00D06182">
        <w:t>НЯ</w:t>
      </w:r>
      <w:r w:rsidRPr="00DB3152">
        <w:t xml:space="preserve"> перечислены ниже (Таблица 5-1) по системно</w:t>
      </w:r>
      <w:r w:rsidRPr="0007462D">
        <w:rPr>
          <w:color w:val="000000"/>
        </w:rPr>
        <w:t xml:space="preserve">-органным классам и частоте. Частоты определены как: очень часто (≥1/10); часто (≥1/100 </w:t>
      </w:r>
      <w:r w:rsidR="001B7D3B" w:rsidRPr="001B7D3B">
        <w:rPr>
          <w:color w:val="000000"/>
        </w:rPr>
        <w:t>‒</w:t>
      </w:r>
      <w:r w:rsidR="001B7D3B" w:rsidRPr="001B7D3B" w:rsidDel="001B7D3B">
        <w:rPr>
          <w:color w:val="000000"/>
        </w:rPr>
        <w:t xml:space="preserve"> </w:t>
      </w:r>
      <w:r w:rsidRPr="0007462D">
        <w:rPr>
          <w:color w:val="000000"/>
        </w:rPr>
        <w:t xml:space="preserve"> &lt;1/10); нечасто (≥1/1000 </w:t>
      </w:r>
      <w:r w:rsidR="001B7D3B" w:rsidRPr="001B7D3B">
        <w:rPr>
          <w:color w:val="000000"/>
        </w:rPr>
        <w:t>‒</w:t>
      </w:r>
      <w:r w:rsidR="001B7D3B" w:rsidRPr="001B7D3B" w:rsidDel="001B7D3B">
        <w:rPr>
          <w:color w:val="000000"/>
        </w:rPr>
        <w:t xml:space="preserve"> </w:t>
      </w:r>
      <w:r w:rsidRPr="0007462D">
        <w:rPr>
          <w:color w:val="000000"/>
        </w:rPr>
        <w:t xml:space="preserve"> &lt;1/100); редко (≥1/10000</w:t>
      </w:r>
      <w:r w:rsidR="001B7D3B">
        <w:rPr>
          <w:color w:val="000000"/>
        </w:rPr>
        <w:t xml:space="preserve"> </w:t>
      </w:r>
      <w:r w:rsidR="001B7D3B" w:rsidRPr="001B7D3B">
        <w:rPr>
          <w:color w:val="000000"/>
        </w:rPr>
        <w:t>‒</w:t>
      </w:r>
      <w:r w:rsidR="001B7D3B" w:rsidRPr="001B7D3B" w:rsidDel="001B7D3B">
        <w:rPr>
          <w:color w:val="000000"/>
        </w:rPr>
        <w:t xml:space="preserve"> </w:t>
      </w:r>
      <w:r w:rsidRPr="0007462D">
        <w:rPr>
          <w:color w:val="000000"/>
        </w:rPr>
        <w:t xml:space="preserve"> &lt;1/1000); очень редко (&lt;1/10000) и частота не установлена (нельзя установить на основании доступных данных).</w:t>
      </w:r>
    </w:p>
    <w:p w14:paraId="17F0A80B" w14:textId="77777777" w:rsidR="00200EBA" w:rsidRPr="0007462D" w:rsidRDefault="00200EBA" w:rsidP="00200EBA">
      <w:pPr>
        <w:ind w:firstLine="709"/>
        <w:rPr>
          <w:color w:val="000000"/>
        </w:rPr>
      </w:pPr>
    </w:p>
    <w:p w14:paraId="066B6AEB" w14:textId="3BF52A8B" w:rsidR="00200EBA" w:rsidRPr="00201AD2" w:rsidRDefault="00200EBA" w:rsidP="00200EBA">
      <w:pPr>
        <w:pStyle w:val="ab"/>
        <w:shd w:val="clear" w:color="auto" w:fill="FFFFFF"/>
        <w:spacing w:before="0" w:beforeAutospacing="0" w:after="0" w:afterAutospacing="0"/>
        <w:jc w:val="both"/>
        <w:rPr>
          <w:b/>
          <w:color w:val="000000"/>
        </w:rPr>
      </w:pPr>
      <w:r w:rsidRPr="009E26B1">
        <w:rPr>
          <w:b/>
          <w:bCs/>
        </w:rPr>
        <w:t xml:space="preserve">Таблица 5-1. </w:t>
      </w:r>
      <w:r w:rsidRPr="00201AD2">
        <w:rPr>
          <w:color w:val="000000"/>
        </w:rPr>
        <w:t xml:space="preserve">Частота нежелательных явлений, выявленных в плацебо-контролируемых клинических исследованиях </w:t>
      </w:r>
      <w:r w:rsidRPr="00201AD2">
        <w:rPr>
          <w:color w:val="000000" w:themeColor="text1"/>
        </w:rPr>
        <w:t>ленватиниб</w:t>
      </w:r>
      <w:r w:rsidRPr="00201AD2">
        <w:rPr>
          <w:color w:val="000000"/>
        </w:rPr>
        <w:t>а и при пострегистрационном наблюдении</w:t>
      </w:r>
      <w:r w:rsidR="00201AD2" w:rsidRPr="00201AD2">
        <w:rPr>
          <w:color w:val="000000"/>
        </w:rPr>
        <w:t>.</w:t>
      </w:r>
    </w:p>
    <w:tbl>
      <w:tblPr>
        <w:tblStyle w:val="a8"/>
        <w:tblW w:w="0" w:type="auto"/>
        <w:tblLook w:val="04A0" w:firstRow="1" w:lastRow="0" w:firstColumn="1" w:lastColumn="0" w:noHBand="0" w:noVBand="1"/>
      </w:tblPr>
      <w:tblGrid>
        <w:gridCol w:w="2199"/>
        <w:gridCol w:w="3569"/>
        <w:gridCol w:w="3578"/>
      </w:tblGrid>
      <w:tr w:rsidR="00E52C95" w14:paraId="28650501" w14:textId="77777777" w:rsidTr="009964DD">
        <w:trPr>
          <w:cantSplit/>
          <w:tblHeader/>
        </w:trPr>
        <w:tc>
          <w:tcPr>
            <w:tcW w:w="2199" w:type="dxa"/>
            <w:shd w:val="clear" w:color="auto" w:fill="D9D9D9" w:themeFill="background1" w:themeFillShade="D9"/>
            <w:vAlign w:val="center"/>
          </w:tcPr>
          <w:p w14:paraId="36A41190" w14:textId="77777777" w:rsidR="00E52C95" w:rsidRPr="009074FE" w:rsidRDefault="00E52C95" w:rsidP="009964DD">
            <w:pPr>
              <w:pStyle w:val="ab"/>
              <w:spacing w:before="0" w:beforeAutospacing="0" w:after="0" w:afterAutospacing="0"/>
              <w:jc w:val="center"/>
              <w:rPr>
                <w:b/>
                <w:bCs/>
                <w:color w:val="000000"/>
              </w:rPr>
            </w:pPr>
            <w:r w:rsidRPr="000D1198">
              <w:rPr>
                <w:b/>
                <w:bCs/>
              </w:rPr>
              <w:t>Класс систем и органов (согласно классификации MedDRA)</w:t>
            </w:r>
          </w:p>
        </w:tc>
        <w:tc>
          <w:tcPr>
            <w:tcW w:w="3569" w:type="dxa"/>
            <w:shd w:val="clear" w:color="auto" w:fill="D9D9D9" w:themeFill="background1" w:themeFillShade="D9"/>
            <w:vAlign w:val="center"/>
          </w:tcPr>
          <w:p w14:paraId="4F428127" w14:textId="77777777" w:rsidR="00E52C95" w:rsidRPr="000D1198" w:rsidRDefault="00E52C95" w:rsidP="009964DD">
            <w:pPr>
              <w:pStyle w:val="ab"/>
              <w:spacing w:before="0" w:beforeAutospacing="0" w:after="0" w:afterAutospacing="0"/>
              <w:jc w:val="center"/>
              <w:rPr>
                <w:b/>
                <w:bCs/>
                <w:color w:val="000000"/>
              </w:rPr>
            </w:pPr>
            <w:r w:rsidRPr="000D1198">
              <w:rPr>
                <w:b/>
                <w:bCs/>
                <w:color w:val="000000"/>
              </w:rPr>
              <w:t>Монотерапия (</w:t>
            </w:r>
            <w:r w:rsidRPr="003F106C">
              <w:rPr>
                <w:b/>
                <w:bCs/>
                <w:color w:val="000000"/>
              </w:rPr>
              <w:t>Д</w:t>
            </w:r>
            <w:r w:rsidRPr="00D050C7">
              <w:rPr>
                <w:b/>
              </w:rPr>
              <w:t>ифференцированный</w:t>
            </w:r>
            <w:r>
              <w:t xml:space="preserve"> </w:t>
            </w:r>
            <w:r w:rsidRPr="003F106C">
              <w:rPr>
                <w:b/>
                <w:bCs/>
                <w:color w:val="000000"/>
              </w:rPr>
              <w:t>РЩЖ</w:t>
            </w:r>
            <w:r w:rsidRPr="000D1198">
              <w:rPr>
                <w:b/>
                <w:bCs/>
                <w:color w:val="000000"/>
              </w:rPr>
              <w:t xml:space="preserve"> и ГЦР)/комбинация с эверолимусом (ПKP)</w:t>
            </w:r>
          </w:p>
        </w:tc>
        <w:tc>
          <w:tcPr>
            <w:tcW w:w="3578" w:type="dxa"/>
            <w:shd w:val="clear" w:color="auto" w:fill="D9D9D9" w:themeFill="background1" w:themeFillShade="D9"/>
            <w:vAlign w:val="center"/>
          </w:tcPr>
          <w:p w14:paraId="456185B7" w14:textId="77777777" w:rsidR="00E52C95" w:rsidRPr="000D1198" w:rsidRDefault="00E52C95" w:rsidP="009964DD">
            <w:pPr>
              <w:pStyle w:val="ab"/>
              <w:spacing w:before="0" w:beforeAutospacing="0" w:after="0" w:afterAutospacing="0"/>
              <w:jc w:val="center"/>
              <w:rPr>
                <w:b/>
                <w:bCs/>
                <w:color w:val="000000"/>
              </w:rPr>
            </w:pPr>
            <w:r w:rsidRPr="000D1198">
              <w:rPr>
                <w:b/>
                <w:bCs/>
                <w:color w:val="000000"/>
              </w:rPr>
              <w:t>Комбинация с пембролизумабом</w:t>
            </w:r>
          </w:p>
          <w:p w14:paraId="4953A16F" w14:textId="77777777" w:rsidR="00E52C95" w:rsidRPr="000D1198" w:rsidRDefault="00E52C95" w:rsidP="009964DD">
            <w:pPr>
              <w:pStyle w:val="ab"/>
              <w:spacing w:before="0" w:beforeAutospacing="0" w:after="0" w:afterAutospacing="0"/>
              <w:jc w:val="center"/>
              <w:rPr>
                <w:b/>
                <w:bCs/>
                <w:color w:val="000000"/>
              </w:rPr>
            </w:pPr>
            <w:r w:rsidRPr="000D1198">
              <w:rPr>
                <w:b/>
                <w:bCs/>
                <w:color w:val="000000"/>
              </w:rPr>
              <w:t>(ПKP и Р</w:t>
            </w:r>
            <w:r>
              <w:rPr>
                <w:b/>
                <w:bCs/>
                <w:color w:val="000000"/>
              </w:rPr>
              <w:t>Э</w:t>
            </w:r>
            <w:r w:rsidRPr="000D1198">
              <w:rPr>
                <w:b/>
                <w:bCs/>
                <w:color w:val="000000"/>
              </w:rPr>
              <w:t>)</w:t>
            </w:r>
          </w:p>
        </w:tc>
      </w:tr>
      <w:tr w:rsidR="00E52C95" w14:paraId="60DB8B93" w14:textId="77777777" w:rsidTr="005E0101">
        <w:tc>
          <w:tcPr>
            <w:tcW w:w="9346" w:type="dxa"/>
            <w:gridSpan w:val="3"/>
          </w:tcPr>
          <w:p w14:paraId="467DBD7F" w14:textId="77777777" w:rsidR="00E52C95" w:rsidRPr="000D1198" w:rsidRDefault="00E52C95" w:rsidP="005E0101">
            <w:pPr>
              <w:pStyle w:val="ab"/>
              <w:rPr>
                <w:b/>
                <w:bCs/>
                <w:color w:val="000000"/>
              </w:rPr>
            </w:pPr>
            <w:r>
              <w:rPr>
                <w:b/>
                <w:bCs/>
              </w:rPr>
              <w:t>Инфекции и инвазии</w:t>
            </w:r>
          </w:p>
        </w:tc>
      </w:tr>
      <w:tr w:rsidR="00E52C95" w14:paraId="09C215C1" w14:textId="77777777" w:rsidTr="009964DD">
        <w:tc>
          <w:tcPr>
            <w:tcW w:w="2199" w:type="dxa"/>
            <w:vAlign w:val="center"/>
          </w:tcPr>
          <w:p w14:paraId="61866975" w14:textId="77777777" w:rsidR="00E52C95" w:rsidRPr="000D1198" w:rsidRDefault="00E52C95" w:rsidP="005E0101">
            <w:pPr>
              <w:pStyle w:val="ab"/>
              <w:spacing w:before="0" w:beforeAutospacing="0" w:after="0" w:afterAutospacing="0"/>
              <w:jc w:val="both"/>
              <w:rPr>
                <w:b/>
                <w:bCs/>
              </w:rPr>
            </w:pPr>
            <w:r>
              <w:t>Очень часто</w:t>
            </w:r>
          </w:p>
        </w:tc>
        <w:tc>
          <w:tcPr>
            <w:tcW w:w="3569" w:type="dxa"/>
            <w:vAlign w:val="center"/>
          </w:tcPr>
          <w:p w14:paraId="7C888C49" w14:textId="77777777" w:rsidR="00E52C95" w:rsidRPr="002D2DC7" w:rsidRDefault="00E52C95" w:rsidP="005E0101">
            <w:pPr>
              <w:pStyle w:val="ab"/>
              <w:spacing w:before="0" w:beforeAutospacing="0" w:after="0" w:afterAutospacing="0"/>
              <w:jc w:val="both"/>
              <w:rPr>
                <w:color w:val="000000"/>
              </w:rPr>
            </w:pPr>
            <w:r w:rsidRPr="002D2DC7">
              <w:rPr>
                <w:color w:val="000000"/>
              </w:rPr>
              <w:t>Инфекции мочевыводяших путей</w:t>
            </w:r>
          </w:p>
        </w:tc>
        <w:tc>
          <w:tcPr>
            <w:tcW w:w="3578" w:type="dxa"/>
            <w:vAlign w:val="center"/>
          </w:tcPr>
          <w:p w14:paraId="1D7AC41C" w14:textId="77777777" w:rsidR="00E52C95" w:rsidRPr="002D2DC7" w:rsidRDefault="00E52C95" w:rsidP="005E0101">
            <w:pPr>
              <w:pStyle w:val="ab"/>
              <w:rPr>
                <w:color w:val="000000"/>
              </w:rPr>
            </w:pPr>
            <w:r w:rsidRPr="002D2DC7">
              <w:rPr>
                <w:color w:val="000000"/>
              </w:rPr>
              <w:t>Инфекции мочевыводяших путей</w:t>
            </w:r>
          </w:p>
        </w:tc>
      </w:tr>
      <w:tr w:rsidR="00E52C95" w14:paraId="6F3429E7" w14:textId="77777777" w:rsidTr="009964DD">
        <w:tc>
          <w:tcPr>
            <w:tcW w:w="2199" w:type="dxa"/>
            <w:vAlign w:val="center"/>
          </w:tcPr>
          <w:p w14:paraId="75C94DB3" w14:textId="77777777" w:rsidR="00E52C95" w:rsidRPr="002D2DC7" w:rsidRDefault="00E52C95" w:rsidP="005E0101">
            <w:pPr>
              <w:pStyle w:val="ab"/>
              <w:spacing w:before="0" w:beforeAutospacing="0" w:after="0" w:afterAutospacing="0"/>
              <w:jc w:val="both"/>
            </w:pPr>
            <w:r w:rsidRPr="002D2DC7">
              <w:t>Нечасто</w:t>
            </w:r>
          </w:p>
        </w:tc>
        <w:tc>
          <w:tcPr>
            <w:tcW w:w="3569" w:type="dxa"/>
            <w:vAlign w:val="center"/>
          </w:tcPr>
          <w:p w14:paraId="46B6BBE5" w14:textId="77777777" w:rsidR="00E52C95" w:rsidRPr="002D2DC7" w:rsidRDefault="00E52C95" w:rsidP="005E0101">
            <w:pPr>
              <w:pStyle w:val="ab"/>
              <w:spacing w:before="0" w:beforeAutospacing="0" w:after="0" w:afterAutospacing="0"/>
              <w:jc w:val="both"/>
              <w:rPr>
                <w:color w:val="000000"/>
              </w:rPr>
            </w:pPr>
            <w:r w:rsidRPr="002D2DC7">
              <w:rPr>
                <w:color w:val="000000"/>
              </w:rPr>
              <w:t>Перинеальный абсцесс</w:t>
            </w:r>
          </w:p>
        </w:tc>
        <w:tc>
          <w:tcPr>
            <w:tcW w:w="3578" w:type="dxa"/>
            <w:vAlign w:val="center"/>
          </w:tcPr>
          <w:p w14:paraId="6B53215F" w14:textId="77777777" w:rsidR="00E52C95" w:rsidRPr="002D2DC7" w:rsidRDefault="00E52C95" w:rsidP="005E0101">
            <w:pPr>
              <w:pStyle w:val="ab"/>
              <w:rPr>
                <w:color w:val="000000"/>
              </w:rPr>
            </w:pPr>
          </w:p>
        </w:tc>
      </w:tr>
      <w:tr w:rsidR="00E52C95" w14:paraId="37F7A5AD" w14:textId="77777777" w:rsidTr="009964DD">
        <w:tc>
          <w:tcPr>
            <w:tcW w:w="9346" w:type="dxa"/>
            <w:gridSpan w:val="3"/>
            <w:vAlign w:val="center"/>
          </w:tcPr>
          <w:p w14:paraId="3382B21C" w14:textId="77777777" w:rsidR="00E52C95" w:rsidRPr="002D2DC7" w:rsidRDefault="00E52C95" w:rsidP="005E0101">
            <w:pPr>
              <w:pStyle w:val="ab"/>
              <w:spacing w:before="0" w:beforeAutospacing="0" w:after="0" w:afterAutospacing="0"/>
              <w:rPr>
                <w:color w:val="000000"/>
              </w:rPr>
            </w:pPr>
            <w:r>
              <w:rPr>
                <w:b/>
                <w:bCs/>
              </w:rPr>
              <w:t>Нарушения со стороны крови и лимфатической системы</w:t>
            </w:r>
          </w:p>
        </w:tc>
      </w:tr>
      <w:tr w:rsidR="00E52C95" w14:paraId="0AC99CDF" w14:textId="77777777" w:rsidTr="009964DD">
        <w:tc>
          <w:tcPr>
            <w:tcW w:w="2199" w:type="dxa"/>
            <w:vAlign w:val="center"/>
          </w:tcPr>
          <w:p w14:paraId="329BBEF5" w14:textId="77777777" w:rsidR="00E52C95" w:rsidRPr="002D2DC7" w:rsidRDefault="00E52C95" w:rsidP="005E0101">
            <w:pPr>
              <w:pStyle w:val="ab"/>
              <w:spacing w:before="0" w:beforeAutospacing="0" w:after="0" w:afterAutospacing="0"/>
              <w:jc w:val="both"/>
            </w:pPr>
            <w:r w:rsidRPr="002D2DC7">
              <w:t>Очень часто</w:t>
            </w:r>
          </w:p>
        </w:tc>
        <w:tc>
          <w:tcPr>
            <w:tcW w:w="3569" w:type="dxa"/>
            <w:vAlign w:val="center"/>
          </w:tcPr>
          <w:p w14:paraId="1BF98011" w14:textId="77777777" w:rsidR="00E52C95" w:rsidRPr="002D2DC7" w:rsidRDefault="00E52C95" w:rsidP="005E0101">
            <w:pPr>
              <w:pStyle w:val="ab"/>
              <w:spacing w:before="0" w:beforeAutospacing="0" w:after="0" w:afterAutospacing="0"/>
              <w:rPr>
                <w:color w:val="000000"/>
              </w:rPr>
            </w:pPr>
            <w:r w:rsidRPr="002D2DC7">
              <w:rPr>
                <w:color w:val="000000"/>
              </w:rPr>
              <w:t>Тромбоцитопения</w:t>
            </w:r>
            <w:r w:rsidRPr="00EB1B5E">
              <w:rPr>
                <w:color w:val="000000"/>
                <w:vertAlign w:val="superscript"/>
              </w:rPr>
              <w:t>а</w:t>
            </w:r>
          </w:p>
          <w:p w14:paraId="4DB2D575" w14:textId="6B806464" w:rsidR="00E52C95" w:rsidRPr="002D2DC7" w:rsidRDefault="00E52C95" w:rsidP="005E0101">
            <w:pPr>
              <w:pStyle w:val="ab"/>
              <w:spacing w:before="0" w:beforeAutospacing="0" w:after="0" w:afterAutospacing="0"/>
              <w:rPr>
                <w:color w:val="000000"/>
              </w:rPr>
            </w:pPr>
            <w:r w:rsidRPr="002D2DC7">
              <w:rPr>
                <w:color w:val="000000"/>
              </w:rPr>
              <w:t>Лейкопения</w:t>
            </w:r>
            <w:r w:rsidR="004A23DC" w:rsidRPr="001F02F5">
              <w:rPr>
                <w:color w:val="000000"/>
                <w:vertAlign w:val="superscript"/>
              </w:rPr>
              <w:t>а</w:t>
            </w:r>
          </w:p>
          <w:p w14:paraId="60B3B5B4" w14:textId="77777777" w:rsidR="00E52C95" w:rsidRPr="000D1198" w:rsidRDefault="00E52C95" w:rsidP="005E0101">
            <w:pPr>
              <w:pStyle w:val="ab"/>
              <w:spacing w:before="0" w:beforeAutospacing="0" w:after="0" w:afterAutospacing="0"/>
              <w:jc w:val="both"/>
              <w:rPr>
                <w:b/>
                <w:bCs/>
                <w:color w:val="000000"/>
              </w:rPr>
            </w:pPr>
            <w:r w:rsidRPr="002D2DC7">
              <w:rPr>
                <w:color w:val="000000"/>
              </w:rPr>
              <w:t>Heйтpoпeния</w:t>
            </w:r>
            <w:r w:rsidRPr="001F02F5">
              <w:rPr>
                <w:color w:val="000000"/>
                <w:vertAlign w:val="superscript"/>
              </w:rPr>
              <w:t>а</w:t>
            </w:r>
          </w:p>
        </w:tc>
        <w:tc>
          <w:tcPr>
            <w:tcW w:w="3578" w:type="dxa"/>
            <w:vAlign w:val="center"/>
          </w:tcPr>
          <w:p w14:paraId="38BE5989" w14:textId="77777777" w:rsidR="009B460E" w:rsidRDefault="00E52C95" w:rsidP="005E0101">
            <w:pPr>
              <w:pStyle w:val="ab"/>
              <w:spacing w:before="0" w:beforeAutospacing="0" w:after="0" w:afterAutospacing="0"/>
              <w:rPr>
                <w:color w:val="000000"/>
                <w:vertAlign w:val="superscript"/>
              </w:rPr>
            </w:pPr>
            <w:r w:rsidRPr="002D2DC7">
              <w:rPr>
                <w:color w:val="000000"/>
              </w:rPr>
              <w:t>Тромбоцитопения</w:t>
            </w:r>
            <w:r w:rsidRPr="001F02F5">
              <w:rPr>
                <w:color w:val="000000"/>
                <w:vertAlign w:val="superscript"/>
              </w:rPr>
              <w:t>а</w:t>
            </w:r>
          </w:p>
          <w:p w14:paraId="694EB02D" w14:textId="29E7B2AD" w:rsidR="00E52C95" w:rsidRPr="000D1198" w:rsidRDefault="00E52C95" w:rsidP="005E0101">
            <w:pPr>
              <w:pStyle w:val="ab"/>
              <w:spacing w:before="0" w:beforeAutospacing="0" w:after="0" w:afterAutospacing="0"/>
              <w:rPr>
                <w:b/>
                <w:bCs/>
                <w:color w:val="000000"/>
              </w:rPr>
            </w:pPr>
            <w:r w:rsidRPr="002D2DC7">
              <w:rPr>
                <w:color w:val="000000"/>
              </w:rPr>
              <w:t>Heйтpoпeния</w:t>
            </w:r>
            <w:r w:rsidRPr="001F02F5">
              <w:rPr>
                <w:color w:val="000000"/>
                <w:vertAlign w:val="superscript"/>
              </w:rPr>
              <w:t>а</w:t>
            </w:r>
            <w:r w:rsidRPr="000D1198">
              <w:rPr>
                <w:b/>
                <w:bCs/>
                <w:color w:val="000000"/>
              </w:rPr>
              <w:t xml:space="preserve"> </w:t>
            </w:r>
          </w:p>
        </w:tc>
      </w:tr>
      <w:tr w:rsidR="00E52C95" w14:paraId="1718D583" w14:textId="77777777" w:rsidTr="009964DD">
        <w:tc>
          <w:tcPr>
            <w:tcW w:w="2199" w:type="dxa"/>
            <w:vAlign w:val="center"/>
          </w:tcPr>
          <w:p w14:paraId="7393C76A" w14:textId="77777777" w:rsidR="00E52C95" w:rsidRPr="002D2DC7" w:rsidRDefault="00E52C95" w:rsidP="005E0101">
            <w:pPr>
              <w:pStyle w:val="ab"/>
              <w:spacing w:before="0" w:beforeAutospacing="0" w:after="0" w:afterAutospacing="0"/>
              <w:jc w:val="both"/>
            </w:pPr>
            <w:r w:rsidRPr="002D2DC7">
              <w:t>Часто</w:t>
            </w:r>
          </w:p>
        </w:tc>
        <w:tc>
          <w:tcPr>
            <w:tcW w:w="3569" w:type="dxa"/>
            <w:vAlign w:val="center"/>
          </w:tcPr>
          <w:p w14:paraId="07561463" w14:textId="77777777" w:rsidR="00E52C95" w:rsidRPr="000D1198" w:rsidRDefault="00E52C95" w:rsidP="005E0101">
            <w:pPr>
              <w:pStyle w:val="ab"/>
              <w:spacing w:before="0" w:beforeAutospacing="0" w:after="0" w:afterAutospacing="0"/>
              <w:jc w:val="both"/>
              <w:rPr>
                <w:b/>
                <w:bCs/>
                <w:color w:val="000000"/>
              </w:rPr>
            </w:pPr>
            <w:r w:rsidRPr="002D2DC7">
              <w:rPr>
                <w:color w:val="000000"/>
              </w:rPr>
              <w:t>Лимфопения</w:t>
            </w:r>
            <w:r w:rsidRPr="001F02F5">
              <w:rPr>
                <w:color w:val="000000"/>
                <w:vertAlign w:val="superscript"/>
              </w:rPr>
              <w:t>а</w:t>
            </w:r>
          </w:p>
        </w:tc>
        <w:tc>
          <w:tcPr>
            <w:tcW w:w="3578" w:type="dxa"/>
            <w:vAlign w:val="center"/>
          </w:tcPr>
          <w:p w14:paraId="0C58DC94" w14:textId="77777777" w:rsidR="00E52C95" w:rsidRPr="002D2DC7" w:rsidRDefault="00E52C95" w:rsidP="005E0101">
            <w:pPr>
              <w:pStyle w:val="ab"/>
              <w:spacing w:before="0" w:beforeAutospacing="0" w:after="0" w:afterAutospacing="0"/>
              <w:rPr>
                <w:color w:val="000000"/>
              </w:rPr>
            </w:pPr>
            <w:r>
              <w:rPr>
                <w:color w:val="000000"/>
              </w:rPr>
              <w:t>Лимфо</w:t>
            </w:r>
            <w:r w:rsidRPr="002D2DC7">
              <w:rPr>
                <w:color w:val="000000"/>
              </w:rPr>
              <w:t>пения</w:t>
            </w:r>
            <w:r w:rsidRPr="001F02F5">
              <w:rPr>
                <w:color w:val="000000"/>
                <w:vertAlign w:val="superscript"/>
              </w:rPr>
              <w:t>а</w:t>
            </w:r>
          </w:p>
          <w:p w14:paraId="4812DF99" w14:textId="77777777" w:rsidR="00E52C95" w:rsidRPr="000D1198" w:rsidRDefault="00E52C95" w:rsidP="005E0101">
            <w:pPr>
              <w:pStyle w:val="ab"/>
              <w:spacing w:before="0" w:beforeAutospacing="0" w:after="0" w:afterAutospacing="0"/>
              <w:rPr>
                <w:b/>
                <w:bCs/>
                <w:color w:val="000000"/>
              </w:rPr>
            </w:pPr>
            <w:r w:rsidRPr="002D2DC7">
              <w:rPr>
                <w:color w:val="000000"/>
              </w:rPr>
              <w:t>Лейкопения</w:t>
            </w:r>
            <w:r w:rsidRPr="001F02F5">
              <w:rPr>
                <w:color w:val="000000"/>
                <w:vertAlign w:val="superscript"/>
              </w:rPr>
              <w:t>а</w:t>
            </w:r>
          </w:p>
        </w:tc>
      </w:tr>
      <w:tr w:rsidR="00E52C95" w14:paraId="6D7F877B" w14:textId="77777777" w:rsidTr="009964DD">
        <w:tc>
          <w:tcPr>
            <w:tcW w:w="2199" w:type="dxa"/>
            <w:vAlign w:val="center"/>
          </w:tcPr>
          <w:p w14:paraId="2EC3CFC4" w14:textId="77777777" w:rsidR="00E52C95" w:rsidRPr="002D2DC7" w:rsidRDefault="00E52C95" w:rsidP="005E0101">
            <w:pPr>
              <w:pStyle w:val="ab"/>
              <w:spacing w:before="0" w:beforeAutospacing="0" w:after="0" w:afterAutospacing="0"/>
              <w:jc w:val="both"/>
            </w:pPr>
            <w:r w:rsidRPr="002D2DC7">
              <w:t>Нечасто</w:t>
            </w:r>
          </w:p>
        </w:tc>
        <w:tc>
          <w:tcPr>
            <w:tcW w:w="3569" w:type="dxa"/>
            <w:vAlign w:val="center"/>
          </w:tcPr>
          <w:p w14:paraId="29066F7E" w14:textId="77777777" w:rsidR="00E52C95" w:rsidRPr="002D2DC7" w:rsidRDefault="00E52C95" w:rsidP="005E0101">
            <w:pPr>
              <w:pStyle w:val="ab"/>
              <w:spacing w:before="0" w:beforeAutospacing="0" w:after="0" w:afterAutospacing="0"/>
              <w:jc w:val="both"/>
              <w:rPr>
                <w:color w:val="000000"/>
              </w:rPr>
            </w:pPr>
            <w:r w:rsidRPr="002D2DC7">
              <w:rPr>
                <w:color w:val="000000"/>
              </w:rPr>
              <w:t>Инфаркт селезенки</w:t>
            </w:r>
          </w:p>
        </w:tc>
        <w:tc>
          <w:tcPr>
            <w:tcW w:w="3578" w:type="dxa"/>
            <w:vAlign w:val="center"/>
          </w:tcPr>
          <w:p w14:paraId="76EFEDB7" w14:textId="77777777" w:rsidR="00E52C95" w:rsidRPr="000D1198" w:rsidRDefault="00E52C95" w:rsidP="005E0101">
            <w:pPr>
              <w:pStyle w:val="ab"/>
              <w:rPr>
                <w:b/>
                <w:bCs/>
                <w:color w:val="000000"/>
              </w:rPr>
            </w:pPr>
          </w:p>
        </w:tc>
      </w:tr>
      <w:tr w:rsidR="00E52C95" w14:paraId="73D48398" w14:textId="77777777" w:rsidTr="009964DD">
        <w:tc>
          <w:tcPr>
            <w:tcW w:w="9346" w:type="dxa"/>
            <w:gridSpan w:val="3"/>
            <w:vAlign w:val="center"/>
          </w:tcPr>
          <w:p w14:paraId="507D5937" w14:textId="77777777" w:rsidR="00E52C95" w:rsidRPr="000D1198" w:rsidRDefault="00E52C95" w:rsidP="005E0101">
            <w:pPr>
              <w:pStyle w:val="ab"/>
              <w:rPr>
                <w:b/>
                <w:bCs/>
                <w:color w:val="000000"/>
              </w:rPr>
            </w:pPr>
            <w:r>
              <w:rPr>
                <w:b/>
                <w:bCs/>
              </w:rPr>
              <w:t>Эндокринные нарушения</w:t>
            </w:r>
          </w:p>
        </w:tc>
      </w:tr>
      <w:tr w:rsidR="00E52C95" w14:paraId="1756381A" w14:textId="77777777" w:rsidTr="009964DD">
        <w:tc>
          <w:tcPr>
            <w:tcW w:w="2199" w:type="dxa"/>
            <w:vAlign w:val="center"/>
          </w:tcPr>
          <w:p w14:paraId="3AC95EA6" w14:textId="77777777" w:rsidR="00E52C95" w:rsidRPr="000D1198" w:rsidRDefault="00E52C95" w:rsidP="005E0101">
            <w:pPr>
              <w:pStyle w:val="ab"/>
              <w:spacing w:before="0" w:beforeAutospacing="0" w:after="0" w:afterAutospacing="0"/>
              <w:jc w:val="both"/>
              <w:rPr>
                <w:b/>
                <w:bCs/>
              </w:rPr>
            </w:pPr>
            <w:r w:rsidRPr="002D2DC7">
              <w:lastRenderedPageBreak/>
              <w:t>Очень часто</w:t>
            </w:r>
          </w:p>
        </w:tc>
        <w:tc>
          <w:tcPr>
            <w:tcW w:w="3569" w:type="dxa"/>
            <w:vAlign w:val="center"/>
          </w:tcPr>
          <w:p w14:paraId="5A40C6AB" w14:textId="77777777" w:rsidR="00E52C95" w:rsidRPr="002D2DC7" w:rsidRDefault="00E52C95" w:rsidP="005E0101">
            <w:pPr>
              <w:pStyle w:val="ab"/>
              <w:spacing w:before="0" w:beforeAutospacing="0" w:after="0" w:afterAutospacing="0"/>
              <w:jc w:val="both"/>
              <w:rPr>
                <w:color w:val="000000"/>
              </w:rPr>
            </w:pPr>
            <w:r w:rsidRPr="002D2DC7">
              <w:rPr>
                <w:color w:val="000000"/>
              </w:rPr>
              <w:t>Гипотиреоз, нарушение уровня ТТГ</w:t>
            </w:r>
          </w:p>
        </w:tc>
        <w:tc>
          <w:tcPr>
            <w:tcW w:w="3578" w:type="dxa"/>
            <w:vAlign w:val="center"/>
          </w:tcPr>
          <w:p w14:paraId="02126917" w14:textId="77777777" w:rsidR="00E52C95" w:rsidRPr="002D2DC7" w:rsidRDefault="00E52C95" w:rsidP="005E0101">
            <w:pPr>
              <w:pStyle w:val="ab"/>
              <w:rPr>
                <w:color w:val="000000"/>
              </w:rPr>
            </w:pPr>
            <w:r w:rsidRPr="002D2DC7">
              <w:rPr>
                <w:color w:val="000000"/>
              </w:rPr>
              <w:t>Гипотиреоз, нарушение уровня ТТГ</w:t>
            </w:r>
          </w:p>
        </w:tc>
      </w:tr>
      <w:tr w:rsidR="00E52C95" w14:paraId="2AFC3D73" w14:textId="77777777" w:rsidTr="009964DD">
        <w:tc>
          <w:tcPr>
            <w:tcW w:w="9346" w:type="dxa"/>
            <w:gridSpan w:val="3"/>
            <w:vAlign w:val="center"/>
          </w:tcPr>
          <w:p w14:paraId="61B2FF62" w14:textId="77777777" w:rsidR="00E52C95" w:rsidRPr="000D1198" w:rsidRDefault="00E52C95" w:rsidP="005E0101">
            <w:pPr>
              <w:pStyle w:val="ab"/>
              <w:rPr>
                <w:b/>
                <w:bCs/>
                <w:color w:val="000000"/>
              </w:rPr>
            </w:pPr>
            <w:r>
              <w:rPr>
                <w:b/>
                <w:bCs/>
              </w:rPr>
              <w:t>Нарушения метаболизма и питания</w:t>
            </w:r>
          </w:p>
        </w:tc>
      </w:tr>
      <w:tr w:rsidR="00E52C95" w14:paraId="52CDDC26" w14:textId="77777777" w:rsidTr="009964DD">
        <w:tc>
          <w:tcPr>
            <w:tcW w:w="2199" w:type="dxa"/>
            <w:vAlign w:val="center"/>
          </w:tcPr>
          <w:p w14:paraId="29CE3F5E" w14:textId="77777777" w:rsidR="00E52C95" w:rsidRPr="000D1198" w:rsidRDefault="00E52C95" w:rsidP="005E0101">
            <w:pPr>
              <w:pStyle w:val="ab"/>
              <w:spacing w:before="0" w:beforeAutospacing="0" w:after="0" w:afterAutospacing="0"/>
              <w:jc w:val="both"/>
              <w:rPr>
                <w:b/>
                <w:bCs/>
              </w:rPr>
            </w:pPr>
            <w:r w:rsidRPr="002D2DC7">
              <w:t>Очень часто</w:t>
            </w:r>
          </w:p>
        </w:tc>
        <w:tc>
          <w:tcPr>
            <w:tcW w:w="3569" w:type="dxa"/>
            <w:vAlign w:val="center"/>
          </w:tcPr>
          <w:p w14:paraId="6861C3C6" w14:textId="77777777" w:rsidR="00E52C95" w:rsidRPr="00DD7555" w:rsidRDefault="00E52C95" w:rsidP="005E0101">
            <w:pPr>
              <w:pStyle w:val="ab"/>
              <w:spacing w:before="0" w:beforeAutospacing="0" w:after="0" w:afterAutospacing="0"/>
              <w:rPr>
                <w:color w:val="000000"/>
              </w:rPr>
            </w:pPr>
            <w:r w:rsidRPr="00DD7555">
              <w:rPr>
                <w:color w:val="000000"/>
              </w:rPr>
              <w:t>Гипокальциемия</w:t>
            </w:r>
          </w:p>
          <w:p w14:paraId="09A07FD7" w14:textId="77777777" w:rsidR="00E52C95" w:rsidRPr="00DD7555" w:rsidRDefault="00E52C95" w:rsidP="005E0101">
            <w:pPr>
              <w:pStyle w:val="ab"/>
              <w:spacing w:before="0" w:beforeAutospacing="0" w:after="0" w:afterAutospacing="0"/>
              <w:rPr>
                <w:color w:val="000000"/>
              </w:rPr>
            </w:pPr>
            <w:r w:rsidRPr="00DD7555">
              <w:rPr>
                <w:color w:val="000000"/>
              </w:rPr>
              <w:t>Гиперхолестеринемия</w:t>
            </w:r>
            <w:r w:rsidRPr="00EB1B5E">
              <w:rPr>
                <w:color w:val="000000"/>
                <w:vertAlign w:val="superscript"/>
                <w:lang w:val="en-US"/>
              </w:rPr>
              <w:t>b</w:t>
            </w:r>
            <w:r w:rsidRPr="00EB1B5E">
              <w:rPr>
                <w:color w:val="000000"/>
                <w:vertAlign w:val="superscript"/>
              </w:rPr>
              <w:t xml:space="preserve"> </w:t>
            </w:r>
            <w:r w:rsidRPr="00DD7555">
              <w:rPr>
                <w:color w:val="000000"/>
              </w:rPr>
              <w:t>Гипокалиемия</w:t>
            </w:r>
          </w:p>
          <w:p w14:paraId="6D5506B6" w14:textId="77777777" w:rsidR="00E52C95" w:rsidRPr="00DD7555" w:rsidRDefault="00E52C95" w:rsidP="005E0101">
            <w:pPr>
              <w:pStyle w:val="ab"/>
              <w:spacing w:before="0" w:beforeAutospacing="0" w:after="0" w:afterAutospacing="0"/>
              <w:rPr>
                <w:color w:val="000000"/>
              </w:rPr>
            </w:pPr>
            <w:r w:rsidRPr="00DD7555">
              <w:rPr>
                <w:color w:val="000000"/>
              </w:rPr>
              <w:t>Снижение массы тела</w:t>
            </w:r>
          </w:p>
          <w:p w14:paraId="71EF6961" w14:textId="77777777" w:rsidR="00E52C95" w:rsidRPr="000D1198" w:rsidRDefault="00E52C95" w:rsidP="005E0101">
            <w:pPr>
              <w:pStyle w:val="ab"/>
              <w:spacing w:before="0" w:beforeAutospacing="0" w:after="0" w:afterAutospacing="0"/>
              <w:jc w:val="both"/>
              <w:rPr>
                <w:b/>
                <w:bCs/>
                <w:color w:val="000000"/>
              </w:rPr>
            </w:pPr>
            <w:r w:rsidRPr="00DD7555">
              <w:rPr>
                <w:color w:val="000000"/>
              </w:rPr>
              <w:t>Снижение аппетита</w:t>
            </w:r>
          </w:p>
        </w:tc>
        <w:tc>
          <w:tcPr>
            <w:tcW w:w="3578" w:type="dxa"/>
            <w:vAlign w:val="center"/>
          </w:tcPr>
          <w:p w14:paraId="08AA926C" w14:textId="77777777" w:rsidR="00E52C95" w:rsidRPr="00DD7555" w:rsidRDefault="00E52C95" w:rsidP="005E0101">
            <w:pPr>
              <w:pStyle w:val="ab"/>
              <w:spacing w:before="0" w:beforeAutospacing="0" w:after="0" w:afterAutospacing="0"/>
              <w:rPr>
                <w:color w:val="000000"/>
              </w:rPr>
            </w:pPr>
            <w:r w:rsidRPr="00DD7555">
              <w:rPr>
                <w:color w:val="000000"/>
              </w:rPr>
              <w:t>Гипо</w:t>
            </w:r>
            <w:r>
              <w:rPr>
                <w:color w:val="000000"/>
              </w:rPr>
              <w:t>магн</w:t>
            </w:r>
            <w:r w:rsidRPr="00DD7555">
              <w:rPr>
                <w:color w:val="000000"/>
              </w:rPr>
              <w:t>иемия</w:t>
            </w:r>
            <w:r w:rsidRPr="001F02F5">
              <w:rPr>
                <w:color w:val="000000"/>
                <w:vertAlign w:val="superscript"/>
                <w:lang w:val="en-US"/>
              </w:rPr>
              <w:t>b</w:t>
            </w:r>
          </w:p>
          <w:p w14:paraId="12BFE72B" w14:textId="77777777" w:rsidR="00E52C95" w:rsidRPr="00DD7555" w:rsidRDefault="00E52C95" w:rsidP="005E0101">
            <w:pPr>
              <w:pStyle w:val="ab"/>
              <w:spacing w:before="0" w:beforeAutospacing="0" w:after="0" w:afterAutospacing="0"/>
              <w:rPr>
                <w:color w:val="000000"/>
              </w:rPr>
            </w:pPr>
            <w:r w:rsidRPr="00DD7555">
              <w:rPr>
                <w:color w:val="000000"/>
              </w:rPr>
              <w:t>Гиперхолестеринемия</w:t>
            </w:r>
            <w:r w:rsidRPr="001F02F5">
              <w:rPr>
                <w:color w:val="000000"/>
                <w:vertAlign w:val="superscript"/>
                <w:lang w:val="en-US"/>
              </w:rPr>
              <w:t>b</w:t>
            </w:r>
            <w:r w:rsidRPr="00DD7555">
              <w:rPr>
                <w:color w:val="000000"/>
              </w:rPr>
              <w:t xml:space="preserve"> Гипокалиемия</w:t>
            </w:r>
          </w:p>
          <w:p w14:paraId="67141D5B" w14:textId="77777777" w:rsidR="00E52C95" w:rsidRPr="00DD7555" w:rsidRDefault="00E52C95" w:rsidP="005E0101">
            <w:pPr>
              <w:pStyle w:val="ab"/>
              <w:spacing w:before="0" w:beforeAutospacing="0" w:after="0" w:afterAutospacing="0"/>
              <w:rPr>
                <w:color w:val="000000"/>
              </w:rPr>
            </w:pPr>
            <w:r w:rsidRPr="00DD7555">
              <w:rPr>
                <w:color w:val="000000"/>
              </w:rPr>
              <w:t>Снижение массы тела</w:t>
            </w:r>
          </w:p>
          <w:p w14:paraId="09B729DE" w14:textId="77777777" w:rsidR="00E52C95" w:rsidRPr="000D1198" w:rsidRDefault="00E52C95" w:rsidP="005E0101">
            <w:pPr>
              <w:pStyle w:val="ab"/>
              <w:spacing w:before="0" w:beforeAutospacing="0" w:after="0" w:afterAutospacing="0"/>
              <w:rPr>
                <w:b/>
                <w:bCs/>
                <w:color w:val="000000"/>
              </w:rPr>
            </w:pPr>
            <w:r w:rsidRPr="00DD7555">
              <w:rPr>
                <w:color w:val="000000"/>
              </w:rPr>
              <w:t>Снижение аппетита</w:t>
            </w:r>
          </w:p>
        </w:tc>
      </w:tr>
      <w:tr w:rsidR="00E52C95" w14:paraId="2729DE70" w14:textId="77777777" w:rsidTr="009964DD">
        <w:tc>
          <w:tcPr>
            <w:tcW w:w="2199" w:type="dxa"/>
            <w:vAlign w:val="center"/>
          </w:tcPr>
          <w:p w14:paraId="3E8387FA"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57046A6B" w14:textId="77777777" w:rsidR="00E52C95" w:rsidRPr="00382EC6" w:rsidRDefault="00E52C95" w:rsidP="005E0101">
            <w:pPr>
              <w:pStyle w:val="ab"/>
              <w:spacing w:before="0" w:beforeAutospacing="0" w:after="0" w:afterAutospacing="0"/>
              <w:rPr>
                <w:color w:val="000000"/>
              </w:rPr>
            </w:pPr>
            <w:r w:rsidRPr="00382EC6">
              <w:rPr>
                <w:color w:val="000000"/>
              </w:rPr>
              <w:t>Обезвоживание</w:t>
            </w:r>
          </w:p>
          <w:p w14:paraId="5F737A96" w14:textId="77777777" w:rsidR="00E52C95" w:rsidRPr="00061F02" w:rsidRDefault="00E52C95" w:rsidP="005E0101">
            <w:pPr>
              <w:pStyle w:val="ab"/>
              <w:spacing w:before="0" w:beforeAutospacing="0" w:after="0" w:afterAutospacing="0"/>
              <w:jc w:val="both"/>
              <w:rPr>
                <w:b/>
                <w:bCs/>
                <w:color w:val="000000"/>
              </w:rPr>
            </w:pPr>
            <w:r w:rsidRPr="00382EC6">
              <w:rPr>
                <w:color w:val="000000"/>
              </w:rPr>
              <w:t>Гипомагниемия</w:t>
            </w:r>
            <w:r w:rsidRPr="00EB1B5E">
              <w:rPr>
                <w:color w:val="000000"/>
                <w:vertAlign w:val="superscript"/>
                <w:lang w:val="en-US"/>
              </w:rPr>
              <w:t>b</w:t>
            </w:r>
          </w:p>
        </w:tc>
        <w:tc>
          <w:tcPr>
            <w:tcW w:w="3578" w:type="dxa"/>
            <w:vAlign w:val="center"/>
          </w:tcPr>
          <w:p w14:paraId="6C32C606" w14:textId="77777777" w:rsidR="00E52C95" w:rsidRPr="00382EC6" w:rsidRDefault="00E52C95" w:rsidP="005E0101">
            <w:pPr>
              <w:pStyle w:val="ab"/>
              <w:spacing w:before="0" w:beforeAutospacing="0" w:after="0" w:afterAutospacing="0"/>
              <w:rPr>
                <w:color w:val="000000"/>
              </w:rPr>
            </w:pPr>
            <w:r w:rsidRPr="00382EC6">
              <w:rPr>
                <w:color w:val="000000"/>
              </w:rPr>
              <w:t>Обезвоживание</w:t>
            </w:r>
          </w:p>
          <w:p w14:paraId="72E3C5D8" w14:textId="77777777" w:rsidR="00E52C95" w:rsidRPr="000D1198" w:rsidRDefault="00E52C95" w:rsidP="005E0101">
            <w:pPr>
              <w:pStyle w:val="ab"/>
              <w:spacing w:before="0" w:beforeAutospacing="0" w:after="0" w:afterAutospacing="0"/>
              <w:rPr>
                <w:b/>
                <w:bCs/>
                <w:color w:val="000000"/>
              </w:rPr>
            </w:pPr>
            <w:r w:rsidRPr="00382EC6">
              <w:rPr>
                <w:color w:val="000000"/>
              </w:rPr>
              <w:t>Гипо</w:t>
            </w:r>
            <w:r>
              <w:rPr>
                <w:color w:val="000000"/>
              </w:rPr>
              <w:t>кальц</w:t>
            </w:r>
            <w:r w:rsidRPr="00382EC6">
              <w:rPr>
                <w:color w:val="000000"/>
              </w:rPr>
              <w:t>иемия</w:t>
            </w:r>
          </w:p>
        </w:tc>
      </w:tr>
      <w:tr w:rsidR="00E52C95" w14:paraId="25C773F1" w14:textId="77777777" w:rsidTr="009964DD">
        <w:tc>
          <w:tcPr>
            <w:tcW w:w="9346" w:type="dxa"/>
            <w:gridSpan w:val="3"/>
            <w:vAlign w:val="center"/>
          </w:tcPr>
          <w:p w14:paraId="0C4748FB" w14:textId="77777777" w:rsidR="00E52C95" w:rsidRPr="000D1198" w:rsidRDefault="00E52C95" w:rsidP="005E0101">
            <w:pPr>
              <w:pStyle w:val="ab"/>
              <w:rPr>
                <w:b/>
                <w:bCs/>
                <w:color w:val="000000"/>
              </w:rPr>
            </w:pPr>
            <w:r>
              <w:rPr>
                <w:b/>
                <w:bCs/>
              </w:rPr>
              <w:t>Психические нарушения</w:t>
            </w:r>
          </w:p>
        </w:tc>
      </w:tr>
      <w:tr w:rsidR="00E52C95" w14:paraId="59CA8F3D" w14:textId="77777777" w:rsidTr="009964DD">
        <w:tc>
          <w:tcPr>
            <w:tcW w:w="2199" w:type="dxa"/>
            <w:vAlign w:val="center"/>
          </w:tcPr>
          <w:p w14:paraId="6FB7A536" w14:textId="77777777" w:rsidR="00E52C95" w:rsidRPr="000D1198" w:rsidRDefault="00E52C95" w:rsidP="005E0101">
            <w:pPr>
              <w:pStyle w:val="ab"/>
              <w:spacing w:before="0" w:beforeAutospacing="0" w:after="0" w:afterAutospacing="0"/>
              <w:jc w:val="both"/>
              <w:rPr>
                <w:b/>
                <w:bCs/>
              </w:rPr>
            </w:pPr>
            <w:r w:rsidRPr="002D2DC7">
              <w:t>Очень часто</w:t>
            </w:r>
          </w:p>
        </w:tc>
        <w:tc>
          <w:tcPr>
            <w:tcW w:w="3569" w:type="dxa"/>
            <w:vAlign w:val="center"/>
          </w:tcPr>
          <w:p w14:paraId="7349FF73" w14:textId="77777777" w:rsidR="00E52C95" w:rsidRPr="000D1198" w:rsidRDefault="00E52C95" w:rsidP="005E0101">
            <w:pPr>
              <w:pStyle w:val="ab"/>
              <w:spacing w:before="0" w:beforeAutospacing="0" w:after="0" w:afterAutospacing="0"/>
              <w:jc w:val="both"/>
              <w:rPr>
                <w:b/>
                <w:bCs/>
                <w:color w:val="000000"/>
              </w:rPr>
            </w:pPr>
            <w:r w:rsidRPr="007016A4">
              <w:rPr>
                <w:spacing w:val="-2"/>
              </w:rPr>
              <w:t>Бессонница</w:t>
            </w:r>
          </w:p>
        </w:tc>
        <w:tc>
          <w:tcPr>
            <w:tcW w:w="3578" w:type="dxa"/>
            <w:vAlign w:val="center"/>
          </w:tcPr>
          <w:p w14:paraId="78D9E246" w14:textId="77777777" w:rsidR="00E52C95" w:rsidRPr="000D1198" w:rsidRDefault="00E52C95" w:rsidP="005E0101">
            <w:pPr>
              <w:pStyle w:val="ab"/>
              <w:rPr>
                <w:b/>
                <w:bCs/>
                <w:color w:val="000000"/>
              </w:rPr>
            </w:pPr>
            <w:r w:rsidRPr="007016A4">
              <w:rPr>
                <w:spacing w:val="-2"/>
              </w:rPr>
              <w:t>Бессонница</w:t>
            </w:r>
          </w:p>
        </w:tc>
      </w:tr>
      <w:tr w:rsidR="00E52C95" w14:paraId="74EAC12F" w14:textId="77777777" w:rsidTr="009964DD">
        <w:tc>
          <w:tcPr>
            <w:tcW w:w="9346" w:type="dxa"/>
            <w:gridSpan w:val="3"/>
            <w:vAlign w:val="center"/>
          </w:tcPr>
          <w:p w14:paraId="4AE60215" w14:textId="77777777" w:rsidR="00E52C95" w:rsidRPr="000D1198" w:rsidRDefault="00E52C95" w:rsidP="005E0101">
            <w:pPr>
              <w:pStyle w:val="ab"/>
              <w:rPr>
                <w:b/>
                <w:bCs/>
                <w:color w:val="000000"/>
              </w:rPr>
            </w:pPr>
            <w:r>
              <w:rPr>
                <w:b/>
                <w:bCs/>
              </w:rPr>
              <w:t>Нарушения со стороны нервной системы</w:t>
            </w:r>
          </w:p>
        </w:tc>
      </w:tr>
      <w:tr w:rsidR="00E52C95" w14:paraId="15BA2122" w14:textId="77777777" w:rsidTr="009964DD">
        <w:tc>
          <w:tcPr>
            <w:tcW w:w="2199" w:type="dxa"/>
            <w:vAlign w:val="center"/>
          </w:tcPr>
          <w:p w14:paraId="6D0214F1" w14:textId="77777777" w:rsidR="00E52C95" w:rsidRPr="000D1198" w:rsidRDefault="00E52C95" w:rsidP="005E0101">
            <w:pPr>
              <w:pStyle w:val="ab"/>
              <w:spacing w:before="0" w:beforeAutospacing="0" w:after="0" w:afterAutospacing="0"/>
              <w:jc w:val="both"/>
              <w:rPr>
                <w:b/>
                <w:bCs/>
              </w:rPr>
            </w:pPr>
            <w:r w:rsidRPr="002D2DC7">
              <w:t>Очень часто</w:t>
            </w:r>
          </w:p>
        </w:tc>
        <w:tc>
          <w:tcPr>
            <w:tcW w:w="3569" w:type="dxa"/>
            <w:vAlign w:val="center"/>
          </w:tcPr>
          <w:p w14:paraId="03EA5EE9" w14:textId="77777777" w:rsidR="00E52C95" w:rsidRPr="00382EC6" w:rsidRDefault="00E52C95" w:rsidP="005E0101">
            <w:pPr>
              <w:pStyle w:val="ab"/>
              <w:spacing w:before="0" w:beforeAutospacing="0" w:after="0" w:afterAutospacing="0"/>
              <w:rPr>
                <w:color w:val="000000"/>
              </w:rPr>
            </w:pPr>
            <w:r w:rsidRPr="00382EC6">
              <w:rPr>
                <w:color w:val="000000"/>
              </w:rPr>
              <w:t>Головокружение</w:t>
            </w:r>
          </w:p>
          <w:p w14:paraId="5147BFC6" w14:textId="77777777" w:rsidR="00E52C95" w:rsidRDefault="00E52C95" w:rsidP="005E0101">
            <w:pPr>
              <w:pStyle w:val="ab"/>
              <w:spacing w:before="0" w:beforeAutospacing="0" w:after="0" w:afterAutospacing="0"/>
              <w:jc w:val="both"/>
              <w:rPr>
                <w:color w:val="000000"/>
              </w:rPr>
            </w:pPr>
            <w:r w:rsidRPr="00382EC6">
              <w:rPr>
                <w:color w:val="000000"/>
              </w:rPr>
              <w:t xml:space="preserve">Головная боль </w:t>
            </w:r>
          </w:p>
          <w:p w14:paraId="4894F26F" w14:textId="77777777" w:rsidR="00E52C95" w:rsidRPr="00382EC6" w:rsidRDefault="00E52C95" w:rsidP="005E0101">
            <w:pPr>
              <w:pStyle w:val="ab"/>
              <w:spacing w:before="0" w:beforeAutospacing="0" w:after="0" w:afterAutospacing="0"/>
              <w:jc w:val="both"/>
              <w:rPr>
                <w:color w:val="000000"/>
              </w:rPr>
            </w:pPr>
            <w:r w:rsidRPr="00382EC6">
              <w:rPr>
                <w:color w:val="000000"/>
              </w:rPr>
              <w:t>Дисгевзия</w:t>
            </w:r>
          </w:p>
        </w:tc>
        <w:tc>
          <w:tcPr>
            <w:tcW w:w="3578" w:type="dxa"/>
            <w:vAlign w:val="center"/>
          </w:tcPr>
          <w:p w14:paraId="15256E8F" w14:textId="77777777" w:rsidR="00E52C95" w:rsidRPr="00382EC6" w:rsidRDefault="00E52C95" w:rsidP="005E0101">
            <w:pPr>
              <w:pStyle w:val="ab"/>
              <w:spacing w:before="0" w:beforeAutospacing="0" w:after="0" w:afterAutospacing="0"/>
              <w:rPr>
                <w:color w:val="000000"/>
              </w:rPr>
            </w:pPr>
            <w:r w:rsidRPr="00382EC6">
              <w:rPr>
                <w:color w:val="000000"/>
              </w:rPr>
              <w:t>Головокружение</w:t>
            </w:r>
          </w:p>
          <w:p w14:paraId="580F1C72" w14:textId="77777777" w:rsidR="00E52C95" w:rsidRPr="00382EC6" w:rsidRDefault="00E52C95" w:rsidP="005E0101">
            <w:pPr>
              <w:pStyle w:val="ab"/>
              <w:spacing w:before="0" w:beforeAutospacing="0" w:after="0" w:afterAutospacing="0"/>
              <w:rPr>
                <w:color w:val="000000"/>
              </w:rPr>
            </w:pPr>
            <w:r w:rsidRPr="00382EC6">
              <w:rPr>
                <w:color w:val="000000"/>
              </w:rPr>
              <w:t xml:space="preserve">Головная боль </w:t>
            </w:r>
          </w:p>
          <w:p w14:paraId="56C3199B" w14:textId="77777777" w:rsidR="00E52C95" w:rsidRPr="00382EC6" w:rsidRDefault="00E52C95" w:rsidP="005E0101">
            <w:pPr>
              <w:pStyle w:val="ab"/>
              <w:spacing w:before="0" w:beforeAutospacing="0" w:after="0" w:afterAutospacing="0"/>
              <w:rPr>
                <w:color w:val="000000"/>
              </w:rPr>
            </w:pPr>
            <w:r w:rsidRPr="00382EC6">
              <w:rPr>
                <w:color w:val="000000"/>
              </w:rPr>
              <w:t>Дисгевзия</w:t>
            </w:r>
          </w:p>
        </w:tc>
      </w:tr>
      <w:tr w:rsidR="00E52C95" w14:paraId="46642C3D" w14:textId="77777777" w:rsidTr="009964DD">
        <w:tc>
          <w:tcPr>
            <w:tcW w:w="2199" w:type="dxa"/>
            <w:vAlign w:val="center"/>
          </w:tcPr>
          <w:p w14:paraId="2095D651"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2F4BA769" w14:textId="77777777" w:rsidR="00E52C95" w:rsidRPr="00382EC6" w:rsidRDefault="00E52C95" w:rsidP="005E0101">
            <w:pPr>
              <w:pStyle w:val="ab"/>
              <w:rPr>
                <w:color w:val="000000"/>
              </w:rPr>
            </w:pPr>
            <w:r w:rsidRPr="00382EC6">
              <w:rPr>
                <w:color w:val="000000"/>
              </w:rPr>
              <w:t>Острое нарушение мозгового кровообращения</w:t>
            </w:r>
            <w:r>
              <w:rPr>
                <w:color w:val="000000"/>
              </w:rPr>
              <w:t>†</w:t>
            </w:r>
          </w:p>
        </w:tc>
        <w:tc>
          <w:tcPr>
            <w:tcW w:w="3578" w:type="dxa"/>
            <w:vAlign w:val="center"/>
          </w:tcPr>
          <w:p w14:paraId="046233A6" w14:textId="77777777" w:rsidR="00E52C95" w:rsidRPr="000D1198" w:rsidRDefault="00E52C95" w:rsidP="005E0101">
            <w:pPr>
              <w:pStyle w:val="ab"/>
              <w:rPr>
                <w:b/>
                <w:bCs/>
                <w:color w:val="000000"/>
              </w:rPr>
            </w:pPr>
          </w:p>
        </w:tc>
      </w:tr>
      <w:tr w:rsidR="00E52C95" w14:paraId="411816E2" w14:textId="77777777" w:rsidTr="009964DD">
        <w:tc>
          <w:tcPr>
            <w:tcW w:w="2199" w:type="dxa"/>
            <w:vAlign w:val="center"/>
          </w:tcPr>
          <w:p w14:paraId="0C01FE33" w14:textId="77777777" w:rsidR="00E52C95" w:rsidRPr="002D2DC7" w:rsidRDefault="00E52C95" w:rsidP="005E0101">
            <w:pPr>
              <w:pStyle w:val="ab"/>
              <w:spacing w:before="0" w:beforeAutospacing="0" w:after="0" w:afterAutospacing="0"/>
              <w:jc w:val="both"/>
            </w:pPr>
            <w:r>
              <w:t xml:space="preserve">Нечасто </w:t>
            </w:r>
          </w:p>
        </w:tc>
        <w:tc>
          <w:tcPr>
            <w:tcW w:w="3569" w:type="dxa"/>
            <w:vAlign w:val="center"/>
          </w:tcPr>
          <w:p w14:paraId="43819C6E" w14:textId="77777777" w:rsidR="00E52C95" w:rsidRDefault="00E52C95" w:rsidP="005E0101">
            <w:pPr>
              <w:pStyle w:val="ab"/>
              <w:spacing w:before="0" w:beforeAutospacing="0" w:after="0" w:afterAutospacing="0"/>
              <w:rPr>
                <w:color w:val="000000"/>
              </w:rPr>
            </w:pPr>
            <w:r>
              <w:rPr>
                <w:color w:val="000000"/>
              </w:rPr>
              <w:t>Синдром обратимой задней энцефалопатии</w:t>
            </w:r>
          </w:p>
          <w:p w14:paraId="5E5B00C0" w14:textId="77777777" w:rsidR="00E52C95" w:rsidRDefault="00E52C95" w:rsidP="005E0101">
            <w:pPr>
              <w:pStyle w:val="ab"/>
              <w:spacing w:before="0" w:beforeAutospacing="0" w:after="0" w:afterAutospacing="0"/>
              <w:rPr>
                <w:color w:val="000000"/>
              </w:rPr>
            </w:pPr>
            <w:r>
              <w:rPr>
                <w:color w:val="000000"/>
              </w:rPr>
              <w:t>Монопарез</w:t>
            </w:r>
          </w:p>
          <w:p w14:paraId="6438A8F4" w14:textId="77777777" w:rsidR="00E52C95" w:rsidRPr="00382EC6" w:rsidRDefault="00E52C95" w:rsidP="005E0101">
            <w:pPr>
              <w:pStyle w:val="ab"/>
              <w:spacing w:before="0" w:beforeAutospacing="0" w:after="0" w:afterAutospacing="0"/>
              <w:rPr>
                <w:color w:val="000000"/>
              </w:rPr>
            </w:pPr>
            <w:r>
              <w:rPr>
                <w:color w:val="000000"/>
              </w:rPr>
              <w:t>Транзиторная ишемическая атака</w:t>
            </w:r>
          </w:p>
        </w:tc>
        <w:tc>
          <w:tcPr>
            <w:tcW w:w="3578" w:type="dxa"/>
            <w:vAlign w:val="center"/>
          </w:tcPr>
          <w:p w14:paraId="6CB6855C" w14:textId="77777777" w:rsidR="00E52C95" w:rsidRDefault="00E52C95" w:rsidP="005E0101">
            <w:pPr>
              <w:pStyle w:val="ab"/>
              <w:spacing w:before="0" w:beforeAutospacing="0" w:after="0" w:afterAutospacing="0"/>
              <w:rPr>
                <w:color w:val="000000"/>
              </w:rPr>
            </w:pPr>
            <w:r>
              <w:rPr>
                <w:color w:val="000000"/>
              </w:rPr>
              <w:t>Синдром обратимой задней энцефалопатии</w:t>
            </w:r>
          </w:p>
          <w:p w14:paraId="312709C4" w14:textId="77777777" w:rsidR="00E52C95" w:rsidRDefault="00E52C95" w:rsidP="005E0101">
            <w:pPr>
              <w:pStyle w:val="ab"/>
              <w:spacing w:before="0" w:beforeAutospacing="0" w:after="0" w:afterAutospacing="0"/>
              <w:rPr>
                <w:color w:val="000000"/>
              </w:rPr>
            </w:pPr>
            <w:r w:rsidRPr="00382EC6">
              <w:rPr>
                <w:color w:val="000000"/>
              </w:rPr>
              <w:t>Острое нарушение мозгового кровообращения</w:t>
            </w:r>
            <w:r>
              <w:rPr>
                <w:color w:val="000000"/>
              </w:rPr>
              <w:t>†</w:t>
            </w:r>
          </w:p>
          <w:p w14:paraId="41AE7B0C" w14:textId="77777777" w:rsidR="00E52C95" w:rsidRDefault="00E52C95" w:rsidP="005E0101">
            <w:pPr>
              <w:pStyle w:val="ab"/>
              <w:spacing w:before="0" w:beforeAutospacing="0" w:after="0" w:afterAutospacing="0"/>
              <w:rPr>
                <w:color w:val="000000"/>
              </w:rPr>
            </w:pPr>
            <w:r>
              <w:rPr>
                <w:color w:val="000000"/>
              </w:rPr>
              <w:t>Монопарез</w:t>
            </w:r>
          </w:p>
          <w:p w14:paraId="5DB342D7" w14:textId="77777777" w:rsidR="00E52C95" w:rsidRPr="000D1198" w:rsidRDefault="00E52C95" w:rsidP="005E0101">
            <w:pPr>
              <w:pStyle w:val="ab"/>
              <w:spacing w:before="0" w:beforeAutospacing="0" w:after="0" w:afterAutospacing="0"/>
              <w:rPr>
                <w:b/>
                <w:bCs/>
                <w:color w:val="000000"/>
              </w:rPr>
            </w:pPr>
            <w:r>
              <w:rPr>
                <w:color w:val="000000"/>
              </w:rPr>
              <w:t>Транзиторная ишемическая атака</w:t>
            </w:r>
          </w:p>
        </w:tc>
      </w:tr>
      <w:tr w:rsidR="00E52C95" w14:paraId="3A3DFBEB" w14:textId="77777777" w:rsidTr="009964DD">
        <w:tc>
          <w:tcPr>
            <w:tcW w:w="9346" w:type="dxa"/>
            <w:gridSpan w:val="3"/>
            <w:vAlign w:val="center"/>
          </w:tcPr>
          <w:p w14:paraId="5432C1B4" w14:textId="77777777" w:rsidR="00E52C95" w:rsidRPr="000D1198" w:rsidRDefault="00E52C95" w:rsidP="005E0101">
            <w:pPr>
              <w:pStyle w:val="ab"/>
              <w:rPr>
                <w:b/>
                <w:bCs/>
                <w:color w:val="000000"/>
              </w:rPr>
            </w:pPr>
            <w:r>
              <w:rPr>
                <w:b/>
                <w:bCs/>
              </w:rPr>
              <w:t>Нарушения со стороны сердца</w:t>
            </w:r>
          </w:p>
        </w:tc>
      </w:tr>
      <w:tr w:rsidR="00E52C95" w14:paraId="1C35ECE6" w14:textId="77777777" w:rsidTr="009964DD">
        <w:tc>
          <w:tcPr>
            <w:tcW w:w="2199" w:type="dxa"/>
            <w:vAlign w:val="center"/>
          </w:tcPr>
          <w:p w14:paraId="76F644ED"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60BF4124" w14:textId="77777777" w:rsidR="00E52C95" w:rsidRPr="00784680" w:rsidRDefault="00E52C95" w:rsidP="005E0101">
            <w:pPr>
              <w:pStyle w:val="ab"/>
              <w:spacing w:before="0" w:beforeAutospacing="0" w:after="0" w:afterAutospacing="0"/>
              <w:rPr>
                <w:color w:val="000000"/>
              </w:rPr>
            </w:pPr>
            <w:r w:rsidRPr="00784680">
              <w:rPr>
                <w:color w:val="000000"/>
              </w:rPr>
              <w:t>Инфаркт миокарда</w:t>
            </w:r>
            <w:r w:rsidRPr="00EB1B5E">
              <w:rPr>
                <w:color w:val="000000"/>
                <w:vertAlign w:val="superscript"/>
              </w:rPr>
              <w:t>с</w:t>
            </w:r>
            <w:r>
              <w:rPr>
                <w:color w:val="000000"/>
              </w:rPr>
              <w:t>†</w:t>
            </w:r>
          </w:p>
          <w:p w14:paraId="2432E476" w14:textId="77777777" w:rsidR="00E52C95" w:rsidRPr="00784680" w:rsidRDefault="00E52C95" w:rsidP="005E0101">
            <w:pPr>
              <w:pStyle w:val="ab"/>
              <w:spacing w:before="0" w:beforeAutospacing="0" w:after="0" w:afterAutospacing="0"/>
              <w:rPr>
                <w:color w:val="000000"/>
              </w:rPr>
            </w:pPr>
            <w:r w:rsidRPr="00784680">
              <w:rPr>
                <w:color w:val="000000"/>
              </w:rPr>
              <w:t>Сердечная недостаточность Удлинение интервала QT на ЭКГ</w:t>
            </w:r>
          </w:p>
          <w:p w14:paraId="4F73494D" w14:textId="77777777" w:rsidR="00E52C95" w:rsidRPr="000D1198" w:rsidRDefault="00E52C95" w:rsidP="005E0101">
            <w:pPr>
              <w:pStyle w:val="ab"/>
              <w:spacing w:before="0" w:beforeAutospacing="0" w:after="0" w:afterAutospacing="0"/>
              <w:rPr>
                <w:b/>
                <w:bCs/>
                <w:color w:val="000000"/>
              </w:rPr>
            </w:pPr>
            <w:r w:rsidRPr="00784680">
              <w:rPr>
                <w:color w:val="000000"/>
              </w:rPr>
              <w:t>Снижение франции выброса</w:t>
            </w:r>
          </w:p>
        </w:tc>
        <w:tc>
          <w:tcPr>
            <w:tcW w:w="3578" w:type="dxa"/>
            <w:vAlign w:val="center"/>
          </w:tcPr>
          <w:p w14:paraId="14CFDEED" w14:textId="77777777" w:rsidR="00E52C95" w:rsidRPr="00784680" w:rsidRDefault="00E52C95" w:rsidP="005E0101">
            <w:pPr>
              <w:pStyle w:val="ab"/>
              <w:spacing w:before="0" w:beforeAutospacing="0" w:after="0" w:afterAutospacing="0"/>
              <w:rPr>
                <w:color w:val="000000"/>
              </w:rPr>
            </w:pPr>
            <w:r w:rsidRPr="00784680">
              <w:rPr>
                <w:color w:val="000000"/>
              </w:rPr>
              <w:t>Инфаркт миокард</w:t>
            </w:r>
            <w:r>
              <w:rPr>
                <w:color w:val="000000"/>
              </w:rPr>
              <w:t>а</w:t>
            </w:r>
            <w:r w:rsidRPr="001F02F5">
              <w:rPr>
                <w:color w:val="000000"/>
                <w:vertAlign w:val="superscript"/>
              </w:rPr>
              <w:t>с</w:t>
            </w:r>
            <w:r>
              <w:rPr>
                <w:color w:val="000000"/>
              </w:rPr>
              <w:t>†</w:t>
            </w:r>
          </w:p>
          <w:p w14:paraId="05A7D64F" w14:textId="77777777" w:rsidR="00E52C95" w:rsidRPr="00784680" w:rsidRDefault="00E52C95" w:rsidP="005E0101">
            <w:pPr>
              <w:pStyle w:val="ab"/>
              <w:spacing w:before="0" w:beforeAutospacing="0" w:after="0" w:afterAutospacing="0"/>
              <w:rPr>
                <w:color w:val="000000"/>
              </w:rPr>
            </w:pPr>
            <w:r w:rsidRPr="00784680">
              <w:rPr>
                <w:color w:val="000000"/>
              </w:rPr>
              <w:t>Удлинение интервала QT на ЭКГ</w:t>
            </w:r>
          </w:p>
          <w:p w14:paraId="12D54E9F" w14:textId="77777777" w:rsidR="00E52C95" w:rsidRPr="000D1198" w:rsidRDefault="00E52C95" w:rsidP="005E0101">
            <w:pPr>
              <w:pStyle w:val="ab"/>
              <w:rPr>
                <w:b/>
                <w:bCs/>
                <w:color w:val="000000"/>
              </w:rPr>
            </w:pPr>
          </w:p>
        </w:tc>
      </w:tr>
      <w:tr w:rsidR="00E52C95" w14:paraId="01A531ED" w14:textId="77777777" w:rsidTr="009964DD">
        <w:tc>
          <w:tcPr>
            <w:tcW w:w="2199" w:type="dxa"/>
            <w:vAlign w:val="center"/>
          </w:tcPr>
          <w:p w14:paraId="5BCE03CD" w14:textId="77777777" w:rsidR="00E52C95" w:rsidRPr="00132AAB" w:rsidRDefault="00E52C95" w:rsidP="005E0101">
            <w:pPr>
              <w:pStyle w:val="ab"/>
              <w:spacing w:before="0" w:beforeAutospacing="0" w:after="0" w:afterAutospacing="0"/>
              <w:jc w:val="both"/>
            </w:pPr>
            <w:r w:rsidRPr="00132AAB">
              <w:t>Нечасто</w:t>
            </w:r>
          </w:p>
        </w:tc>
        <w:tc>
          <w:tcPr>
            <w:tcW w:w="3569" w:type="dxa"/>
            <w:vAlign w:val="center"/>
          </w:tcPr>
          <w:p w14:paraId="0974BDEC" w14:textId="77777777" w:rsidR="00E52C95" w:rsidRPr="000D1198" w:rsidRDefault="00E52C95" w:rsidP="005E0101">
            <w:pPr>
              <w:pStyle w:val="ab"/>
              <w:spacing w:before="0" w:beforeAutospacing="0" w:after="0" w:afterAutospacing="0"/>
              <w:jc w:val="both"/>
              <w:rPr>
                <w:b/>
                <w:bCs/>
                <w:color w:val="000000"/>
              </w:rPr>
            </w:pPr>
          </w:p>
        </w:tc>
        <w:tc>
          <w:tcPr>
            <w:tcW w:w="3578" w:type="dxa"/>
            <w:vAlign w:val="center"/>
          </w:tcPr>
          <w:p w14:paraId="5EA6B02B" w14:textId="77777777" w:rsidR="00E52C95" w:rsidRPr="00132AAB" w:rsidRDefault="00E52C95" w:rsidP="005E0101">
            <w:pPr>
              <w:pStyle w:val="ab"/>
              <w:spacing w:before="0" w:beforeAutospacing="0" w:after="0" w:afterAutospacing="0"/>
              <w:rPr>
                <w:color w:val="000000"/>
              </w:rPr>
            </w:pPr>
            <w:r w:rsidRPr="00132AAB">
              <w:rPr>
                <w:color w:val="000000"/>
              </w:rPr>
              <w:t>Сердечная недостаточность</w:t>
            </w:r>
          </w:p>
          <w:p w14:paraId="3BC14C9F" w14:textId="77777777" w:rsidR="00E52C95" w:rsidRPr="000D1198" w:rsidRDefault="00E52C95" w:rsidP="005E0101">
            <w:pPr>
              <w:pStyle w:val="ab"/>
              <w:spacing w:before="0" w:beforeAutospacing="0" w:after="0" w:afterAutospacing="0"/>
              <w:rPr>
                <w:b/>
                <w:bCs/>
                <w:color w:val="000000"/>
              </w:rPr>
            </w:pPr>
            <w:r w:rsidRPr="00132AAB">
              <w:rPr>
                <w:color w:val="000000"/>
              </w:rPr>
              <w:t>Снижение фракции выброса</w:t>
            </w:r>
          </w:p>
        </w:tc>
      </w:tr>
      <w:tr w:rsidR="00E52C95" w14:paraId="74ED5356" w14:textId="77777777" w:rsidTr="009964DD">
        <w:tc>
          <w:tcPr>
            <w:tcW w:w="9346" w:type="dxa"/>
            <w:gridSpan w:val="3"/>
            <w:vAlign w:val="center"/>
          </w:tcPr>
          <w:p w14:paraId="3979137C" w14:textId="77777777" w:rsidR="00E52C95" w:rsidRPr="000D1198" w:rsidRDefault="00E52C95" w:rsidP="005E0101">
            <w:pPr>
              <w:pStyle w:val="ab"/>
              <w:rPr>
                <w:b/>
                <w:bCs/>
                <w:color w:val="000000"/>
              </w:rPr>
            </w:pPr>
            <w:r>
              <w:rPr>
                <w:b/>
                <w:bCs/>
              </w:rPr>
              <w:t>Нарушение со стороны сосудов</w:t>
            </w:r>
          </w:p>
        </w:tc>
      </w:tr>
      <w:tr w:rsidR="00E52C95" w14:paraId="2F1934A7" w14:textId="77777777" w:rsidTr="009964DD">
        <w:tc>
          <w:tcPr>
            <w:tcW w:w="2199" w:type="dxa"/>
            <w:vAlign w:val="center"/>
          </w:tcPr>
          <w:p w14:paraId="4FA306FF" w14:textId="77777777" w:rsidR="00E52C95" w:rsidRPr="000D1198" w:rsidRDefault="00E52C95" w:rsidP="005E0101">
            <w:pPr>
              <w:pStyle w:val="ab"/>
              <w:spacing w:before="0" w:beforeAutospacing="0" w:after="0" w:afterAutospacing="0"/>
              <w:jc w:val="both"/>
              <w:rPr>
                <w:b/>
                <w:bCs/>
              </w:rPr>
            </w:pPr>
            <w:r w:rsidRPr="002D2DC7">
              <w:t>Очень часто</w:t>
            </w:r>
          </w:p>
        </w:tc>
        <w:tc>
          <w:tcPr>
            <w:tcW w:w="3569" w:type="dxa"/>
            <w:vAlign w:val="center"/>
          </w:tcPr>
          <w:p w14:paraId="3C504F1C" w14:textId="77777777" w:rsidR="00E52C95" w:rsidRPr="00132AAB" w:rsidRDefault="00E52C95" w:rsidP="005E0101">
            <w:pPr>
              <w:pStyle w:val="ab"/>
              <w:spacing w:before="0" w:beforeAutospacing="0" w:after="0" w:afterAutospacing="0"/>
              <w:rPr>
                <w:color w:val="000000"/>
              </w:rPr>
            </w:pPr>
            <w:r w:rsidRPr="00132AAB">
              <w:rPr>
                <w:color w:val="000000"/>
              </w:rPr>
              <w:t>Кровотечение</w:t>
            </w:r>
            <w:r w:rsidRPr="001F02F5">
              <w:rPr>
                <w:color w:val="000000"/>
                <w:vertAlign w:val="superscript"/>
                <w:lang w:val="en-US"/>
              </w:rPr>
              <w:t>b</w:t>
            </w:r>
            <w:r>
              <w:rPr>
                <w:color w:val="000000"/>
                <w:vertAlign w:val="superscript"/>
              </w:rPr>
              <w:t>,</w:t>
            </w:r>
            <w:r>
              <w:rPr>
                <w:color w:val="000000"/>
              </w:rPr>
              <w:t>†</w:t>
            </w:r>
            <w:r w:rsidRPr="00132AAB">
              <w:rPr>
                <w:color w:val="000000"/>
              </w:rPr>
              <w:t xml:space="preserve"> </w:t>
            </w:r>
          </w:p>
          <w:p w14:paraId="6FF7C347" w14:textId="77777777" w:rsidR="00E52C95" w:rsidRPr="00132AAB" w:rsidRDefault="00E52C95" w:rsidP="005E0101">
            <w:pPr>
              <w:pStyle w:val="ab"/>
              <w:spacing w:before="0" w:beforeAutospacing="0" w:after="0" w:afterAutospacing="0"/>
              <w:rPr>
                <w:color w:val="000000"/>
              </w:rPr>
            </w:pPr>
            <w:r w:rsidRPr="00132AAB">
              <w:rPr>
                <w:color w:val="000000"/>
              </w:rPr>
              <w:t>Артериальная гипертензия</w:t>
            </w:r>
            <w:r w:rsidRPr="00EB1B5E">
              <w:rPr>
                <w:color w:val="000000"/>
                <w:vertAlign w:val="superscript"/>
                <w:lang w:val="en-US"/>
              </w:rPr>
              <w:t>e</w:t>
            </w:r>
            <w:r w:rsidRPr="00132AAB">
              <w:rPr>
                <w:color w:val="000000"/>
              </w:rPr>
              <w:t xml:space="preserve"> </w:t>
            </w:r>
          </w:p>
          <w:p w14:paraId="0F0B8065" w14:textId="77777777" w:rsidR="00E52C95" w:rsidRPr="00132AAB" w:rsidRDefault="00E52C95" w:rsidP="005E0101">
            <w:pPr>
              <w:pStyle w:val="ab"/>
              <w:spacing w:before="0" w:beforeAutospacing="0" w:after="0" w:afterAutospacing="0"/>
              <w:jc w:val="both"/>
              <w:rPr>
                <w:color w:val="000000"/>
              </w:rPr>
            </w:pPr>
            <w:r w:rsidRPr="00132AAB">
              <w:rPr>
                <w:color w:val="000000"/>
              </w:rPr>
              <w:t>Артериальная гипотензия</w:t>
            </w:r>
          </w:p>
        </w:tc>
        <w:tc>
          <w:tcPr>
            <w:tcW w:w="3578" w:type="dxa"/>
            <w:vAlign w:val="center"/>
          </w:tcPr>
          <w:p w14:paraId="47495112" w14:textId="77777777" w:rsidR="00E52C95" w:rsidRPr="00132AAB" w:rsidRDefault="00E52C95" w:rsidP="005E0101">
            <w:pPr>
              <w:pStyle w:val="ab"/>
              <w:spacing w:before="0" w:beforeAutospacing="0" w:after="0" w:afterAutospacing="0"/>
              <w:rPr>
                <w:color w:val="000000"/>
              </w:rPr>
            </w:pPr>
            <w:r w:rsidRPr="00132AAB">
              <w:rPr>
                <w:color w:val="000000"/>
              </w:rPr>
              <w:t>Кровотечение</w:t>
            </w:r>
            <w:r w:rsidRPr="001F02F5">
              <w:rPr>
                <w:color w:val="000000"/>
                <w:vertAlign w:val="superscript"/>
                <w:lang w:val="en-US"/>
              </w:rPr>
              <w:t>b</w:t>
            </w:r>
            <w:r>
              <w:rPr>
                <w:color w:val="000000"/>
                <w:vertAlign w:val="superscript"/>
              </w:rPr>
              <w:t>,</w:t>
            </w:r>
            <w:r>
              <w:rPr>
                <w:color w:val="000000"/>
              </w:rPr>
              <w:t>†</w:t>
            </w:r>
            <w:r w:rsidRPr="00132AAB">
              <w:rPr>
                <w:color w:val="000000"/>
              </w:rPr>
              <w:t xml:space="preserve">  </w:t>
            </w:r>
          </w:p>
          <w:p w14:paraId="62B80A16" w14:textId="77777777" w:rsidR="00E52C95" w:rsidRPr="00132AAB" w:rsidRDefault="00E52C95" w:rsidP="005E0101">
            <w:pPr>
              <w:pStyle w:val="ab"/>
              <w:spacing w:before="0" w:beforeAutospacing="0" w:after="0" w:afterAutospacing="0"/>
              <w:rPr>
                <w:color w:val="000000"/>
              </w:rPr>
            </w:pPr>
            <w:r w:rsidRPr="00132AAB">
              <w:rPr>
                <w:color w:val="000000"/>
              </w:rPr>
              <w:t>Артериальная гипертензия</w:t>
            </w:r>
            <w:r w:rsidRPr="001F02F5">
              <w:rPr>
                <w:color w:val="000000"/>
                <w:vertAlign w:val="superscript"/>
                <w:lang w:val="en-US"/>
              </w:rPr>
              <w:t>e</w:t>
            </w:r>
            <w:r w:rsidRPr="00132AAB">
              <w:rPr>
                <w:color w:val="000000"/>
              </w:rPr>
              <w:t xml:space="preserve"> </w:t>
            </w:r>
          </w:p>
          <w:p w14:paraId="4967D312" w14:textId="77777777" w:rsidR="00E52C95" w:rsidRPr="000D1198" w:rsidRDefault="00E52C95" w:rsidP="005E0101">
            <w:pPr>
              <w:pStyle w:val="ab"/>
              <w:rPr>
                <w:b/>
                <w:bCs/>
                <w:color w:val="000000"/>
              </w:rPr>
            </w:pPr>
          </w:p>
        </w:tc>
      </w:tr>
      <w:tr w:rsidR="00E52C95" w14:paraId="5CE754FA" w14:textId="77777777" w:rsidTr="009964DD">
        <w:tc>
          <w:tcPr>
            <w:tcW w:w="2199" w:type="dxa"/>
            <w:vAlign w:val="center"/>
          </w:tcPr>
          <w:p w14:paraId="7505BFB5"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7898892C" w14:textId="77777777" w:rsidR="00E52C95" w:rsidRPr="000D1198" w:rsidRDefault="00E52C95" w:rsidP="005E0101">
            <w:pPr>
              <w:pStyle w:val="ab"/>
              <w:spacing w:before="0" w:beforeAutospacing="0" w:after="0" w:afterAutospacing="0"/>
              <w:jc w:val="both"/>
              <w:rPr>
                <w:b/>
                <w:bCs/>
                <w:color w:val="000000"/>
              </w:rPr>
            </w:pPr>
          </w:p>
        </w:tc>
        <w:tc>
          <w:tcPr>
            <w:tcW w:w="3578" w:type="dxa"/>
            <w:vAlign w:val="center"/>
          </w:tcPr>
          <w:p w14:paraId="0ED35818" w14:textId="77777777" w:rsidR="00E52C95" w:rsidRPr="000D1198" w:rsidRDefault="00E52C95" w:rsidP="005E0101">
            <w:pPr>
              <w:pStyle w:val="ab"/>
              <w:spacing w:before="0" w:beforeAutospacing="0" w:after="0" w:afterAutospacing="0"/>
              <w:rPr>
                <w:b/>
                <w:bCs/>
                <w:color w:val="000000"/>
              </w:rPr>
            </w:pPr>
            <w:r w:rsidRPr="00132AAB">
              <w:rPr>
                <w:color w:val="000000"/>
              </w:rPr>
              <w:t xml:space="preserve">Артериальная гипертензия </w:t>
            </w:r>
          </w:p>
        </w:tc>
      </w:tr>
      <w:tr w:rsidR="00E52C95" w14:paraId="218F8C2D" w14:textId="77777777" w:rsidTr="009964DD">
        <w:tc>
          <w:tcPr>
            <w:tcW w:w="2199" w:type="dxa"/>
            <w:vAlign w:val="center"/>
          </w:tcPr>
          <w:p w14:paraId="31B3E6DE" w14:textId="77777777" w:rsidR="00E52C95" w:rsidRPr="00137C2C" w:rsidRDefault="00E52C95" w:rsidP="005E0101">
            <w:pPr>
              <w:pStyle w:val="ab"/>
              <w:spacing w:before="0" w:beforeAutospacing="0" w:after="0" w:afterAutospacing="0"/>
              <w:jc w:val="both"/>
            </w:pPr>
            <w:r w:rsidRPr="00137C2C">
              <w:t>Частота неизвестна</w:t>
            </w:r>
          </w:p>
        </w:tc>
        <w:tc>
          <w:tcPr>
            <w:tcW w:w="3569" w:type="dxa"/>
            <w:vAlign w:val="center"/>
          </w:tcPr>
          <w:p w14:paraId="5DACA9A4" w14:textId="77777777" w:rsidR="00E52C95" w:rsidRPr="00137C2C" w:rsidRDefault="00E52C95" w:rsidP="00D050C7">
            <w:pPr>
              <w:pStyle w:val="ab"/>
              <w:spacing w:before="0" w:beforeAutospacing="0" w:after="0" w:afterAutospacing="0"/>
              <w:rPr>
                <w:color w:val="000000"/>
              </w:rPr>
            </w:pPr>
            <w:r w:rsidRPr="00137C2C">
              <w:rPr>
                <w:color w:val="000000"/>
              </w:rPr>
              <w:t>Аневризмы и расслоение артерий</w:t>
            </w:r>
          </w:p>
        </w:tc>
        <w:tc>
          <w:tcPr>
            <w:tcW w:w="3578" w:type="dxa"/>
            <w:vAlign w:val="center"/>
          </w:tcPr>
          <w:p w14:paraId="43F4CDFF" w14:textId="77777777" w:rsidR="00E52C95" w:rsidRPr="000D1198" w:rsidRDefault="00E52C95" w:rsidP="004A23DC">
            <w:pPr>
              <w:pStyle w:val="ab"/>
              <w:rPr>
                <w:b/>
                <w:bCs/>
                <w:color w:val="000000"/>
              </w:rPr>
            </w:pPr>
            <w:r w:rsidRPr="00137C2C">
              <w:rPr>
                <w:color w:val="000000"/>
              </w:rPr>
              <w:t>Аневризмы и расслоение артерий</w:t>
            </w:r>
          </w:p>
        </w:tc>
      </w:tr>
      <w:tr w:rsidR="00E52C95" w14:paraId="1DF373BB" w14:textId="77777777" w:rsidTr="009964DD">
        <w:tc>
          <w:tcPr>
            <w:tcW w:w="9346" w:type="dxa"/>
            <w:gridSpan w:val="3"/>
            <w:vAlign w:val="center"/>
          </w:tcPr>
          <w:p w14:paraId="1B015A57" w14:textId="77777777" w:rsidR="00E52C95" w:rsidRPr="000D1198" w:rsidRDefault="00E52C95" w:rsidP="005E0101">
            <w:pPr>
              <w:pStyle w:val="ab"/>
              <w:rPr>
                <w:b/>
                <w:bCs/>
                <w:color w:val="000000"/>
              </w:rPr>
            </w:pPr>
            <w:r>
              <w:rPr>
                <w:b/>
                <w:bCs/>
              </w:rPr>
              <w:t>Нарушение со стороны дыхательной системы, органов грудной клетки и средостения</w:t>
            </w:r>
          </w:p>
        </w:tc>
      </w:tr>
      <w:tr w:rsidR="00E52C95" w14:paraId="05D79AB9" w14:textId="77777777" w:rsidTr="009964DD">
        <w:tc>
          <w:tcPr>
            <w:tcW w:w="2199" w:type="dxa"/>
            <w:vAlign w:val="center"/>
          </w:tcPr>
          <w:p w14:paraId="1FAB8249" w14:textId="77777777" w:rsidR="00E52C95" w:rsidRPr="000D1198" w:rsidRDefault="00E52C95" w:rsidP="005E0101">
            <w:pPr>
              <w:pStyle w:val="ab"/>
              <w:spacing w:before="0" w:beforeAutospacing="0" w:after="0" w:afterAutospacing="0"/>
              <w:jc w:val="both"/>
              <w:rPr>
                <w:b/>
                <w:bCs/>
              </w:rPr>
            </w:pPr>
            <w:r w:rsidRPr="002D2DC7">
              <w:lastRenderedPageBreak/>
              <w:t>Очень часто</w:t>
            </w:r>
          </w:p>
        </w:tc>
        <w:tc>
          <w:tcPr>
            <w:tcW w:w="3569" w:type="dxa"/>
            <w:vAlign w:val="center"/>
          </w:tcPr>
          <w:p w14:paraId="11B1EA96" w14:textId="77777777" w:rsidR="00E52C95" w:rsidRPr="000D1198" w:rsidRDefault="00E52C95" w:rsidP="005E0101">
            <w:pPr>
              <w:pStyle w:val="ab"/>
              <w:spacing w:before="0" w:beforeAutospacing="0" w:after="0" w:afterAutospacing="0"/>
              <w:rPr>
                <w:b/>
                <w:bCs/>
                <w:color w:val="000000"/>
              </w:rPr>
            </w:pPr>
            <w:r w:rsidRPr="00137C2C">
              <w:rPr>
                <w:color w:val="000000"/>
              </w:rPr>
              <w:t>Дисфония</w:t>
            </w:r>
          </w:p>
        </w:tc>
        <w:tc>
          <w:tcPr>
            <w:tcW w:w="3578" w:type="dxa"/>
            <w:vAlign w:val="center"/>
          </w:tcPr>
          <w:p w14:paraId="71813B94" w14:textId="77777777" w:rsidR="00E52C95" w:rsidRPr="000D1198" w:rsidRDefault="00E52C95" w:rsidP="005E0101">
            <w:pPr>
              <w:pStyle w:val="ab"/>
              <w:spacing w:before="0" w:beforeAutospacing="0" w:after="0" w:afterAutospacing="0"/>
              <w:rPr>
                <w:b/>
                <w:bCs/>
                <w:color w:val="000000"/>
              </w:rPr>
            </w:pPr>
            <w:r w:rsidRPr="00137C2C">
              <w:rPr>
                <w:color w:val="000000"/>
              </w:rPr>
              <w:t>Дисфония</w:t>
            </w:r>
          </w:p>
        </w:tc>
      </w:tr>
      <w:tr w:rsidR="00E52C95" w14:paraId="3CF6504D" w14:textId="77777777" w:rsidTr="009964DD">
        <w:tc>
          <w:tcPr>
            <w:tcW w:w="2199" w:type="dxa"/>
            <w:vAlign w:val="center"/>
          </w:tcPr>
          <w:p w14:paraId="3B576BB9"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23CC5ABF" w14:textId="77777777" w:rsidR="00E52C95" w:rsidRPr="000D1198" w:rsidRDefault="00E52C95" w:rsidP="005E0101">
            <w:pPr>
              <w:pStyle w:val="ab"/>
              <w:spacing w:before="0" w:beforeAutospacing="0" w:after="0" w:afterAutospacing="0"/>
              <w:rPr>
                <w:b/>
                <w:bCs/>
                <w:color w:val="000000"/>
              </w:rPr>
            </w:pPr>
            <w:r w:rsidRPr="004E4545">
              <w:rPr>
                <w:color w:val="000000"/>
              </w:rPr>
              <w:t>Тромбоэмболия легочной артерии</w:t>
            </w:r>
            <w:r>
              <w:rPr>
                <w:color w:val="000000"/>
              </w:rPr>
              <w:t>†</w:t>
            </w:r>
          </w:p>
        </w:tc>
        <w:tc>
          <w:tcPr>
            <w:tcW w:w="3578" w:type="dxa"/>
            <w:vAlign w:val="center"/>
          </w:tcPr>
          <w:p w14:paraId="71C21040" w14:textId="77777777" w:rsidR="00E52C95" w:rsidRPr="000D1198" w:rsidRDefault="00E52C95" w:rsidP="005E0101">
            <w:pPr>
              <w:pStyle w:val="ab"/>
              <w:rPr>
                <w:b/>
                <w:bCs/>
                <w:color w:val="000000"/>
              </w:rPr>
            </w:pPr>
            <w:r w:rsidRPr="004E4545">
              <w:rPr>
                <w:color w:val="000000"/>
              </w:rPr>
              <w:t>Тромбоэмболия легочной артерии</w:t>
            </w:r>
            <w:r>
              <w:rPr>
                <w:color w:val="000000"/>
              </w:rPr>
              <w:t>†</w:t>
            </w:r>
          </w:p>
        </w:tc>
      </w:tr>
      <w:tr w:rsidR="00E52C95" w14:paraId="18131BDD" w14:textId="77777777" w:rsidTr="009964DD">
        <w:tc>
          <w:tcPr>
            <w:tcW w:w="2199" w:type="dxa"/>
            <w:vAlign w:val="center"/>
          </w:tcPr>
          <w:p w14:paraId="507366EC" w14:textId="77777777" w:rsidR="00E52C95" w:rsidRPr="000D1198" w:rsidRDefault="00E52C95" w:rsidP="005E0101">
            <w:pPr>
              <w:pStyle w:val="ab"/>
              <w:spacing w:before="0" w:beforeAutospacing="0" w:after="0" w:afterAutospacing="0"/>
              <w:jc w:val="both"/>
              <w:rPr>
                <w:b/>
                <w:bCs/>
              </w:rPr>
            </w:pPr>
            <w:r w:rsidRPr="00132AAB">
              <w:t>Нечасто</w:t>
            </w:r>
          </w:p>
        </w:tc>
        <w:tc>
          <w:tcPr>
            <w:tcW w:w="3569" w:type="dxa"/>
            <w:vAlign w:val="center"/>
          </w:tcPr>
          <w:p w14:paraId="76405A7A" w14:textId="77777777" w:rsidR="00E52C95" w:rsidRPr="000D1198" w:rsidRDefault="00E52C95" w:rsidP="005E0101">
            <w:pPr>
              <w:pStyle w:val="ab"/>
              <w:spacing w:before="0" w:beforeAutospacing="0" w:after="0" w:afterAutospacing="0"/>
              <w:rPr>
                <w:b/>
                <w:bCs/>
                <w:color w:val="000000"/>
              </w:rPr>
            </w:pPr>
            <w:r w:rsidRPr="0072540A">
              <w:rPr>
                <w:color w:val="000000"/>
              </w:rPr>
              <w:t>Пневмоторакс</w:t>
            </w:r>
          </w:p>
        </w:tc>
        <w:tc>
          <w:tcPr>
            <w:tcW w:w="3578" w:type="dxa"/>
            <w:vAlign w:val="center"/>
          </w:tcPr>
          <w:p w14:paraId="1DDBE5FF" w14:textId="77777777" w:rsidR="00E52C95" w:rsidRPr="000D1198" w:rsidRDefault="00E52C95" w:rsidP="005E0101">
            <w:pPr>
              <w:pStyle w:val="ab"/>
              <w:rPr>
                <w:b/>
                <w:bCs/>
                <w:color w:val="000000"/>
              </w:rPr>
            </w:pPr>
            <w:r w:rsidRPr="0072540A">
              <w:rPr>
                <w:color w:val="000000"/>
              </w:rPr>
              <w:t>Пневмоторакс</w:t>
            </w:r>
          </w:p>
        </w:tc>
      </w:tr>
      <w:tr w:rsidR="00E52C95" w14:paraId="723C628C" w14:textId="77777777" w:rsidTr="009964DD">
        <w:tc>
          <w:tcPr>
            <w:tcW w:w="9346" w:type="dxa"/>
            <w:gridSpan w:val="3"/>
            <w:vAlign w:val="center"/>
          </w:tcPr>
          <w:p w14:paraId="3020B7EA" w14:textId="77777777" w:rsidR="00E52C95" w:rsidRPr="000D1198" w:rsidRDefault="00E52C95" w:rsidP="005E0101">
            <w:pPr>
              <w:pStyle w:val="ab"/>
              <w:rPr>
                <w:b/>
                <w:bCs/>
                <w:color w:val="000000"/>
              </w:rPr>
            </w:pPr>
            <w:r>
              <w:rPr>
                <w:b/>
                <w:bCs/>
              </w:rPr>
              <w:t>Желудочно-кишечные нарушения</w:t>
            </w:r>
          </w:p>
        </w:tc>
      </w:tr>
      <w:tr w:rsidR="00E52C95" w14:paraId="2BD48E6C" w14:textId="77777777" w:rsidTr="009964DD">
        <w:tc>
          <w:tcPr>
            <w:tcW w:w="2199" w:type="dxa"/>
            <w:vAlign w:val="center"/>
          </w:tcPr>
          <w:p w14:paraId="119D8D33" w14:textId="77777777" w:rsidR="00E52C95" w:rsidRPr="000D1198" w:rsidRDefault="00E52C95" w:rsidP="005E0101">
            <w:pPr>
              <w:pStyle w:val="ab"/>
              <w:spacing w:before="0" w:beforeAutospacing="0" w:after="0" w:afterAutospacing="0"/>
              <w:jc w:val="both"/>
              <w:rPr>
                <w:b/>
                <w:bCs/>
              </w:rPr>
            </w:pPr>
            <w:r w:rsidRPr="002D2DC7">
              <w:t>Очень часто</w:t>
            </w:r>
          </w:p>
        </w:tc>
        <w:tc>
          <w:tcPr>
            <w:tcW w:w="3569" w:type="dxa"/>
            <w:vAlign w:val="center"/>
          </w:tcPr>
          <w:p w14:paraId="643E8636" w14:textId="77777777" w:rsidR="00E52C95" w:rsidRPr="0090118C" w:rsidRDefault="00E52C95" w:rsidP="005E0101">
            <w:pPr>
              <w:pStyle w:val="ab"/>
              <w:spacing w:before="0" w:beforeAutospacing="0" w:after="0" w:afterAutospacing="0"/>
              <w:rPr>
                <w:color w:val="000000"/>
              </w:rPr>
            </w:pPr>
            <w:r w:rsidRPr="0090118C">
              <w:rPr>
                <w:color w:val="000000"/>
              </w:rPr>
              <w:t>Диарея</w:t>
            </w:r>
          </w:p>
          <w:p w14:paraId="4DAFB7A8" w14:textId="77777777" w:rsidR="00E52C95" w:rsidRDefault="00E52C95" w:rsidP="005E0101">
            <w:pPr>
              <w:pStyle w:val="ab"/>
              <w:spacing w:before="0" w:beforeAutospacing="0" w:after="0" w:afterAutospacing="0"/>
              <w:rPr>
                <w:color w:val="000000"/>
              </w:rPr>
            </w:pPr>
            <w:r w:rsidRPr="0090118C">
              <w:rPr>
                <w:color w:val="000000"/>
              </w:rPr>
              <w:t>Боль в животе</w:t>
            </w:r>
            <w:r w:rsidRPr="00EB1B5E">
              <w:rPr>
                <w:color w:val="000000"/>
                <w:vertAlign w:val="superscript"/>
                <w:lang w:val="en-US"/>
              </w:rPr>
              <w:t>f</w:t>
            </w:r>
            <w:r w:rsidRPr="0090118C">
              <w:rPr>
                <w:color w:val="000000"/>
              </w:rPr>
              <w:t xml:space="preserve"> </w:t>
            </w:r>
          </w:p>
          <w:p w14:paraId="69259367" w14:textId="77777777" w:rsidR="00E52C95" w:rsidRPr="0090118C" w:rsidRDefault="00E52C95" w:rsidP="005E0101">
            <w:pPr>
              <w:pStyle w:val="ab"/>
              <w:spacing w:before="0" w:beforeAutospacing="0" w:after="0" w:afterAutospacing="0"/>
              <w:rPr>
                <w:color w:val="000000"/>
              </w:rPr>
            </w:pPr>
            <w:r w:rsidRPr="0090118C">
              <w:rPr>
                <w:color w:val="000000"/>
              </w:rPr>
              <w:t>Рвота</w:t>
            </w:r>
          </w:p>
          <w:p w14:paraId="6194BB6B" w14:textId="77777777" w:rsidR="00E52C95" w:rsidRPr="0090118C" w:rsidRDefault="00E52C95" w:rsidP="005E0101">
            <w:pPr>
              <w:pStyle w:val="ab"/>
              <w:spacing w:before="0" w:beforeAutospacing="0" w:after="0" w:afterAutospacing="0"/>
              <w:rPr>
                <w:color w:val="000000"/>
              </w:rPr>
            </w:pPr>
            <w:r w:rsidRPr="0090118C">
              <w:rPr>
                <w:color w:val="000000"/>
              </w:rPr>
              <w:t>Тошнота</w:t>
            </w:r>
          </w:p>
          <w:p w14:paraId="097A9987" w14:textId="77777777" w:rsidR="004A23DC" w:rsidRDefault="00E52C95" w:rsidP="005E0101">
            <w:pPr>
              <w:pStyle w:val="ab"/>
              <w:spacing w:before="0" w:beforeAutospacing="0" w:after="0" w:afterAutospacing="0"/>
              <w:rPr>
                <w:color w:val="000000"/>
              </w:rPr>
            </w:pPr>
            <w:r w:rsidRPr="0090118C">
              <w:rPr>
                <w:color w:val="000000"/>
              </w:rPr>
              <w:t>Воспаление полости рта</w:t>
            </w:r>
            <w:r w:rsidRPr="00EB1B5E">
              <w:rPr>
                <w:color w:val="000000"/>
                <w:vertAlign w:val="superscript"/>
                <w:lang w:val="en-US"/>
              </w:rPr>
              <w:t>g</w:t>
            </w:r>
            <w:r w:rsidRPr="0090118C">
              <w:rPr>
                <w:color w:val="000000"/>
              </w:rPr>
              <w:t xml:space="preserve"> </w:t>
            </w:r>
          </w:p>
          <w:p w14:paraId="21E6F262" w14:textId="7E8683C8" w:rsidR="00E52C95" w:rsidRPr="0090118C" w:rsidRDefault="00E52C95" w:rsidP="005E0101">
            <w:pPr>
              <w:pStyle w:val="ab"/>
              <w:spacing w:before="0" w:beforeAutospacing="0" w:after="0" w:afterAutospacing="0"/>
              <w:rPr>
                <w:color w:val="000000"/>
              </w:rPr>
            </w:pPr>
            <w:r w:rsidRPr="0090118C">
              <w:rPr>
                <w:color w:val="000000"/>
              </w:rPr>
              <w:t>Боль в полости рта</w:t>
            </w:r>
            <w:r w:rsidRPr="00EB1B5E">
              <w:rPr>
                <w:color w:val="000000"/>
                <w:vertAlign w:val="superscript"/>
                <w:lang w:val="en-US"/>
              </w:rPr>
              <w:t>h</w:t>
            </w:r>
            <w:r w:rsidRPr="0090118C">
              <w:rPr>
                <w:color w:val="000000"/>
              </w:rPr>
              <w:t xml:space="preserve"> </w:t>
            </w:r>
          </w:p>
          <w:p w14:paraId="33ED4C67" w14:textId="77777777" w:rsidR="00E52C95" w:rsidRPr="0090118C" w:rsidRDefault="00E52C95" w:rsidP="005E0101">
            <w:pPr>
              <w:pStyle w:val="ab"/>
              <w:spacing w:before="0" w:beforeAutospacing="0" w:after="0" w:afterAutospacing="0"/>
              <w:rPr>
                <w:color w:val="000000"/>
              </w:rPr>
            </w:pPr>
            <w:r w:rsidRPr="0090118C">
              <w:rPr>
                <w:color w:val="000000"/>
              </w:rPr>
              <w:t>Запор</w:t>
            </w:r>
          </w:p>
          <w:p w14:paraId="3198EB1A" w14:textId="77777777" w:rsidR="00E52C95" w:rsidRPr="0090118C" w:rsidRDefault="00E52C95" w:rsidP="005E0101">
            <w:pPr>
              <w:pStyle w:val="ab"/>
              <w:spacing w:before="0" w:beforeAutospacing="0" w:after="0" w:afterAutospacing="0"/>
              <w:rPr>
                <w:color w:val="000000"/>
              </w:rPr>
            </w:pPr>
            <w:r w:rsidRPr="0090118C">
              <w:rPr>
                <w:color w:val="000000"/>
              </w:rPr>
              <w:t>Диспепсия</w:t>
            </w:r>
          </w:p>
          <w:p w14:paraId="52801C8F" w14:textId="77777777" w:rsidR="00E52C95" w:rsidRPr="0090118C" w:rsidRDefault="00E52C95" w:rsidP="005E0101">
            <w:pPr>
              <w:pStyle w:val="ab"/>
              <w:spacing w:before="0" w:beforeAutospacing="0" w:after="0" w:afterAutospacing="0"/>
              <w:jc w:val="both"/>
              <w:rPr>
                <w:color w:val="000000"/>
              </w:rPr>
            </w:pPr>
            <w:r w:rsidRPr="0090118C">
              <w:rPr>
                <w:color w:val="000000"/>
              </w:rPr>
              <w:t>Сухость слизистой оболочки</w:t>
            </w:r>
          </w:p>
        </w:tc>
        <w:tc>
          <w:tcPr>
            <w:tcW w:w="3578" w:type="dxa"/>
            <w:vAlign w:val="center"/>
          </w:tcPr>
          <w:p w14:paraId="17D48B2B" w14:textId="77777777" w:rsidR="00E52C95" w:rsidRPr="0090118C" w:rsidRDefault="00E52C95" w:rsidP="005E0101">
            <w:pPr>
              <w:pStyle w:val="ab"/>
              <w:spacing w:before="0" w:beforeAutospacing="0" w:after="0" w:afterAutospacing="0"/>
              <w:rPr>
                <w:color w:val="000000"/>
              </w:rPr>
            </w:pPr>
            <w:r w:rsidRPr="0090118C">
              <w:rPr>
                <w:color w:val="000000"/>
              </w:rPr>
              <w:t>Диарея</w:t>
            </w:r>
          </w:p>
          <w:p w14:paraId="4FEBB5B4" w14:textId="77777777" w:rsidR="00E52C95" w:rsidRDefault="00E52C95" w:rsidP="005E0101">
            <w:pPr>
              <w:pStyle w:val="ab"/>
              <w:spacing w:before="0" w:beforeAutospacing="0" w:after="0" w:afterAutospacing="0"/>
              <w:rPr>
                <w:color w:val="000000"/>
              </w:rPr>
            </w:pPr>
            <w:r w:rsidRPr="0090118C">
              <w:rPr>
                <w:color w:val="000000"/>
              </w:rPr>
              <w:t>Боль в животе</w:t>
            </w:r>
            <w:r w:rsidRPr="001F02F5">
              <w:rPr>
                <w:color w:val="000000"/>
                <w:vertAlign w:val="superscript"/>
                <w:lang w:val="en-US"/>
              </w:rPr>
              <w:t>f</w:t>
            </w:r>
            <w:r w:rsidRPr="0090118C">
              <w:rPr>
                <w:color w:val="000000"/>
              </w:rPr>
              <w:t xml:space="preserve"> </w:t>
            </w:r>
          </w:p>
          <w:p w14:paraId="20A6A65D" w14:textId="77777777" w:rsidR="00E52C95" w:rsidRPr="0090118C" w:rsidRDefault="00E52C95" w:rsidP="005E0101">
            <w:pPr>
              <w:pStyle w:val="ab"/>
              <w:spacing w:before="0" w:beforeAutospacing="0" w:after="0" w:afterAutospacing="0"/>
              <w:rPr>
                <w:color w:val="000000"/>
              </w:rPr>
            </w:pPr>
            <w:r w:rsidRPr="0090118C">
              <w:rPr>
                <w:color w:val="000000"/>
              </w:rPr>
              <w:t>Рвота</w:t>
            </w:r>
          </w:p>
          <w:p w14:paraId="34490DCF" w14:textId="77777777" w:rsidR="00E52C95" w:rsidRPr="0090118C" w:rsidRDefault="00E52C95" w:rsidP="005E0101">
            <w:pPr>
              <w:pStyle w:val="ab"/>
              <w:spacing w:before="0" w:beforeAutospacing="0" w:after="0" w:afterAutospacing="0"/>
              <w:rPr>
                <w:color w:val="000000"/>
              </w:rPr>
            </w:pPr>
            <w:r w:rsidRPr="0090118C">
              <w:rPr>
                <w:color w:val="000000"/>
              </w:rPr>
              <w:t>Тошнота</w:t>
            </w:r>
          </w:p>
          <w:p w14:paraId="71A397BC" w14:textId="77777777" w:rsidR="00E52C95" w:rsidRDefault="00E52C95" w:rsidP="005E0101">
            <w:pPr>
              <w:pStyle w:val="ab"/>
              <w:spacing w:before="0" w:beforeAutospacing="0" w:after="0" w:afterAutospacing="0"/>
              <w:rPr>
                <w:color w:val="000000"/>
              </w:rPr>
            </w:pPr>
            <w:r w:rsidRPr="0090118C">
              <w:rPr>
                <w:color w:val="000000"/>
              </w:rPr>
              <w:t>Воспаление полости рта</w:t>
            </w:r>
            <w:r w:rsidRPr="001F02F5">
              <w:rPr>
                <w:color w:val="000000"/>
                <w:vertAlign w:val="superscript"/>
                <w:lang w:val="en-US"/>
              </w:rPr>
              <w:t>g</w:t>
            </w:r>
            <w:r w:rsidRPr="0090118C">
              <w:rPr>
                <w:color w:val="000000"/>
              </w:rPr>
              <w:t xml:space="preserve"> </w:t>
            </w:r>
          </w:p>
          <w:p w14:paraId="2C0109D3" w14:textId="77777777" w:rsidR="00E52C95" w:rsidRPr="0090118C" w:rsidRDefault="00E52C95" w:rsidP="005E0101">
            <w:pPr>
              <w:pStyle w:val="ab"/>
              <w:spacing w:before="0" w:beforeAutospacing="0" w:after="0" w:afterAutospacing="0"/>
              <w:rPr>
                <w:color w:val="000000"/>
              </w:rPr>
            </w:pPr>
            <w:r w:rsidRPr="0090118C">
              <w:rPr>
                <w:color w:val="000000"/>
              </w:rPr>
              <w:t>Боль в полости рта</w:t>
            </w:r>
            <w:r w:rsidRPr="001F02F5">
              <w:rPr>
                <w:color w:val="000000"/>
                <w:vertAlign w:val="superscript"/>
                <w:lang w:val="en-US"/>
              </w:rPr>
              <w:t>h</w:t>
            </w:r>
            <w:r w:rsidRPr="0090118C">
              <w:rPr>
                <w:color w:val="000000"/>
              </w:rPr>
              <w:t xml:space="preserve"> </w:t>
            </w:r>
          </w:p>
          <w:p w14:paraId="3EE2A750" w14:textId="77777777" w:rsidR="00E52C95" w:rsidRPr="0090118C" w:rsidRDefault="00E52C95" w:rsidP="005E0101">
            <w:pPr>
              <w:pStyle w:val="ab"/>
              <w:spacing w:before="0" w:beforeAutospacing="0" w:after="0" w:afterAutospacing="0"/>
              <w:rPr>
                <w:color w:val="000000"/>
              </w:rPr>
            </w:pPr>
            <w:r w:rsidRPr="0090118C">
              <w:rPr>
                <w:color w:val="000000"/>
              </w:rPr>
              <w:t>Запор</w:t>
            </w:r>
          </w:p>
          <w:p w14:paraId="183982BA" w14:textId="77777777" w:rsidR="00E52C95" w:rsidRPr="0090118C" w:rsidRDefault="00E52C95" w:rsidP="005E0101">
            <w:pPr>
              <w:pStyle w:val="ab"/>
              <w:spacing w:before="0" w:beforeAutospacing="0" w:after="0" w:afterAutospacing="0"/>
              <w:rPr>
                <w:color w:val="000000"/>
              </w:rPr>
            </w:pPr>
            <w:r w:rsidRPr="0090118C">
              <w:rPr>
                <w:color w:val="000000"/>
              </w:rPr>
              <w:t>Диспепсия</w:t>
            </w:r>
          </w:p>
          <w:p w14:paraId="7158EB2A" w14:textId="77777777" w:rsidR="00E52C95" w:rsidRDefault="00E52C95" w:rsidP="005E0101">
            <w:pPr>
              <w:pStyle w:val="ab"/>
              <w:spacing w:before="0" w:beforeAutospacing="0" w:after="0" w:afterAutospacing="0"/>
              <w:rPr>
                <w:color w:val="000000"/>
              </w:rPr>
            </w:pPr>
            <w:r w:rsidRPr="0090118C">
              <w:rPr>
                <w:color w:val="000000"/>
              </w:rPr>
              <w:t>Сухость слизистой оболочки</w:t>
            </w:r>
          </w:p>
          <w:p w14:paraId="7B42A30A" w14:textId="77777777" w:rsidR="00E52C95" w:rsidRDefault="00E52C95" w:rsidP="005E0101">
            <w:pPr>
              <w:pStyle w:val="ab"/>
              <w:spacing w:before="0" w:beforeAutospacing="0" w:after="0" w:afterAutospacing="0"/>
              <w:jc w:val="both"/>
              <w:rPr>
                <w:color w:val="000000"/>
              </w:rPr>
            </w:pPr>
            <w:r w:rsidRPr="0090118C">
              <w:rPr>
                <w:color w:val="000000"/>
              </w:rPr>
              <w:t xml:space="preserve">Повышение активности липазы </w:t>
            </w:r>
          </w:p>
          <w:p w14:paraId="4675AF58" w14:textId="77777777" w:rsidR="00E52C95" w:rsidRPr="000D1198" w:rsidRDefault="00E52C95" w:rsidP="005E0101">
            <w:pPr>
              <w:pStyle w:val="ab"/>
              <w:spacing w:before="0" w:beforeAutospacing="0" w:after="0" w:afterAutospacing="0"/>
              <w:rPr>
                <w:b/>
                <w:bCs/>
                <w:color w:val="000000"/>
              </w:rPr>
            </w:pPr>
            <w:r w:rsidRPr="0090118C">
              <w:rPr>
                <w:color w:val="000000"/>
              </w:rPr>
              <w:t>Повышение активности амилазы</w:t>
            </w:r>
          </w:p>
        </w:tc>
      </w:tr>
      <w:tr w:rsidR="00E52C95" w14:paraId="4A9BDC5D" w14:textId="77777777" w:rsidTr="009964DD">
        <w:tc>
          <w:tcPr>
            <w:tcW w:w="2199" w:type="dxa"/>
            <w:vAlign w:val="center"/>
          </w:tcPr>
          <w:p w14:paraId="14689BB4" w14:textId="77777777" w:rsidR="00E52C95" w:rsidRPr="000D1198" w:rsidRDefault="00E52C95" w:rsidP="005E0101">
            <w:pPr>
              <w:pStyle w:val="ab"/>
              <w:spacing w:before="0" w:beforeAutospacing="0" w:after="0" w:afterAutospacing="0"/>
              <w:jc w:val="both"/>
              <w:rPr>
                <w:b/>
                <w:bCs/>
              </w:rPr>
            </w:pPr>
            <w:r w:rsidRPr="002D2DC7">
              <w:t>Часто</w:t>
            </w:r>
          </w:p>
        </w:tc>
        <w:tc>
          <w:tcPr>
            <w:tcW w:w="3569" w:type="dxa"/>
            <w:vAlign w:val="center"/>
          </w:tcPr>
          <w:p w14:paraId="0C2A1366" w14:textId="77777777" w:rsidR="00E52C95" w:rsidRPr="0090118C" w:rsidRDefault="00E52C95" w:rsidP="005E0101">
            <w:pPr>
              <w:pStyle w:val="ab"/>
              <w:spacing w:before="0" w:beforeAutospacing="0" w:after="0" w:afterAutospacing="0"/>
              <w:rPr>
                <w:color w:val="000000"/>
              </w:rPr>
            </w:pPr>
            <w:r w:rsidRPr="0090118C">
              <w:rPr>
                <w:color w:val="000000"/>
              </w:rPr>
              <w:t>Фистула прямой кишки</w:t>
            </w:r>
          </w:p>
          <w:p w14:paraId="4536DCB6" w14:textId="77777777" w:rsidR="00E52C95" w:rsidRPr="0090118C" w:rsidRDefault="00E52C95" w:rsidP="005E0101">
            <w:pPr>
              <w:pStyle w:val="ab"/>
              <w:spacing w:before="0" w:beforeAutospacing="0" w:after="0" w:afterAutospacing="0"/>
              <w:rPr>
                <w:color w:val="000000"/>
              </w:rPr>
            </w:pPr>
            <w:r w:rsidRPr="0090118C">
              <w:rPr>
                <w:color w:val="000000"/>
              </w:rPr>
              <w:t>Метеоризм</w:t>
            </w:r>
          </w:p>
          <w:p w14:paraId="64BE15D8" w14:textId="77777777" w:rsidR="00E52C95" w:rsidRDefault="00E52C95" w:rsidP="005E0101">
            <w:pPr>
              <w:pStyle w:val="ab"/>
              <w:spacing w:before="0" w:beforeAutospacing="0" w:after="0" w:afterAutospacing="0"/>
              <w:rPr>
                <w:color w:val="000000"/>
              </w:rPr>
            </w:pPr>
            <w:r w:rsidRPr="0090118C">
              <w:rPr>
                <w:color w:val="000000"/>
              </w:rPr>
              <w:t xml:space="preserve">Повышение активности липазы </w:t>
            </w:r>
          </w:p>
          <w:p w14:paraId="6B58F69A" w14:textId="77777777" w:rsidR="00E52C95" w:rsidRPr="0090118C" w:rsidRDefault="00E52C95" w:rsidP="005E0101">
            <w:pPr>
              <w:pStyle w:val="ab"/>
              <w:spacing w:before="0" w:beforeAutospacing="0" w:after="0" w:afterAutospacing="0"/>
              <w:rPr>
                <w:color w:val="000000"/>
              </w:rPr>
            </w:pPr>
            <w:r w:rsidRPr="0090118C">
              <w:rPr>
                <w:color w:val="000000"/>
              </w:rPr>
              <w:t>Повышение активности амилазы</w:t>
            </w:r>
          </w:p>
        </w:tc>
        <w:tc>
          <w:tcPr>
            <w:tcW w:w="3578" w:type="dxa"/>
            <w:vAlign w:val="center"/>
          </w:tcPr>
          <w:p w14:paraId="4EF96ACE" w14:textId="77777777" w:rsidR="00E52C95" w:rsidRPr="00EB1B5E" w:rsidRDefault="00E52C95" w:rsidP="005E0101">
            <w:pPr>
              <w:pStyle w:val="ab"/>
              <w:spacing w:before="0" w:beforeAutospacing="0" w:after="0" w:afterAutospacing="0"/>
              <w:rPr>
                <w:color w:val="000000"/>
                <w:lang w:val="en-US"/>
              </w:rPr>
            </w:pPr>
            <w:r>
              <w:rPr>
                <w:color w:val="000000"/>
              </w:rPr>
              <w:t>Панкреатит</w:t>
            </w:r>
            <w:r w:rsidRPr="00EB1B5E">
              <w:rPr>
                <w:color w:val="000000"/>
                <w:vertAlign w:val="superscript"/>
                <w:lang w:val="en-US"/>
              </w:rPr>
              <w:t>i</w:t>
            </w:r>
          </w:p>
          <w:p w14:paraId="51833A3A" w14:textId="77777777" w:rsidR="00E52C95" w:rsidRPr="0090118C" w:rsidRDefault="00E52C95" w:rsidP="005E0101">
            <w:pPr>
              <w:pStyle w:val="ab"/>
              <w:spacing w:before="0" w:beforeAutospacing="0" w:after="0" w:afterAutospacing="0"/>
              <w:rPr>
                <w:color w:val="000000"/>
              </w:rPr>
            </w:pPr>
            <w:r w:rsidRPr="0090118C">
              <w:rPr>
                <w:color w:val="000000"/>
              </w:rPr>
              <w:t>Метеоризм</w:t>
            </w:r>
          </w:p>
          <w:p w14:paraId="325D914C" w14:textId="77777777" w:rsidR="00E52C95" w:rsidRPr="000D1198" w:rsidRDefault="00E52C95" w:rsidP="005E0101">
            <w:pPr>
              <w:pStyle w:val="ab"/>
              <w:rPr>
                <w:b/>
                <w:bCs/>
                <w:color w:val="000000"/>
              </w:rPr>
            </w:pPr>
          </w:p>
        </w:tc>
      </w:tr>
      <w:tr w:rsidR="00E52C95" w14:paraId="36B4D237" w14:textId="77777777" w:rsidTr="009964DD">
        <w:tc>
          <w:tcPr>
            <w:tcW w:w="2199" w:type="dxa"/>
            <w:vAlign w:val="center"/>
          </w:tcPr>
          <w:p w14:paraId="5861A7C3" w14:textId="77777777" w:rsidR="00E52C95" w:rsidRPr="000D1198" w:rsidRDefault="00E52C95" w:rsidP="005E0101">
            <w:pPr>
              <w:pStyle w:val="ab"/>
              <w:spacing w:before="0" w:beforeAutospacing="0" w:after="0" w:afterAutospacing="0"/>
              <w:jc w:val="both"/>
              <w:rPr>
                <w:b/>
                <w:bCs/>
              </w:rPr>
            </w:pPr>
            <w:r w:rsidRPr="00132AAB">
              <w:t>Нечасто</w:t>
            </w:r>
          </w:p>
        </w:tc>
        <w:tc>
          <w:tcPr>
            <w:tcW w:w="3569" w:type="dxa"/>
            <w:vAlign w:val="center"/>
          </w:tcPr>
          <w:p w14:paraId="356DC4B9" w14:textId="77777777" w:rsidR="00E52C95" w:rsidRPr="0090118C" w:rsidRDefault="00E52C95" w:rsidP="005E0101">
            <w:pPr>
              <w:pStyle w:val="ab"/>
              <w:spacing w:before="0" w:beforeAutospacing="0" w:after="0" w:afterAutospacing="0"/>
              <w:jc w:val="both"/>
              <w:rPr>
                <w:color w:val="000000"/>
              </w:rPr>
            </w:pPr>
            <w:r w:rsidRPr="0090118C">
              <w:rPr>
                <w:color w:val="000000"/>
              </w:rPr>
              <w:t>Панкреатит</w:t>
            </w:r>
            <w:r w:rsidRPr="001F02F5">
              <w:rPr>
                <w:color w:val="000000"/>
                <w:vertAlign w:val="superscript"/>
                <w:lang w:val="en-US"/>
              </w:rPr>
              <w:t>i</w:t>
            </w:r>
          </w:p>
        </w:tc>
        <w:tc>
          <w:tcPr>
            <w:tcW w:w="3578" w:type="dxa"/>
            <w:vAlign w:val="center"/>
          </w:tcPr>
          <w:p w14:paraId="4F20C1BA" w14:textId="77777777" w:rsidR="00E52C95" w:rsidRPr="0090118C" w:rsidRDefault="00E52C95" w:rsidP="005E0101">
            <w:pPr>
              <w:pStyle w:val="ab"/>
              <w:rPr>
                <w:color w:val="000000"/>
              </w:rPr>
            </w:pPr>
            <w:r w:rsidRPr="0090118C">
              <w:rPr>
                <w:color w:val="000000"/>
              </w:rPr>
              <w:t>Фистула прямой кишки</w:t>
            </w:r>
          </w:p>
        </w:tc>
      </w:tr>
      <w:tr w:rsidR="00E52C95" w14:paraId="320C4070" w14:textId="77777777" w:rsidTr="009964DD">
        <w:tc>
          <w:tcPr>
            <w:tcW w:w="9346" w:type="dxa"/>
            <w:gridSpan w:val="3"/>
            <w:vAlign w:val="center"/>
          </w:tcPr>
          <w:p w14:paraId="51F1530F" w14:textId="77777777" w:rsidR="00E52C95" w:rsidRPr="000D1198" w:rsidRDefault="00E52C95" w:rsidP="005E0101">
            <w:pPr>
              <w:pStyle w:val="ab"/>
              <w:rPr>
                <w:b/>
                <w:bCs/>
                <w:color w:val="000000"/>
              </w:rPr>
            </w:pPr>
            <w:r w:rsidRPr="0090118C">
              <w:rPr>
                <w:b/>
                <w:bCs/>
              </w:rPr>
              <w:t>Нарушения со стороны печени и желчевыводящих путей</w:t>
            </w:r>
          </w:p>
        </w:tc>
      </w:tr>
      <w:tr w:rsidR="00E52C95" w14:paraId="3177C793" w14:textId="77777777" w:rsidTr="009964DD">
        <w:tc>
          <w:tcPr>
            <w:tcW w:w="2199" w:type="dxa"/>
            <w:vAlign w:val="center"/>
          </w:tcPr>
          <w:p w14:paraId="1B10E84C" w14:textId="77777777" w:rsidR="00E52C95" w:rsidRPr="00132AAB" w:rsidRDefault="00E52C95" w:rsidP="005E0101">
            <w:pPr>
              <w:pStyle w:val="ab"/>
              <w:spacing w:before="0" w:beforeAutospacing="0" w:after="0" w:afterAutospacing="0"/>
              <w:jc w:val="both"/>
            </w:pPr>
            <w:r w:rsidRPr="002D2DC7">
              <w:t>Очень часто</w:t>
            </w:r>
          </w:p>
        </w:tc>
        <w:tc>
          <w:tcPr>
            <w:tcW w:w="3569" w:type="dxa"/>
            <w:vAlign w:val="center"/>
          </w:tcPr>
          <w:p w14:paraId="72AC7CC1" w14:textId="77777777" w:rsidR="00E52C95" w:rsidRPr="0090118C" w:rsidRDefault="00E52C95" w:rsidP="005E0101">
            <w:pPr>
              <w:pStyle w:val="ab"/>
              <w:spacing w:before="0" w:beforeAutospacing="0" w:after="0" w:afterAutospacing="0"/>
              <w:rPr>
                <w:color w:val="000000"/>
              </w:rPr>
            </w:pPr>
            <w:r w:rsidRPr="0090118C">
              <w:rPr>
                <w:color w:val="000000"/>
              </w:rPr>
              <w:t>Повышение концентрации</w:t>
            </w:r>
          </w:p>
          <w:p w14:paraId="5E3AED73" w14:textId="77777777" w:rsidR="00E52C95" w:rsidRPr="0090118C" w:rsidRDefault="00E52C95" w:rsidP="005E0101">
            <w:pPr>
              <w:pStyle w:val="ab"/>
              <w:spacing w:before="0" w:beforeAutospacing="0" w:after="0" w:afterAutospacing="0"/>
              <w:rPr>
                <w:color w:val="000000"/>
              </w:rPr>
            </w:pPr>
            <w:r w:rsidRPr="0090118C">
              <w:rPr>
                <w:color w:val="000000"/>
              </w:rPr>
              <w:t>билирубина в крови</w:t>
            </w:r>
            <w:r w:rsidRPr="00EB1B5E">
              <w:rPr>
                <w:color w:val="000000"/>
                <w:vertAlign w:val="superscript"/>
                <w:lang w:val="en-US"/>
              </w:rPr>
              <w:t>j</w:t>
            </w:r>
            <w:r w:rsidRPr="00EB1B5E">
              <w:rPr>
                <w:color w:val="000000"/>
                <w:vertAlign w:val="superscript"/>
              </w:rPr>
              <w:t xml:space="preserve"> </w:t>
            </w:r>
            <w:r w:rsidRPr="0090118C">
              <w:rPr>
                <w:color w:val="000000"/>
              </w:rPr>
              <w:t>Гипоальбуминемия</w:t>
            </w:r>
            <w:r w:rsidRPr="0068400D">
              <w:rPr>
                <w:color w:val="000000"/>
                <w:vertAlign w:val="superscript"/>
                <w:lang w:val="en-US"/>
              </w:rPr>
              <w:t>j</w:t>
            </w:r>
          </w:p>
          <w:p w14:paraId="0F88B369" w14:textId="77777777" w:rsidR="009B460E" w:rsidRDefault="00E52C95" w:rsidP="005E0101">
            <w:pPr>
              <w:pStyle w:val="ab"/>
              <w:spacing w:before="0" w:beforeAutospacing="0" w:after="0" w:afterAutospacing="0"/>
              <w:rPr>
                <w:color w:val="000000"/>
              </w:rPr>
            </w:pPr>
            <w:r w:rsidRPr="0090118C">
              <w:rPr>
                <w:color w:val="000000"/>
              </w:rPr>
              <w:t xml:space="preserve">Повышение активности </w:t>
            </w:r>
            <w:r>
              <w:rPr>
                <w:color w:val="000000"/>
              </w:rPr>
              <w:t>АЛТ</w:t>
            </w:r>
          </w:p>
          <w:p w14:paraId="15B44001" w14:textId="1F6F652A" w:rsidR="00E52C95" w:rsidRPr="008E2C44" w:rsidRDefault="00E52C95" w:rsidP="005E0101">
            <w:pPr>
              <w:pStyle w:val="ab"/>
              <w:spacing w:before="0" w:beforeAutospacing="0" w:after="0" w:afterAutospacing="0"/>
              <w:rPr>
                <w:color w:val="000000"/>
              </w:rPr>
            </w:pPr>
            <w:r w:rsidRPr="0090118C">
              <w:rPr>
                <w:color w:val="000000"/>
              </w:rPr>
              <w:t xml:space="preserve">Повышение активности </w:t>
            </w:r>
            <w:r>
              <w:rPr>
                <w:color w:val="000000"/>
              </w:rPr>
              <w:t>АСТ</w:t>
            </w:r>
          </w:p>
        </w:tc>
        <w:tc>
          <w:tcPr>
            <w:tcW w:w="3578" w:type="dxa"/>
            <w:vAlign w:val="center"/>
          </w:tcPr>
          <w:p w14:paraId="3F081711" w14:textId="3D7DB81A" w:rsidR="00E52C95" w:rsidRPr="0090118C" w:rsidRDefault="00E52C95" w:rsidP="005E0101">
            <w:pPr>
              <w:pStyle w:val="ab"/>
              <w:spacing w:before="0" w:beforeAutospacing="0" w:after="0" w:afterAutospacing="0"/>
              <w:rPr>
                <w:color w:val="000000"/>
              </w:rPr>
            </w:pPr>
            <w:r w:rsidRPr="0090118C">
              <w:rPr>
                <w:color w:val="000000"/>
              </w:rPr>
              <w:t>Гипоальбуминемия</w:t>
            </w:r>
            <w:r w:rsidR="00252AB5" w:rsidRPr="0068400D">
              <w:rPr>
                <w:color w:val="000000"/>
                <w:vertAlign w:val="superscript"/>
                <w:lang w:val="en-US"/>
              </w:rPr>
              <w:t>j</w:t>
            </w:r>
          </w:p>
          <w:p w14:paraId="3469C390" w14:textId="77777777" w:rsidR="00E52C95" w:rsidRDefault="00E52C95" w:rsidP="005E0101">
            <w:pPr>
              <w:pStyle w:val="ab"/>
              <w:spacing w:before="0" w:beforeAutospacing="0" w:after="0" w:afterAutospacing="0"/>
              <w:rPr>
                <w:color w:val="000000"/>
              </w:rPr>
            </w:pPr>
            <w:r w:rsidRPr="0090118C">
              <w:rPr>
                <w:color w:val="000000"/>
              </w:rPr>
              <w:t xml:space="preserve">Повышение активности </w:t>
            </w:r>
            <w:r>
              <w:rPr>
                <w:color w:val="000000"/>
              </w:rPr>
              <w:t>АЛТ</w:t>
            </w:r>
          </w:p>
          <w:p w14:paraId="588043BA" w14:textId="77777777" w:rsidR="00E52C95" w:rsidRDefault="00E52C95" w:rsidP="005E0101">
            <w:pPr>
              <w:pStyle w:val="ab"/>
              <w:spacing w:before="0" w:beforeAutospacing="0" w:after="0" w:afterAutospacing="0"/>
              <w:rPr>
                <w:color w:val="000000"/>
              </w:rPr>
            </w:pPr>
            <w:r w:rsidRPr="0090118C">
              <w:rPr>
                <w:color w:val="000000"/>
              </w:rPr>
              <w:t xml:space="preserve">Повышение активности </w:t>
            </w:r>
            <w:r>
              <w:rPr>
                <w:color w:val="000000"/>
              </w:rPr>
              <w:t>АСТ</w:t>
            </w:r>
          </w:p>
          <w:p w14:paraId="4BB31D4C" w14:textId="77777777" w:rsidR="00E52C95" w:rsidRPr="000D1198" w:rsidRDefault="00E52C95" w:rsidP="005E0101">
            <w:pPr>
              <w:pStyle w:val="ab"/>
              <w:spacing w:before="0" w:beforeAutospacing="0" w:after="0" w:afterAutospacing="0"/>
              <w:rPr>
                <w:b/>
                <w:bCs/>
                <w:color w:val="000000"/>
              </w:rPr>
            </w:pPr>
            <w:r w:rsidRPr="0090118C">
              <w:rPr>
                <w:color w:val="000000"/>
              </w:rPr>
              <w:t xml:space="preserve">Повышение активности </w:t>
            </w:r>
            <w:r>
              <w:rPr>
                <w:color w:val="000000"/>
              </w:rPr>
              <w:t>щелочной фосфатазы</w:t>
            </w:r>
          </w:p>
        </w:tc>
      </w:tr>
      <w:tr w:rsidR="00E52C95" w14:paraId="2D6D102C" w14:textId="77777777" w:rsidTr="009964DD">
        <w:tc>
          <w:tcPr>
            <w:tcW w:w="2199" w:type="dxa"/>
            <w:vAlign w:val="center"/>
          </w:tcPr>
          <w:p w14:paraId="5B301982" w14:textId="77777777" w:rsidR="00E52C95" w:rsidRPr="00132AAB" w:rsidRDefault="00E52C95" w:rsidP="005E0101">
            <w:pPr>
              <w:pStyle w:val="ab"/>
              <w:spacing w:before="0" w:beforeAutospacing="0" w:after="0" w:afterAutospacing="0"/>
              <w:jc w:val="both"/>
            </w:pPr>
            <w:r w:rsidRPr="002D2DC7">
              <w:t>Часто</w:t>
            </w:r>
          </w:p>
        </w:tc>
        <w:tc>
          <w:tcPr>
            <w:tcW w:w="3569" w:type="dxa"/>
            <w:vAlign w:val="center"/>
          </w:tcPr>
          <w:p w14:paraId="5F4F7886" w14:textId="77777777" w:rsidR="00E52C95" w:rsidRPr="009413DC" w:rsidRDefault="00E52C95" w:rsidP="005E0101">
            <w:pPr>
              <w:pStyle w:val="ab"/>
              <w:spacing w:before="0" w:beforeAutospacing="0" w:after="0" w:afterAutospacing="0"/>
              <w:rPr>
                <w:color w:val="000000"/>
              </w:rPr>
            </w:pPr>
            <w:r w:rsidRPr="009413DC">
              <w:rPr>
                <w:color w:val="000000"/>
              </w:rPr>
              <w:t>Печеночная недостаточность</w:t>
            </w:r>
            <w:r>
              <w:rPr>
                <w:color w:val="000000"/>
              </w:rPr>
              <w:t>†</w:t>
            </w:r>
            <w:r w:rsidRPr="00EB1B5E">
              <w:rPr>
                <w:color w:val="000000"/>
                <w:vertAlign w:val="superscript"/>
              </w:rPr>
              <w:t>,</w:t>
            </w:r>
            <w:r w:rsidRPr="00EB1B5E">
              <w:rPr>
                <w:color w:val="000000"/>
                <w:vertAlign w:val="superscript"/>
                <w:lang w:val="en-US"/>
              </w:rPr>
              <w:t>k</w:t>
            </w:r>
            <w:r w:rsidRPr="009413DC">
              <w:rPr>
                <w:color w:val="000000"/>
              </w:rPr>
              <w:t xml:space="preserve"> </w:t>
            </w:r>
          </w:p>
          <w:p w14:paraId="06CFA6E4" w14:textId="77777777" w:rsidR="00E52C95" w:rsidRPr="009413DC" w:rsidRDefault="00E52C95" w:rsidP="005E0101">
            <w:pPr>
              <w:pStyle w:val="ab"/>
              <w:spacing w:before="0" w:beforeAutospacing="0" w:after="0" w:afterAutospacing="0"/>
              <w:rPr>
                <w:color w:val="000000"/>
              </w:rPr>
            </w:pPr>
            <w:r w:rsidRPr="009413DC">
              <w:rPr>
                <w:color w:val="000000"/>
              </w:rPr>
              <w:t>Печеночная энцефалопатия</w:t>
            </w:r>
            <w:r>
              <w:rPr>
                <w:color w:val="000000"/>
              </w:rPr>
              <w:t>†</w:t>
            </w:r>
            <w:r w:rsidRPr="0068400D">
              <w:rPr>
                <w:color w:val="000000"/>
                <w:vertAlign w:val="superscript"/>
              </w:rPr>
              <w:t>,</w:t>
            </w:r>
            <w:r>
              <w:rPr>
                <w:color w:val="000000"/>
                <w:vertAlign w:val="superscript"/>
                <w:lang w:val="en-US"/>
              </w:rPr>
              <w:t>l</w:t>
            </w:r>
            <w:r w:rsidRPr="009413DC">
              <w:rPr>
                <w:color w:val="000000"/>
              </w:rPr>
              <w:t xml:space="preserve"> Повышение активности щелочной фосфатазы</w:t>
            </w:r>
          </w:p>
          <w:p w14:paraId="6742361E" w14:textId="77777777" w:rsidR="00E52C95" w:rsidRDefault="00E52C95" w:rsidP="005E0101">
            <w:pPr>
              <w:pStyle w:val="ab"/>
              <w:spacing w:before="0" w:beforeAutospacing="0" w:after="0" w:afterAutospacing="0"/>
              <w:rPr>
                <w:color w:val="000000"/>
              </w:rPr>
            </w:pPr>
            <w:r w:rsidRPr="009413DC">
              <w:rPr>
                <w:color w:val="000000"/>
              </w:rPr>
              <w:t xml:space="preserve">Нарушение функции печени </w:t>
            </w:r>
          </w:p>
          <w:p w14:paraId="72230D10" w14:textId="77777777" w:rsidR="00E52C95" w:rsidRPr="009413DC" w:rsidRDefault="00E52C95" w:rsidP="005E0101">
            <w:pPr>
              <w:pStyle w:val="ab"/>
              <w:spacing w:before="0" w:beforeAutospacing="0" w:after="0" w:afterAutospacing="0"/>
              <w:rPr>
                <w:color w:val="000000"/>
              </w:rPr>
            </w:pPr>
            <w:r w:rsidRPr="009413DC">
              <w:rPr>
                <w:color w:val="000000"/>
              </w:rPr>
              <w:t>Повышение активности гамма-</w:t>
            </w:r>
          </w:p>
          <w:p w14:paraId="45B91BCB" w14:textId="77777777" w:rsidR="00E52C95" w:rsidRPr="000D1198" w:rsidRDefault="00E52C95" w:rsidP="005E0101">
            <w:pPr>
              <w:pStyle w:val="ab"/>
              <w:spacing w:before="0" w:beforeAutospacing="0" w:after="0" w:afterAutospacing="0"/>
              <w:jc w:val="both"/>
              <w:rPr>
                <w:b/>
                <w:bCs/>
                <w:color w:val="000000"/>
              </w:rPr>
            </w:pPr>
            <w:r w:rsidRPr="009413DC">
              <w:rPr>
                <w:color w:val="000000"/>
              </w:rPr>
              <w:t>глутамилтрансферазы Холецистит</w:t>
            </w:r>
          </w:p>
        </w:tc>
        <w:tc>
          <w:tcPr>
            <w:tcW w:w="3578" w:type="dxa"/>
            <w:vAlign w:val="center"/>
          </w:tcPr>
          <w:p w14:paraId="696C13AF" w14:textId="77777777" w:rsidR="00E52C95" w:rsidRPr="009413DC" w:rsidRDefault="00E52C95" w:rsidP="005E0101">
            <w:pPr>
              <w:pStyle w:val="ab"/>
              <w:spacing w:before="0" w:beforeAutospacing="0" w:after="0" w:afterAutospacing="0"/>
              <w:rPr>
                <w:color w:val="000000"/>
              </w:rPr>
            </w:pPr>
            <w:r w:rsidRPr="009413DC">
              <w:rPr>
                <w:color w:val="000000"/>
              </w:rPr>
              <w:t>Холецистит</w:t>
            </w:r>
          </w:p>
          <w:p w14:paraId="723C11B7" w14:textId="77777777" w:rsidR="00E52C95" w:rsidRDefault="00E52C95" w:rsidP="005E0101">
            <w:pPr>
              <w:pStyle w:val="ab"/>
              <w:spacing w:before="0" w:beforeAutospacing="0" w:after="0" w:afterAutospacing="0"/>
              <w:rPr>
                <w:color w:val="000000"/>
              </w:rPr>
            </w:pPr>
            <w:r w:rsidRPr="009413DC">
              <w:rPr>
                <w:color w:val="000000"/>
              </w:rPr>
              <w:t xml:space="preserve">Нарушение функции печени </w:t>
            </w:r>
          </w:p>
          <w:p w14:paraId="05807DF7" w14:textId="77777777" w:rsidR="00E52C95" w:rsidRPr="000D1198" w:rsidRDefault="00E52C95" w:rsidP="005E0101">
            <w:pPr>
              <w:pStyle w:val="ab"/>
              <w:spacing w:before="0" w:beforeAutospacing="0" w:after="0" w:afterAutospacing="0"/>
              <w:rPr>
                <w:b/>
                <w:bCs/>
                <w:color w:val="000000"/>
              </w:rPr>
            </w:pPr>
            <w:r w:rsidRPr="009413DC">
              <w:rPr>
                <w:color w:val="000000"/>
              </w:rPr>
              <w:t>Повышение концентрации билирубина в крови</w:t>
            </w:r>
            <w:r w:rsidRPr="0068400D">
              <w:rPr>
                <w:color w:val="000000"/>
                <w:vertAlign w:val="superscript"/>
                <w:lang w:val="en-US"/>
              </w:rPr>
              <w:t>j</w:t>
            </w:r>
            <w:r w:rsidRPr="009413DC">
              <w:rPr>
                <w:color w:val="000000"/>
              </w:rPr>
              <w:t xml:space="preserve"> Повышение активности гамма- глутамилтрансферазы</w:t>
            </w:r>
          </w:p>
        </w:tc>
      </w:tr>
      <w:tr w:rsidR="00E52C95" w14:paraId="5FDF53C2" w14:textId="77777777" w:rsidTr="009964DD">
        <w:tc>
          <w:tcPr>
            <w:tcW w:w="2199" w:type="dxa"/>
            <w:vAlign w:val="center"/>
          </w:tcPr>
          <w:p w14:paraId="4C123E9A" w14:textId="77777777" w:rsidR="00E52C95" w:rsidRPr="00132AAB" w:rsidRDefault="00E52C95" w:rsidP="005E0101">
            <w:pPr>
              <w:pStyle w:val="ab"/>
              <w:spacing w:before="0" w:beforeAutospacing="0" w:after="0" w:afterAutospacing="0"/>
              <w:jc w:val="both"/>
            </w:pPr>
            <w:r w:rsidRPr="00132AAB">
              <w:t>Нечасто</w:t>
            </w:r>
          </w:p>
        </w:tc>
        <w:tc>
          <w:tcPr>
            <w:tcW w:w="3569" w:type="dxa"/>
            <w:vAlign w:val="center"/>
          </w:tcPr>
          <w:p w14:paraId="72F872E2" w14:textId="77777777" w:rsidR="00E52C95" w:rsidRPr="009413DC" w:rsidRDefault="00E52C95" w:rsidP="005E0101">
            <w:pPr>
              <w:pStyle w:val="ab"/>
              <w:spacing w:before="0" w:beforeAutospacing="0" w:after="0" w:afterAutospacing="0"/>
              <w:rPr>
                <w:color w:val="000000"/>
              </w:rPr>
            </w:pPr>
            <w:r w:rsidRPr="009413DC">
              <w:rPr>
                <w:color w:val="000000"/>
              </w:rPr>
              <w:t>Повреждение клеток</w:t>
            </w:r>
          </w:p>
          <w:p w14:paraId="405C393E" w14:textId="77777777" w:rsidR="00E52C95" w:rsidRPr="009413DC" w:rsidRDefault="00E52C95" w:rsidP="005E0101">
            <w:pPr>
              <w:pStyle w:val="ab"/>
              <w:spacing w:before="0" w:beforeAutospacing="0" w:after="0" w:afterAutospacing="0"/>
              <w:jc w:val="both"/>
              <w:rPr>
                <w:color w:val="000000"/>
              </w:rPr>
            </w:pPr>
            <w:r w:rsidRPr="009413DC">
              <w:rPr>
                <w:color w:val="000000"/>
              </w:rPr>
              <w:t>печени/гепатит</w:t>
            </w:r>
            <w:r w:rsidRPr="00EB1B5E">
              <w:rPr>
                <w:color w:val="000000"/>
                <w:vertAlign w:val="superscript"/>
                <w:lang w:val="en-US"/>
              </w:rPr>
              <w:t>m</w:t>
            </w:r>
          </w:p>
        </w:tc>
        <w:tc>
          <w:tcPr>
            <w:tcW w:w="3578" w:type="dxa"/>
            <w:vAlign w:val="center"/>
          </w:tcPr>
          <w:p w14:paraId="2D0CE427" w14:textId="77777777" w:rsidR="00E52C95" w:rsidRPr="009413DC" w:rsidRDefault="00E52C95" w:rsidP="005E0101">
            <w:pPr>
              <w:pStyle w:val="ab"/>
              <w:spacing w:before="0" w:beforeAutospacing="0" w:after="0" w:afterAutospacing="0"/>
              <w:rPr>
                <w:color w:val="000000"/>
              </w:rPr>
            </w:pPr>
            <w:r w:rsidRPr="009413DC">
              <w:rPr>
                <w:color w:val="000000"/>
              </w:rPr>
              <w:t>Печеночная недостаточность</w:t>
            </w:r>
            <w:r>
              <w:rPr>
                <w:color w:val="000000"/>
              </w:rPr>
              <w:t>†</w:t>
            </w:r>
            <w:r w:rsidRPr="0068400D">
              <w:rPr>
                <w:color w:val="000000"/>
                <w:vertAlign w:val="superscript"/>
              </w:rPr>
              <w:t>,</w:t>
            </w:r>
            <w:r w:rsidRPr="0068400D">
              <w:rPr>
                <w:color w:val="000000"/>
                <w:vertAlign w:val="superscript"/>
                <w:lang w:val="en-US"/>
              </w:rPr>
              <w:t>k</w:t>
            </w:r>
          </w:p>
          <w:p w14:paraId="629983D5" w14:textId="77777777" w:rsidR="00E52C95" w:rsidRDefault="00E52C95" w:rsidP="005E0101">
            <w:pPr>
              <w:pStyle w:val="ab"/>
              <w:spacing w:before="0" w:beforeAutospacing="0" w:after="0" w:afterAutospacing="0"/>
              <w:rPr>
                <w:color w:val="000000"/>
              </w:rPr>
            </w:pPr>
            <w:r w:rsidRPr="009413DC">
              <w:rPr>
                <w:color w:val="000000"/>
              </w:rPr>
              <w:t>Печеночная энцефалопатия</w:t>
            </w:r>
            <w:r>
              <w:rPr>
                <w:color w:val="000000"/>
              </w:rPr>
              <w:t>†</w:t>
            </w:r>
            <w:r w:rsidRPr="0068400D">
              <w:rPr>
                <w:color w:val="000000"/>
                <w:vertAlign w:val="superscript"/>
              </w:rPr>
              <w:t>,</w:t>
            </w:r>
            <w:r>
              <w:rPr>
                <w:color w:val="000000"/>
                <w:vertAlign w:val="superscript"/>
                <w:lang w:val="en-US"/>
              </w:rPr>
              <w:t>l</w:t>
            </w:r>
          </w:p>
          <w:p w14:paraId="36637026" w14:textId="77777777" w:rsidR="00E52C95" w:rsidRPr="009413DC" w:rsidRDefault="00E52C95" w:rsidP="005E0101">
            <w:pPr>
              <w:pStyle w:val="ab"/>
              <w:spacing w:before="0" w:beforeAutospacing="0" w:after="0" w:afterAutospacing="0"/>
              <w:rPr>
                <w:color w:val="000000"/>
              </w:rPr>
            </w:pPr>
            <w:r w:rsidRPr="009413DC">
              <w:rPr>
                <w:color w:val="000000"/>
              </w:rPr>
              <w:t>Повреждение клеток</w:t>
            </w:r>
          </w:p>
          <w:p w14:paraId="1FD23F9E" w14:textId="77777777" w:rsidR="00E52C95" w:rsidRPr="000D1198" w:rsidRDefault="00E52C95" w:rsidP="005E0101">
            <w:pPr>
              <w:pStyle w:val="ab"/>
              <w:spacing w:before="0" w:beforeAutospacing="0" w:after="0" w:afterAutospacing="0"/>
              <w:rPr>
                <w:b/>
                <w:bCs/>
                <w:color w:val="000000"/>
              </w:rPr>
            </w:pPr>
            <w:r w:rsidRPr="009413DC">
              <w:rPr>
                <w:color w:val="000000"/>
              </w:rPr>
              <w:t>печени/гепатит</w:t>
            </w:r>
            <w:r w:rsidRPr="0068400D">
              <w:rPr>
                <w:color w:val="000000"/>
                <w:vertAlign w:val="superscript"/>
                <w:lang w:val="en-US"/>
              </w:rPr>
              <w:t>m</w:t>
            </w:r>
          </w:p>
        </w:tc>
      </w:tr>
      <w:tr w:rsidR="00E52C95" w14:paraId="47ACE892" w14:textId="77777777" w:rsidTr="009964DD">
        <w:tc>
          <w:tcPr>
            <w:tcW w:w="9346" w:type="dxa"/>
            <w:gridSpan w:val="3"/>
            <w:vAlign w:val="center"/>
          </w:tcPr>
          <w:p w14:paraId="159D1EA2" w14:textId="77777777" w:rsidR="00E52C95" w:rsidRPr="000D1198" w:rsidRDefault="00E52C95" w:rsidP="005E0101">
            <w:pPr>
              <w:pStyle w:val="ab"/>
              <w:rPr>
                <w:b/>
                <w:bCs/>
                <w:color w:val="000000"/>
              </w:rPr>
            </w:pPr>
            <w:r w:rsidRPr="009413DC">
              <w:rPr>
                <w:b/>
                <w:bCs/>
              </w:rPr>
              <w:t>Нарушения со стороны кожи и подкожной клетчатки</w:t>
            </w:r>
          </w:p>
        </w:tc>
      </w:tr>
      <w:tr w:rsidR="00E52C95" w14:paraId="00297705" w14:textId="77777777" w:rsidTr="009964DD">
        <w:tc>
          <w:tcPr>
            <w:tcW w:w="2199" w:type="dxa"/>
            <w:vAlign w:val="center"/>
          </w:tcPr>
          <w:p w14:paraId="4F62F9F6" w14:textId="77777777" w:rsidR="00E52C95" w:rsidRPr="00132AAB" w:rsidRDefault="00E52C95" w:rsidP="005E0101">
            <w:pPr>
              <w:pStyle w:val="ab"/>
              <w:spacing w:before="0" w:beforeAutospacing="0" w:after="0" w:afterAutospacing="0"/>
              <w:jc w:val="both"/>
            </w:pPr>
            <w:r w:rsidRPr="002D2DC7">
              <w:t>Очень часто</w:t>
            </w:r>
          </w:p>
        </w:tc>
        <w:tc>
          <w:tcPr>
            <w:tcW w:w="3569" w:type="dxa"/>
            <w:vAlign w:val="center"/>
          </w:tcPr>
          <w:p w14:paraId="231C32CD" w14:textId="77777777" w:rsidR="00E52C95" w:rsidRPr="009A6138" w:rsidRDefault="00E52C95" w:rsidP="005E0101">
            <w:pPr>
              <w:pStyle w:val="ab"/>
              <w:spacing w:before="0" w:beforeAutospacing="0" w:after="0" w:afterAutospacing="0"/>
              <w:rPr>
                <w:color w:val="000000"/>
              </w:rPr>
            </w:pPr>
            <w:r w:rsidRPr="009A6138">
              <w:rPr>
                <w:color w:val="000000"/>
              </w:rPr>
              <w:t xml:space="preserve">Синдром </w:t>
            </w:r>
            <w:r>
              <w:rPr>
                <w:color w:val="000000"/>
              </w:rPr>
              <w:t>ЛПЭ</w:t>
            </w:r>
          </w:p>
          <w:p w14:paraId="0BD5B38C" w14:textId="77777777" w:rsidR="00E52C95" w:rsidRPr="009A6138" w:rsidRDefault="00E52C95" w:rsidP="005E0101">
            <w:pPr>
              <w:pStyle w:val="ab"/>
              <w:spacing w:before="0" w:beforeAutospacing="0" w:after="0" w:afterAutospacing="0"/>
              <w:rPr>
                <w:color w:val="000000"/>
              </w:rPr>
            </w:pPr>
            <w:r w:rsidRPr="009A6138">
              <w:rPr>
                <w:color w:val="000000"/>
              </w:rPr>
              <w:lastRenderedPageBreak/>
              <w:t>Сыпь</w:t>
            </w:r>
          </w:p>
          <w:p w14:paraId="2055C9DE" w14:textId="77777777" w:rsidR="00E52C95" w:rsidRPr="000D1198" w:rsidRDefault="00E52C95" w:rsidP="005E0101">
            <w:pPr>
              <w:pStyle w:val="ab"/>
              <w:spacing w:before="0" w:beforeAutospacing="0" w:after="0" w:afterAutospacing="0"/>
              <w:jc w:val="both"/>
              <w:rPr>
                <w:b/>
                <w:bCs/>
                <w:color w:val="000000"/>
              </w:rPr>
            </w:pPr>
            <w:r w:rsidRPr="009A6138">
              <w:rPr>
                <w:color w:val="000000"/>
              </w:rPr>
              <w:t>Алопеция</w:t>
            </w:r>
          </w:p>
        </w:tc>
        <w:tc>
          <w:tcPr>
            <w:tcW w:w="3578" w:type="dxa"/>
            <w:vAlign w:val="center"/>
          </w:tcPr>
          <w:p w14:paraId="162E127B" w14:textId="77777777" w:rsidR="00E52C95" w:rsidRPr="009A6138" w:rsidRDefault="00E52C95" w:rsidP="005E0101">
            <w:pPr>
              <w:pStyle w:val="ab"/>
              <w:spacing w:before="0" w:beforeAutospacing="0" w:after="0" w:afterAutospacing="0"/>
              <w:rPr>
                <w:color w:val="000000"/>
              </w:rPr>
            </w:pPr>
            <w:r w:rsidRPr="009A6138">
              <w:rPr>
                <w:color w:val="000000"/>
              </w:rPr>
              <w:lastRenderedPageBreak/>
              <w:t xml:space="preserve">Синдром </w:t>
            </w:r>
            <w:r>
              <w:rPr>
                <w:color w:val="000000"/>
              </w:rPr>
              <w:t>ЛПЭ</w:t>
            </w:r>
          </w:p>
          <w:p w14:paraId="0087C171" w14:textId="77777777" w:rsidR="00E52C95" w:rsidRPr="009A6138" w:rsidRDefault="00E52C95" w:rsidP="005E0101">
            <w:pPr>
              <w:pStyle w:val="ab"/>
              <w:spacing w:before="0" w:beforeAutospacing="0" w:after="0" w:afterAutospacing="0"/>
              <w:rPr>
                <w:color w:val="000000"/>
              </w:rPr>
            </w:pPr>
            <w:r w:rsidRPr="009A6138">
              <w:rPr>
                <w:color w:val="000000"/>
              </w:rPr>
              <w:lastRenderedPageBreak/>
              <w:t>Сыпь</w:t>
            </w:r>
          </w:p>
          <w:p w14:paraId="7314CDD6" w14:textId="77777777" w:rsidR="00E52C95" w:rsidRPr="000D1198" w:rsidRDefault="00E52C95" w:rsidP="005E0101">
            <w:pPr>
              <w:pStyle w:val="ab"/>
              <w:rPr>
                <w:b/>
                <w:bCs/>
                <w:color w:val="000000"/>
              </w:rPr>
            </w:pPr>
          </w:p>
        </w:tc>
      </w:tr>
      <w:tr w:rsidR="00E52C95" w14:paraId="664A7B01" w14:textId="77777777" w:rsidTr="009964DD">
        <w:tc>
          <w:tcPr>
            <w:tcW w:w="2199" w:type="dxa"/>
            <w:vAlign w:val="center"/>
          </w:tcPr>
          <w:p w14:paraId="51C7A59A" w14:textId="77777777" w:rsidR="00E52C95" w:rsidRPr="00132AAB" w:rsidRDefault="00E52C95" w:rsidP="005E0101">
            <w:pPr>
              <w:pStyle w:val="ab"/>
              <w:spacing w:before="0" w:beforeAutospacing="0" w:after="0" w:afterAutospacing="0"/>
              <w:jc w:val="both"/>
            </w:pPr>
            <w:r w:rsidRPr="002D2DC7">
              <w:lastRenderedPageBreak/>
              <w:t>Часто</w:t>
            </w:r>
          </w:p>
        </w:tc>
        <w:tc>
          <w:tcPr>
            <w:tcW w:w="3569" w:type="dxa"/>
            <w:vAlign w:val="center"/>
          </w:tcPr>
          <w:p w14:paraId="7328D3EB" w14:textId="77777777" w:rsidR="00E52C95" w:rsidRPr="009A6138" w:rsidRDefault="00E52C95" w:rsidP="005E0101">
            <w:pPr>
              <w:pStyle w:val="ab"/>
              <w:spacing w:before="0" w:beforeAutospacing="0" w:after="0" w:afterAutospacing="0"/>
              <w:jc w:val="both"/>
              <w:rPr>
                <w:color w:val="000000"/>
              </w:rPr>
            </w:pPr>
            <w:r w:rsidRPr="009A6138">
              <w:rPr>
                <w:color w:val="000000"/>
              </w:rPr>
              <w:t>Гиперкератоз</w:t>
            </w:r>
          </w:p>
        </w:tc>
        <w:tc>
          <w:tcPr>
            <w:tcW w:w="3578" w:type="dxa"/>
            <w:vAlign w:val="center"/>
          </w:tcPr>
          <w:p w14:paraId="0056D7D6" w14:textId="77777777" w:rsidR="00E52C95" w:rsidRDefault="00E52C95" w:rsidP="005E0101">
            <w:pPr>
              <w:pStyle w:val="ab"/>
              <w:spacing w:before="0" w:beforeAutospacing="0" w:after="0" w:afterAutospacing="0"/>
              <w:rPr>
                <w:color w:val="000000"/>
              </w:rPr>
            </w:pPr>
            <w:r w:rsidRPr="009A6138">
              <w:rPr>
                <w:color w:val="000000"/>
              </w:rPr>
              <w:t>Алопеция</w:t>
            </w:r>
          </w:p>
          <w:p w14:paraId="1EA2CACA" w14:textId="77777777" w:rsidR="00E52C95" w:rsidRPr="000D1198" w:rsidRDefault="00E52C95" w:rsidP="005E0101">
            <w:pPr>
              <w:pStyle w:val="ab"/>
              <w:spacing w:before="0" w:beforeAutospacing="0" w:after="0" w:afterAutospacing="0"/>
              <w:rPr>
                <w:b/>
                <w:bCs/>
                <w:color w:val="000000"/>
              </w:rPr>
            </w:pPr>
            <w:r w:rsidRPr="009A6138">
              <w:rPr>
                <w:color w:val="000000"/>
              </w:rPr>
              <w:t>Гиперкератоз</w:t>
            </w:r>
          </w:p>
        </w:tc>
      </w:tr>
      <w:tr w:rsidR="00E52C95" w14:paraId="6F95A9DF" w14:textId="77777777" w:rsidTr="009964DD">
        <w:tc>
          <w:tcPr>
            <w:tcW w:w="9346" w:type="dxa"/>
            <w:gridSpan w:val="3"/>
            <w:vAlign w:val="center"/>
          </w:tcPr>
          <w:p w14:paraId="525DB280" w14:textId="77777777" w:rsidR="00E52C95" w:rsidRPr="000D1198" w:rsidRDefault="00E52C95" w:rsidP="005E0101">
            <w:pPr>
              <w:pStyle w:val="ab"/>
              <w:rPr>
                <w:b/>
                <w:bCs/>
                <w:color w:val="000000"/>
              </w:rPr>
            </w:pPr>
            <w:r w:rsidRPr="00F94C19">
              <w:rPr>
                <w:b/>
                <w:bCs/>
              </w:rPr>
              <w:t>Нарушения со стороны мышечной, скелетной и соединительной ткани</w:t>
            </w:r>
          </w:p>
        </w:tc>
      </w:tr>
      <w:tr w:rsidR="00E52C95" w14:paraId="27229A49" w14:textId="77777777" w:rsidTr="009964DD">
        <w:tc>
          <w:tcPr>
            <w:tcW w:w="2199" w:type="dxa"/>
            <w:vAlign w:val="center"/>
          </w:tcPr>
          <w:p w14:paraId="5BA2B3E4" w14:textId="77777777" w:rsidR="00E52C95" w:rsidRPr="00132AAB" w:rsidRDefault="00E52C95" w:rsidP="005E0101">
            <w:pPr>
              <w:pStyle w:val="ab"/>
              <w:spacing w:before="0" w:beforeAutospacing="0" w:after="0" w:afterAutospacing="0"/>
              <w:jc w:val="both"/>
            </w:pPr>
            <w:r w:rsidRPr="002D2DC7">
              <w:t>Очень часто</w:t>
            </w:r>
          </w:p>
        </w:tc>
        <w:tc>
          <w:tcPr>
            <w:tcW w:w="3569" w:type="dxa"/>
            <w:vAlign w:val="center"/>
          </w:tcPr>
          <w:p w14:paraId="0BDC109E" w14:textId="77777777" w:rsidR="00E52C95" w:rsidRPr="00F94C19" w:rsidRDefault="00E52C95" w:rsidP="005E0101">
            <w:pPr>
              <w:pStyle w:val="ab"/>
              <w:spacing w:before="0" w:beforeAutospacing="0" w:after="0" w:afterAutospacing="0"/>
              <w:rPr>
                <w:color w:val="000000"/>
              </w:rPr>
            </w:pPr>
            <w:r w:rsidRPr="00F94C19">
              <w:rPr>
                <w:color w:val="000000"/>
              </w:rPr>
              <w:t>Боль в спине</w:t>
            </w:r>
          </w:p>
          <w:p w14:paraId="14762843" w14:textId="77777777" w:rsidR="00E52C95" w:rsidRPr="00F94C19" w:rsidRDefault="00E52C95" w:rsidP="005E0101">
            <w:pPr>
              <w:pStyle w:val="ab"/>
              <w:spacing w:before="0" w:beforeAutospacing="0" w:after="0" w:afterAutospacing="0"/>
              <w:rPr>
                <w:color w:val="000000"/>
              </w:rPr>
            </w:pPr>
            <w:r w:rsidRPr="00F94C19">
              <w:rPr>
                <w:color w:val="000000"/>
              </w:rPr>
              <w:t>Артралгия</w:t>
            </w:r>
          </w:p>
          <w:p w14:paraId="13F341EC" w14:textId="77777777" w:rsidR="00E52C95" w:rsidRPr="00F94C19" w:rsidRDefault="00E52C95" w:rsidP="005E0101">
            <w:pPr>
              <w:pStyle w:val="ab"/>
              <w:spacing w:before="0" w:beforeAutospacing="0" w:after="0" w:afterAutospacing="0"/>
              <w:rPr>
                <w:color w:val="000000"/>
              </w:rPr>
            </w:pPr>
            <w:r w:rsidRPr="00F94C19">
              <w:rPr>
                <w:color w:val="000000"/>
              </w:rPr>
              <w:t>Миалгия</w:t>
            </w:r>
          </w:p>
          <w:p w14:paraId="7634BB52" w14:textId="77777777" w:rsidR="00E52C95" w:rsidRDefault="00E52C95" w:rsidP="005E0101">
            <w:pPr>
              <w:pStyle w:val="ab"/>
              <w:spacing w:before="0" w:beforeAutospacing="0" w:after="0" w:afterAutospacing="0"/>
              <w:rPr>
                <w:color w:val="000000"/>
              </w:rPr>
            </w:pPr>
            <w:r w:rsidRPr="00F94C19">
              <w:rPr>
                <w:color w:val="000000"/>
              </w:rPr>
              <w:t xml:space="preserve">Боль в конечностях </w:t>
            </w:r>
          </w:p>
          <w:p w14:paraId="600328A8" w14:textId="77777777" w:rsidR="00E52C95" w:rsidRPr="000D1198" w:rsidRDefault="00E52C95" w:rsidP="005E0101">
            <w:pPr>
              <w:pStyle w:val="ab"/>
              <w:spacing w:before="0" w:beforeAutospacing="0" w:after="0" w:afterAutospacing="0"/>
              <w:rPr>
                <w:b/>
                <w:bCs/>
                <w:color w:val="000000"/>
              </w:rPr>
            </w:pPr>
            <w:r w:rsidRPr="00F94C19">
              <w:rPr>
                <w:color w:val="000000"/>
              </w:rPr>
              <w:t>Костно-мышечная боль</w:t>
            </w:r>
          </w:p>
        </w:tc>
        <w:tc>
          <w:tcPr>
            <w:tcW w:w="3578" w:type="dxa"/>
            <w:vAlign w:val="center"/>
          </w:tcPr>
          <w:p w14:paraId="743B9636" w14:textId="77777777" w:rsidR="00E52C95" w:rsidRPr="00F94C19" w:rsidRDefault="00E52C95" w:rsidP="005E0101">
            <w:pPr>
              <w:pStyle w:val="ab"/>
              <w:spacing w:before="0" w:beforeAutospacing="0" w:after="0" w:afterAutospacing="0"/>
              <w:jc w:val="both"/>
              <w:rPr>
                <w:color w:val="000000"/>
              </w:rPr>
            </w:pPr>
            <w:r w:rsidRPr="00F94C19">
              <w:rPr>
                <w:color w:val="000000"/>
              </w:rPr>
              <w:t>Боль в спине</w:t>
            </w:r>
          </w:p>
          <w:p w14:paraId="2CFE8603" w14:textId="77777777" w:rsidR="00E52C95" w:rsidRPr="00F94C19" w:rsidRDefault="00E52C95" w:rsidP="005E0101">
            <w:pPr>
              <w:pStyle w:val="ab"/>
              <w:spacing w:before="0" w:beforeAutospacing="0" w:after="0" w:afterAutospacing="0"/>
              <w:jc w:val="both"/>
              <w:rPr>
                <w:color w:val="000000"/>
              </w:rPr>
            </w:pPr>
            <w:r w:rsidRPr="00F94C19">
              <w:rPr>
                <w:color w:val="000000"/>
              </w:rPr>
              <w:t>Артралгия</w:t>
            </w:r>
          </w:p>
          <w:p w14:paraId="3B67E640" w14:textId="77777777" w:rsidR="00E52C95" w:rsidRPr="00F94C19" w:rsidRDefault="00E52C95" w:rsidP="005E0101">
            <w:pPr>
              <w:pStyle w:val="ab"/>
              <w:spacing w:before="0" w:beforeAutospacing="0" w:after="0" w:afterAutospacing="0"/>
              <w:rPr>
                <w:color w:val="000000"/>
              </w:rPr>
            </w:pPr>
            <w:r w:rsidRPr="00F94C19">
              <w:rPr>
                <w:color w:val="000000"/>
              </w:rPr>
              <w:t>Миалгия</w:t>
            </w:r>
          </w:p>
          <w:p w14:paraId="1BF8F1D4" w14:textId="77777777" w:rsidR="00E52C95" w:rsidRDefault="00E52C95" w:rsidP="005E0101">
            <w:pPr>
              <w:pStyle w:val="ab"/>
              <w:spacing w:before="0" w:beforeAutospacing="0" w:after="0" w:afterAutospacing="0"/>
              <w:rPr>
                <w:color w:val="000000"/>
              </w:rPr>
            </w:pPr>
            <w:r w:rsidRPr="00F94C19">
              <w:rPr>
                <w:color w:val="000000"/>
              </w:rPr>
              <w:t xml:space="preserve">Боль в конечностях </w:t>
            </w:r>
          </w:p>
          <w:p w14:paraId="38621DEB" w14:textId="77777777" w:rsidR="00E52C95" w:rsidRPr="000D1198" w:rsidRDefault="00E52C95" w:rsidP="005E0101">
            <w:pPr>
              <w:pStyle w:val="ab"/>
              <w:spacing w:before="0" w:beforeAutospacing="0" w:after="0" w:afterAutospacing="0"/>
              <w:rPr>
                <w:b/>
                <w:bCs/>
                <w:color w:val="000000"/>
              </w:rPr>
            </w:pPr>
            <w:r w:rsidRPr="00F94C19">
              <w:rPr>
                <w:color w:val="000000"/>
              </w:rPr>
              <w:t>Костно-мышечная боль</w:t>
            </w:r>
          </w:p>
        </w:tc>
      </w:tr>
      <w:tr w:rsidR="00E52C95" w14:paraId="780685E4" w14:textId="77777777" w:rsidTr="009964DD">
        <w:tc>
          <w:tcPr>
            <w:tcW w:w="2199" w:type="dxa"/>
            <w:vAlign w:val="center"/>
          </w:tcPr>
          <w:p w14:paraId="7585BB28" w14:textId="77777777" w:rsidR="00E52C95" w:rsidRPr="00132AAB" w:rsidRDefault="00E52C95" w:rsidP="005E0101">
            <w:pPr>
              <w:pStyle w:val="ab"/>
              <w:spacing w:before="0" w:beforeAutospacing="0" w:after="0" w:afterAutospacing="0"/>
              <w:jc w:val="both"/>
            </w:pPr>
            <w:r w:rsidRPr="00132AAB">
              <w:t>Нечасто</w:t>
            </w:r>
          </w:p>
        </w:tc>
        <w:tc>
          <w:tcPr>
            <w:tcW w:w="3569" w:type="dxa"/>
            <w:vAlign w:val="center"/>
          </w:tcPr>
          <w:p w14:paraId="2669E92A" w14:textId="77777777" w:rsidR="00E52C95" w:rsidRPr="00F94C19" w:rsidRDefault="00E52C95" w:rsidP="005E0101">
            <w:pPr>
              <w:pStyle w:val="ab"/>
              <w:spacing w:before="0" w:beforeAutospacing="0" w:after="0" w:afterAutospacing="0"/>
              <w:jc w:val="both"/>
              <w:rPr>
                <w:color w:val="000000"/>
              </w:rPr>
            </w:pPr>
            <w:r w:rsidRPr="00F94C19">
              <w:rPr>
                <w:color w:val="000000"/>
              </w:rPr>
              <w:t>Остеонекроз челюсти</w:t>
            </w:r>
          </w:p>
        </w:tc>
        <w:tc>
          <w:tcPr>
            <w:tcW w:w="3578" w:type="dxa"/>
            <w:vAlign w:val="center"/>
          </w:tcPr>
          <w:p w14:paraId="4822BF02" w14:textId="77777777" w:rsidR="00E52C95" w:rsidRPr="000D1198" w:rsidRDefault="00E52C95" w:rsidP="005E0101">
            <w:pPr>
              <w:pStyle w:val="ab"/>
              <w:rPr>
                <w:b/>
                <w:bCs/>
                <w:color w:val="000000"/>
              </w:rPr>
            </w:pPr>
          </w:p>
        </w:tc>
      </w:tr>
      <w:tr w:rsidR="00E52C95" w14:paraId="433B5827" w14:textId="77777777" w:rsidTr="009964DD">
        <w:tc>
          <w:tcPr>
            <w:tcW w:w="9346" w:type="dxa"/>
            <w:gridSpan w:val="3"/>
            <w:vAlign w:val="center"/>
          </w:tcPr>
          <w:p w14:paraId="2D4B77B0" w14:textId="77777777" w:rsidR="00E52C95" w:rsidRPr="000D1198" w:rsidRDefault="00E52C95" w:rsidP="005E0101">
            <w:pPr>
              <w:pStyle w:val="ab"/>
              <w:rPr>
                <w:b/>
                <w:bCs/>
                <w:color w:val="000000"/>
              </w:rPr>
            </w:pPr>
            <w:r w:rsidRPr="00F94C19">
              <w:rPr>
                <w:b/>
                <w:bCs/>
              </w:rPr>
              <w:t>Нарушения со стороны почек и мочевыводящих путей</w:t>
            </w:r>
          </w:p>
        </w:tc>
      </w:tr>
      <w:tr w:rsidR="00E52C95" w14:paraId="22D91EB8" w14:textId="77777777" w:rsidTr="009964DD">
        <w:tc>
          <w:tcPr>
            <w:tcW w:w="2199" w:type="dxa"/>
            <w:vAlign w:val="center"/>
          </w:tcPr>
          <w:p w14:paraId="56B1B95E" w14:textId="77777777" w:rsidR="00E52C95" w:rsidRPr="00132AAB" w:rsidRDefault="00E52C95" w:rsidP="005E0101">
            <w:pPr>
              <w:pStyle w:val="ab"/>
              <w:spacing w:before="0" w:beforeAutospacing="0" w:after="0" w:afterAutospacing="0"/>
              <w:jc w:val="both"/>
            </w:pPr>
            <w:r w:rsidRPr="002D2DC7">
              <w:t>Очень часто</w:t>
            </w:r>
          </w:p>
        </w:tc>
        <w:tc>
          <w:tcPr>
            <w:tcW w:w="3569" w:type="dxa"/>
            <w:vAlign w:val="center"/>
          </w:tcPr>
          <w:p w14:paraId="7B2125E2" w14:textId="77777777" w:rsidR="00E52C95" w:rsidRPr="000D1198" w:rsidRDefault="00E52C95" w:rsidP="005E0101">
            <w:pPr>
              <w:pStyle w:val="ab"/>
              <w:spacing w:before="0" w:beforeAutospacing="0" w:after="0" w:afterAutospacing="0"/>
              <w:jc w:val="both"/>
              <w:rPr>
                <w:b/>
                <w:bCs/>
                <w:color w:val="000000"/>
              </w:rPr>
            </w:pPr>
            <w:r w:rsidRPr="00063303">
              <w:rPr>
                <w:color w:val="000000"/>
              </w:rPr>
              <w:t>Протеинурия</w:t>
            </w:r>
          </w:p>
        </w:tc>
        <w:tc>
          <w:tcPr>
            <w:tcW w:w="3578" w:type="dxa"/>
            <w:vAlign w:val="center"/>
          </w:tcPr>
          <w:p w14:paraId="41B74E08" w14:textId="77777777" w:rsidR="00E52C95" w:rsidRPr="00063303" w:rsidRDefault="00E52C95" w:rsidP="005E0101">
            <w:pPr>
              <w:pStyle w:val="ab"/>
              <w:spacing w:before="0" w:beforeAutospacing="0" w:after="0" w:afterAutospacing="0"/>
              <w:rPr>
                <w:color w:val="000000"/>
              </w:rPr>
            </w:pPr>
            <w:r w:rsidRPr="00063303">
              <w:rPr>
                <w:color w:val="000000"/>
              </w:rPr>
              <w:t>Протеинурия</w:t>
            </w:r>
          </w:p>
          <w:p w14:paraId="3039575C" w14:textId="77777777" w:rsidR="00E52C95" w:rsidRPr="000D1198" w:rsidRDefault="00E52C95" w:rsidP="005E0101">
            <w:pPr>
              <w:pStyle w:val="ab"/>
              <w:spacing w:before="0" w:beforeAutospacing="0" w:after="0" w:afterAutospacing="0"/>
              <w:rPr>
                <w:b/>
                <w:bCs/>
                <w:color w:val="000000"/>
              </w:rPr>
            </w:pPr>
            <w:r w:rsidRPr="00063303">
              <w:rPr>
                <w:color w:val="000000"/>
              </w:rPr>
              <w:t>Повышение концентрации креатинина в крови</w:t>
            </w:r>
          </w:p>
        </w:tc>
      </w:tr>
      <w:tr w:rsidR="00E52C95" w14:paraId="377FEC0A" w14:textId="77777777" w:rsidTr="009964DD">
        <w:tc>
          <w:tcPr>
            <w:tcW w:w="2199" w:type="dxa"/>
            <w:vAlign w:val="center"/>
          </w:tcPr>
          <w:p w14:paraId="7E7C3874" w14:textId="77777777" w:rsidR="00E52C95" w:rsidRPr="00132AAB" w:rsidRDefault="00E52C95" w:rsidP="005E0101">
            <w:pPr>
              <w:pStyle w:val="ab"/>
              <w:spacing w:before="0" w:beforeAutospacing="0" w:after="0" w:afterAutospacing="0"/>
              <w:jc w:val="both"/>
            </w:pPr>
            <w:r w:rsidRPr="002D2DC7">
              <w:t>Часто</w:t>
            </w:r>
          </w:p>
        </w:tc>
        <w:tc>
          <w:tcPr>
            <w:tcW w:w="3569" w:type="dxa"/>
            <w:vAlign w:val="center"/>
          </w:tcPr>
          <w:p w14:paraId="7E8EC282" w14:textId="77777777" w:rsidR="00E52C95" w:rsidRDefault="00E52C95" w:rsidP="005E0101">
            <w:pPr>
              <w:pStyle w:val="ab"/>
              <w:spacing w:before="0" w:beforeAutospacing="0" w:after="0" w:afterAutospacing="0"/>
              <w:rPr>
                <w:color w:val="000000"/>
              </w:rPr>
            </w:pPr>
            <w:r w:rsidRPr="00063303">
              <w:rPr>
                <w:color w:val="000000"/>
              </w:rPr>
              <w:t>Эпизоды почечной недостаточности</w:t>
            </w:r>
            <w:r>
              <w:rPr>
                <w:color w:val="000000"/>
              </w:rPr>
              <w:t>†</w:t>
            </w:r>
            <w:r w:rsidRPr="0068400D">
              <w:rPr>
                <w:color w:val="000000"/>
                <w:vertAlign w:val="superscript"/>
              </w:rPr>
              <w:t>,</w:t>
            </w:r>
            <w:r>
              <w:rPr>
                <w:color w:val="000000"/>
                <w:vertAlign w:val="superscript"/>
                <w:lang w:val="en-US"/>
              </w:rPr>
              <w:t>n</w:t>
            </w:r>
            <w:r w:rsidRPr="00063303">
              <w:rPr>
                <w:color w:val="000000"/>
              </w:rPr>
              <w:t xml:space="preserve"> </w:t>
            </w:r>
          </w:p>
          <w:p w14:paraId="45C8E58B" w14:textId="77777777" w:rsidR="00E52C95" w:rsidRDefault="00E52C95" w:rsidP="005E0101">
            <w:pPr>
              <w:pStyle w:val="ab"/>
              <w:spacing w:before="0" w:beforeAutospacing="0" w:after="0" w:afterAutospacing="0"/>
              <w:rPr>
                <w:color w:val="000000"/>
              </w:rPr>
            </w:pPr>
            <w:r w:rsidRPr="00063303">
              <w:rPr>
                <w:color w:val="000000"/>
              </w:rPr>
              <w:t xml:space="preserve">Нарушение функции почек Повышение концентрации креатинина в крови </w:t>
            </w:r>
          </w:p>
          <w:p w14:paraId="471AEA20" w14:textId="77777777" w:rsidR="00E52C95" w:rsidRPr="00063303" w:rsidRDefault="00E52C95" w:rsidP="005E0101">
            <w:pPr>
              <w:pStyle w:val="ab"/>
              <w:spacing w:before="0" w:beforeAutospacing="0" w:after="0" w:afterAutospacing="0"/>
              <w:rPr>
                <w:color w:val="000000"/>
              </w:rPr>
            </w:pPr>
            <w:r w:rsidRPr="00063303">
              <w:rPr>
                <w:color w:val="000000"/>
              </w:rPr>
              <w:t>Повышение концентрации</w:t>
            </w:r>
          </w:p>
          <w:p w14:paraId="6E94A54A" w14:textId="77777777" w:rsidR="00E52C95" w:rsidRPr="000D1198" w:rsidRDefault="00E52C95" w:rsidP="005E0101">
            <w:pPr>
              <w:pStyle w:val="ab"/>
              <w:spacing w:before="0" w:beforeAutospacing="0" w:after="0" w:afterAutospacing="0"/>
              <w:jc w:val="both"/>
              <w:rPr>
                <w:b/>
                <w:bCs/>
                <w:color w:val="000000"/>
              </w:rPr>
            </w:pPr>
            <w:r w:rsidRPr="00063303">
              <w:rPr>
                <w:color w:val="000000"/>
              </w:rPr>
              <w:t>мочевины в крови</w:t>
            </w:r>
          </w:p>
        </w:tc>
        <w:tc>
          <w:tcPr>
            <w:tcW w:w="3578" w:type="dxa"/>
            <w:vAlign w:val="center"/>
          </w:tcPr>
          <w:p w14:paraId="5795F5A7" w14:textId="77777777" w:rsidR="00E52C95" w:rsidRDefault="00E52C95" w:rsidP="005E0101">
            <w:pPr>
              <w:pStyle w:val="ab"/>
              <w:spacing w:before="0" w:beforeAutospacing="0" w:after="0" w:afterAutospacing="0"/>
              <w:rPr>
                <w:color w:val="000000"/>
              </w:rPr>
            </w:pPr>
            <w:r w:rsidRPr="00063303">
              <w:rPr>
                <w:color w:val="000000"/>
              </w:rPr>
              <w:t>Эпизоды почечной недостаточности</w:t>
            </w:r>
            <w:r>
              <w:rPr>
                <w:color w:val="000000"/>
              </w:rPr>
              <w:t>†</w:t>
            </w:r>
            <w:r w:rsidRPr="0068400D">
              <w:rPr>
                <w:color w:val="000000"/>
                <w:vertAlign w:val="superscript"/>
              </w:rPr>
              <w:t>,</w:t>
            </w:r>
            <w:r>
              <w:rPr>
                <w:color w:val="000000"/>
                <w:vertAlign w:val="superscript"/>
                <w:lang w:val="en-US"/>
              </w:rPr>
              <w:t>n</w:t>
            </w:r>
            <w:r w:rsidRPr="00063303" w:rsidDel="00B609BA">
              <w:rPr>
                <w:color w:val="000000"/>
              </w:rPr>
              <w:t xml:space="preserve"> </w:t>
            </w:r>
            <w:r w:rsidRPr="00063303">
              <w:rPr>
                <w:color w:val="000000"/>
              </w:rPr>
              <w:t xml:space="preserve"> </w:t>
            </w:r>
          </w:p>
          <w:p w14:paraId="2EFDE58E" w14:textId="77777777" w:rsidR="00E52C95" w:rsidRPr="00063303" w:rsidRDefault="00E52C95" w:rsidP="005E0101">
            <w:pPr>
              <w:pStyle w:val="ab"/>
              <w:spacing w:before="0" w:beforeAutospacing="0" w:after="0" w:afterAutospacing="0"/>
              <w:rPr>
                <w:color w:val="000000"/>
              </w:rPr>
            </w:pPr>
            <w:r w:rsidRPr="00063303">
              <w:rPr>
                <w:color w:val="000000"/>
              </w:rPr>
              <w:t>Повышение концентрации</w:t>
            </w:r>
          </w:p>
          <w:p w14:paraId="5D5C42EA" w14:textId="77777777" w:rsidR="00E52C95" w:rsidRPr="000D1198" w:rsidRDefault="00E52C95" w:rsidP="005E0101">
            <w:pPr>
              <w:pStyle w:val="ab"/>
              <w:spacing w:before="0" w:beforeAutospacing="0" w:after="0" w:afterAutospacing="0"/>
              <w:rPr>
                <w:b/>
                <w:bCs/>
                <w:color w:val="000000"/>
              </w:rPr>
            </w:pPr>
            <w:r w:rsidRPr="00063303">
              <w:rPr>
                <w:color w:val="000000"/>
              </w:rPr>
              <w:t>мочевины в крови</w:t>
            </w:r>
          </w:p>
        </w:tc>
      </w:tr>
      <w:tr w:rsidR="00E52C95" w14:paraId="75A944EA" w14:textId="77777777" w:rsidTr="009964DD">
        <w:tc>
          <w:tcPr>
            <w:tcW w:w="2199" w:type="dxa"/>
            <w:vAlign w:val="center"/>
          </w:tcPr>
          <w:p w14:paraId="418F1E17" w14:textId="77777777" w:rsidR="00E52C95" w:rsidRPr="00132AAB" w:rsidRDefault="00E52C95" w:rsidP="005E0101">
            <w:pPr>
              <w:pStyle w:val="ab"/>
              <w:spacing w:before="0" w:beforeAutospacing="0" w:after="0" w:afterAutospacing="0"/>
              <w:jc w:val="both"/>
            </w:pPr>
            <w:r w:rsidRPr="00132AAB">
              <w:t>Нечасто</w:t>
            </w:r>
          </w:p>
        </w:tc>
        <w:tc>
          <w:tcPr>
            <w:tcW w:w="3569" w:type="dxa"/>
            <w:vAlign w:val="center"/>
          </w:tcPr>
          <w:p w14:paraId="2A8225C2" w14:textId="77777777" w:rsidR="00E52C95" w:rsidRPr="00063303" w:rsidRDefault="00E52C95" w:rsidP="005E0101">
            <w:pPr>
              <w:pStyle w:val="ab"/>
              <w:spacing w:before="0" w:beforeAutospacing="0" w:after="0" w:afterAutospacing="0"/>
              <w:jc w:val="both"/>
              <w:rPr>
                <w:color w:val="000000"/>
              </w:rPr>
            </w:pPr>
            <w:r w:rsidRPr="00063303">
              <w:rPr>
                <w:color w:val="000000"/>
              </w:rPr>
              <w:t>Нефротический синдром</w:t>
            </w:r>
          </w:p>
        </w:tc>
        <w:tc>
          <w:tcPr>
            <w:tcW w:w="3578" w:type="dxa"/>
            <w:vAlign w:val="center"/>
          </w:tcPr>
          <w:p w14:paraId="5DEF4F4D" w14:textId="77777777" w:rsidR="00E52C95" w:rsidRDefault="00E52C95" w:rsidP="005E0101">
            <w:pPr>
              <w:pStyle w:val="ab"/>
              <w:spacing w:before="0" w:beforeAutospacing="0" w:after="0" w:afterAutospacing="0"/>
              <w:rPr>
                <w:color w:val="000000"/>
              </w:rPr>
            </w:pPr>
            <w:r w:rsidRPr="00063303">
              <w:rPr>
                <w:color w:val="000000"/>
              </w:rPr>
              <w:t>Нарушение функции почек</w:t>
            </w:r>
          </w:p>
          <w:p w14:paraId="40C23648" w14:textId="77777777" w:rsidR="00E52C95" w:rsidRPr="000D1198" w:rsidRDefault="00E52C95" w:rsidP="005E0101">
            <w:pPr>
              <w:pStyle w:val="ab"/>
              <w:spacing w:before="0" w:beforeAutospacing="0" w:after="0" w:afterAutospacing="0"/>
              <w:rPr>
                <w:b/>
                <w:bCs/>
                <w:color w:val="000000"/>
              </w:rPr>
            </w:pPr>
            <w:r w:rsidRPr="00063303">
              <w:rPr>
                <w:color w:val="000000"/>
              </w:rPr>
              <w:t>Нефротический синдром</w:t>
            </w:r>
          </w:p>
        </w:tc>
      </w:tr>
      <w:tr w:rsidR="00E52C95" w14:paraId="326DC2E7" w14:textId="77777777" w:rsidTr="009964DD">
        <w:tc>
          <w:tcPr>
            <w:tcW w:w="9346" w:type="dxa"/>
            <w:gridSpan w:val="3"/>
            <w:vAlign w:val="center"/>
          </w:tcPr>
          <w:p w14:paraId="79C5C043" w14:textId="77777777" w:rsidR="00E52C95" w:rsidRPr="000D1198" w:rsidRDefault="00E52C95" w:rsidP="005E0101">
            <w:pPr>
              <w:pStyle w:val="ab"/>
              <w:rPr>
                <w:b/>
                <w:bCs/>
                <w:color w:val="000000"/>
              </w:rPr>
            </w:pPr>
            <w:r w:rsidRPr="00063303">
              <w:rPr>
                <w:b/>
                <w:bCs/>
              </w:rPr>
              <w:t>Общие нарушения и реакции в месте введения</w:t>
            </w:r>
          </w:p>
        </w:tc>
      </w:tr>
      <w:tr w:rsidR="00E52C95" w14:paraId="0BA1F548" w14:textId="77777777" w:rsidTr="009964DD">
        <w:tc>
          <w:tcPr>
            <w:tcW w:w="2199" w:type="dxa"/>
            <w:vAlign w:val="center"/>
          </w:tcPr>
          <w:p w14:paraId="37DAD56F" w14:textId="77777777" w:rsidR="00E52C95" w:rsidRPr="00132AAB" w:rsidRDefault="00E52C95" w:rsidP="005E0101">
            <w:pPr>
              <w:pStyle w:val="ab"/>
              <w:spacing w:before="0" w:beforeAutospacing="0" w:after="0" w:afterAutospacing="0"/>
              <w:jc w:val="both"/>
            </w:pPr>
            <w:r w:rsidRPr="002D2DC7">
              <w:t>Очень часто</w:t>
            </w:r>
          </w:p>
        </w:tc>
        <w:tc>
          <w:tcPr>
            <w:tcW w:w="3569" w:type="dxa"/>
            <w:vAlign w:val="center"/>
          </w:tcPr>
          <w:p w14:paraId="613AE208" w14:textId="77777777" w:rsidR="00E52C95" w:rsidRPr="00063303" w:rsidRDefault="00E52C95" w:rsidP="005E0101">
            <w:pPr>
              <w:pStyle w:val="ab"/>
              <w:spacing w:before="0" w:beforeAutospacing="0" w:after="0" w:afterAutospacing="0"/>
              <w:rPr>
                <w:color w:val="000000"/>
              </w:rPr>
            </w:pPr>
            <w:r w:rsidRPr="00063303">
              <w:rPr>
                <w:color w:val="000000"/>
              </w:rPr>
              <w:t>Утомляемость</w:t>
            </w:r>
          </w:p>
          <w:p w14:paraId="2AFE3D86" w14:textId="77777777" w:rsidR="00E52C95" w:rsidRPr="00063303" w:rsidRDefault="00E52C95" w:rsidP="005E0101">
            <w:pPr>
              <w:pStyle w:val="ab"/>
              <w:spacing w:before="0" w:beforeAutospacing="0" w:after="0" w:afterAutospacing="0"/>
              <w:rPr>
                <w:color w:val="000000"/>
              </w:rPr>
            </w:pPr>
            <w:r w:rsidRPr="00063303">
              <w:rPr>
                <w:color w:val="000000"/>
              </w:rPr>
              <w:t>Астения</w:t>
            </w:r>
          </w:p>
          <w:p w14:paraId="768B17BE" w14:textId="77777777" w:rsidR="00E52C95" w:rsidRPr="000D1198" w:rsidRDefault="00E52C95" w:rsidP="005E0101">
            <w:pPr>
              <w:pStyle w:val="ab"/>
              <w:spacing w:before="0" w:beforeAutospacing="0" w:after="0" w:afterAutospacing="0"/>
              <w:jc w:val="both"/>
              <w:rPr>
                <w:b/>
                <w:bCs/>
                <w:color w:val="000000"/>
              </w:rPr>
            </w:pPr>
            <w:r w:rsidRPr="00063303">
              <w:rPr>
                <w:color w:val="000000"/>
              </w:rPr>
              <w:t>Периферический отек</w:t>
            </w:r>
          </w:p>
        </w:tc>
        <w:tc>
          <w:tcPr>
            <w:tcW w:w="3578" w:type="dxa"/>
            <w:vAlign w:val="center"/>
          </w:tcPr>
          <w:p w14:paraId="511ABA99" w14:textId="77777777" w:rsidR="00E52C95" w:rsidRPr="00063303" w:rsidRDefault="00E52C95" w:rsidP="005E0101">
            <w:pPr>
              <w:pStyle w:val="ab"/>
              <w:spacing w:before="0" w:beforeAutospacing="0" w:after="0" w:afterAutospacing="0"/>
              <w:rPr>
                <w:color w:val="000000"/>
              </w:rPr>
            </w:pPr>
            <w:r w:rsidRPr="00063303">
              <w:rPr>
                <w:color w:val="000000"/>
              </w:rPr>
              <w:t>Утомляемость</w:t>
            </w:r>
          </w:p>
          <w:p w14:paraId="0975730D" w14:textId="77777777" w:rsidR="00E52C95" w:rsidRPr="00063303" w:rsidRDefault="00E52C95" w:rsidP="005E0101">
            <w:pPr>
              <w:pStyle w:val="ab"/>
              <w:spacing w:before="0" w:beforeAutospacing="0" w:after="0" w:afterAutospacing="0"/>
              <w:rPr>
                <w:color w:val="000000"/>
              </w:rPr>
            </w:pPr>
            <w:r w:rsidRPr="00063303">
              <w:rPr>
                <w:color w:val="000000"/>
              </w:rPr>
              <w:t>Астения</w:t>
            </w:r>
          </w:p>
          <w:p w14:paraId="79CB69AC" w14:textId="77777777" w:rsidR="00E52C95" w:rsidRPr="000D1198" w:rsidRDefault="00E52C95" w:rsidP="005E0101">
            <w:pPr>
              <w:pStyle w:val="ab"/>
              <w:spacing w:before="0" w:beforeAutospacing="0" w:after="0" w:afterAutospacing="0"/>
              <w:rPr>
                <w:b/>
                <w:bCs/>
                <w:color w:val="000000"/>
              </w:rPr>
            </w:pPr>
            <w:r w:rsidRPr="00063303">
              <w:rPr>
                <w:color w:val="000000"/>
              </w:rPr>
              <w:t>Периферический отек</w:t>
            </w:r>
          </w:p>
        </w:tc>
      </w:tr>
      <w:tr w:rsidR="00E52C95" w14:paraId="671188E4" w14:textId="77777777" w:rsidTr="009964DD">
        <w:tc>
          <w:tcPr>
            <w:tcW w:w="2199" w:type="dxa"/>
            <w:vAlign w:val="center"/>
          </w:tcPr>
          <w:p w14:paraId="5F4B8021" w14:textId="77777777" w:rsidR="00E52C95" w:rsidRPr="00132AAB" w:rsidRDefault="00E52C95" w:rsidP="005E0101">
            <w:pPr>
              <w:pStyle w:val="ab"/>
              <w:spacing w:before="0" w:beforeAutospacing="0" w:after="0" w:afterAutospacing="0"/>
              <w:jc w:val="both"/>
            </w:pPr>
            <w:r w:rsidRPr="002D2DC7">
              <w:t>Часто</w:t>
            </w:r>
          </w:p>
        </w:tc>
        <w:tc>
          <w:tcPr>
            <w:tcW w:w="3569" w:type="dxa"/>
            <w:vAlign w:val="center"/>
          </w:tcPr>
          <w:p w14:paraId="6E7F5BEF" w14:textId="77777777" w:rsidR="00E52C95" w:rsidRPr="00A25501" w:rsidRDefault="00E52C95" w:rsidP="005E0101">
            <w:pPr>
              <w:pStyle w:val="ab"/>
              <w:spacing w:before="0" w:beforeAutospacing="0" w:after="0" w:afterAutospacing="0"/>
              <w:jc w:val="both"/>
              <w:rPr>
                <w:color w:val="000000"/>
              </w:rPr>
            </w:pPr>
            <w:r w:rsidRPr="00A25501">
              <w:rPr>
                <w:color w:val="000000"/>
              </w:rPr>
              <w:t>Чувство дискомфорта</w:t>
            </w:r>
          </w:p>
        </w:tc>
        <w:tc>
          <w:tcPr>
            <w:tcW w:w="3578" w:type="dxa"/>
            <w:vAlign w:val="center"/>
          </w:tcPr>
          <w:p w14:paraId="26F6D9E2" w14:textId="77777777" w:rsidR="00E52C95" w:rsidRPr="000D1198" w:rsidRDefault="00E52C95" w:rsidP="005E0101">
            <w:pPr>
              <w:pStyle w:val="ab"/>
              <w:spacing w:before="0" w:beforeAutospacing="0" w:after="0" w:afterAutospacing="0"/>
              <w:rPr>
                <w:b/>
                <w:bCs/>
                <w:color w:val="000000"/>
              </w:rPr>
            </w:pPr>
            <w:r w:rsidRPr="00A25501">
              <w:rPr>
                <w:color w:val="000000"/>
              </w:rPr>
              <w:t>Чувство дискомфорта</w:t>
            </w:r>
          </w:p>
        </w:tc>
      </w:tr>
      <w:tr w:rsidR="00E52C95" w14:paraId="63584F2B" w14:textId="77777777" w:rsidTr="009964DD">
        <w:tc>
          <w:tcPr>
            <w:tcW w:w="2199" w:type="dxa"/>
            <w:vAlign w:val="center"/>
          </w:tcPr>
          <w:p w14:paraId="26BD9235" w14:textId="77777777" w:rsidR="00E52C95" w:rsidRPr="00132AAB" w:rsidRDefault="00E52C95" w:rsidP="005E0101">
            <w:pPr>
              <w:pStyle w:val="ab"/>
              <w:spacing w:before="0" w:beforeAutospacing="0" w:after="0" w:afterAutospacing="0"/>
              <w:jc w:val="both"/>
            </w:pPr>
            <w:r w:rsidRPr="00132AAB">
              <w:t>Нечасто</w:t>
            </w:r>
          </w:p>
        </w:tc>
        <w:tc>
          <w:tcPr>
            <w:tcW w:w="3569" w:type="dxa"/>
            <w:vAlign w:val="center"/>
          </w:tcPr>
          <w:p w14:paraId="519ECD00" w14:textId="77777777" w:rsidR="00E52C95" w:rsidRPr="00A25501" w:rsidRDefault="00E52C95" w:rsidP="005E0101">
            <w:pPr>
              <w:pStyle w:val="ab"/>
              <w:spacing w:before="0" w:beforeAutospacing="0" w:after="0" w:afterAutospacing="0"/>
              <w:jc w:val="both"/>
              <w:rPr>
                <w:color w:val="000000"/>
              </w:rPr>
            </w:pPr>
            <w:r w:rsidRPr="00A25501">
              <w:rPr>
                <w:color w:val="000000"/>
              </w:rPr>
              <w:t>Нарушение заживления ран</w:t>
            </w:r>
          </w:p>
        </w:tc>
        <w:tc>
          <w:tcPr>
            <w:tcW w:w="3578" w:type="dxa"/>
            <w:vAlign w:val="center"/>
          </w:tcPr>
          <w:p w14:paraId="542B595B" w14:textId="77777777" w:rsidR="00E52C95" w:rsidRPr="002A69DF" w:rsidRDefault="00E52C95" w:rsidP="005E0101">
            <w:pPr>
              <w:pStyle w:val="ab"/>
              <w:spacing w:before="0" w:beforeAutospacing="0" w:after="0" w:afterAutospacing="0"/>
              <w:rPr>
                <w:color w:val="000000"/>
              </w:rPr>
            </w:pPr>
            <w:r w:rsidRPr="002A69DF">
              <w:rPr>
                <w:color w:val="000000"/>
              </w:rPr>
              <w:t>Нарушение заживления ран</w:t>
            </w:r>
          </w:p>
          <w:p w14:paraId="1E0FE887" w14:textId="77777777" w:rsidR="00E52C95" w:rsidRPr="002A69DF" w:rsidRDefault="00E52C95" w:rsidP="005E0101">
            <w:pPr>
              <w:pStyle w:val="ab"/>
              <w:spacing w:before="0" w:beforeAutospacing="0" w:after="0" w:afterAutospacing="0"/>
              <w:rPr>
                <w:color w:val="000000"/>
              </w:rPr>
            </w:pPr>
            <w:r w:rsidRPr="002A69DF">
              <w:rPr>
                <w:color w:val="000000"/>
              </w:rPr>
              <w:t>Н</w:t>
            </w:r>
            <w:r>
              <w:rPr>
                <w:color w:val="000000"/>
              </w:rPr>
              <w:t xml:space="preserve">е </w:t>
            </w:r>
            <w:r w:rsidRPr="002A69DF">
              <w:rPr>
                <w:color w:val="000000"/>
              </w:rPr>
              <w:t>гастр</w:t>
            </w:r>
            <w:r>
              <w:rPr>
                <w:color w:val="000000"/>
              </w:rPr>
              <w:t>оинтестина</w:t>
            </w:r>
            <w:r w:rsidRPr="002A69DF">
              <w:rPr>
                <w:color w:val="000000"/>
              </w:rPr>
              <w:t>льная фистула</w:t>
            </w:r>
            <w:r w:rsidRPr="0068400D">
              <w:rPr>
                <w:color w:val="000000"/>
                <w:vertAlign w:val="superscript"/>
                <w:lang w:val="en-US"/>
              </w:rPr>
              <w:t>o</w:t>
            </w:r>
          </w:p>
        </w:tc>
      </w:tr>
      <w:tr w:rsidR="00E52C95" w14:paraId="491D1CC1" w14:textId="77777777" w:rsidTr="009964DD">
        <w:tc>
          <w:tcPr>
            <w:tcW w:w="2199" w:type="dxa"/>
            <w:vAlign w:val="center"/>
          </w:tcPr>
          <w:p w14:paraId="4DE21371" w14:textId="77777777" w:rsidR="00E52C95" w:rsidRPr="00132AAB" w:rsidRDefault="00E52C95" w:rsidP="005E0101">
            <w:pPr>
              <w:pStyle w:val="ab"/>
              <w:spacing w:before="0" w:beforeAutospacing="0" w:after="0" w:afterAutospacing="0"/>
              <w:jc w:val="both"/>
            </w:pPr>
            <w:r>
              <w:t>Частота неизвестна</w:t>
            </w:r>
          </w:p>
        </w:tc>
        <w:tc>
          <w:tcPr>
            <w:tcW w:w="3569" w:type="dxa"/>
            <w:vAlign w:val="center"/>
          </w:tcPr>
          <w:p w14:paraId="7510A253" w14:textId="2943D0DB" w:rsidR="00E52C95" w:rsidRPr="00EB1B5E" w:rsidRDefault="009B460E" w:rsidP="005E0101">
            <w:pPr>
              <w:pStyle w:val="ab"/>
              <w:spacing w:before="0" w:beforeAutospacing="0" w:after="0" w:afterAutospacing="0"/>
              <w:jc w:val="both"/>
              <w:rPr>
                <w:b/>
                <w:bCs/>
                <w:color w:val="000000"/>
                <w:lang w:val="en-US"/>
              </w:rPr>
            </w:pPr>
            <w:r w:rsidRPr="002A69DF">
              <w:rPr>
                <w:color w:val="000000"/>
              </w:rPr>
              <w:t>Н</w:t>
            </w:r>
            <w:r>
              <w:rPr>
                <w:color w:val="000000"/>
              </w:rPr>
              <w:t xml:space="preserve">е </w:t>
            </w:r>
            <w:r w:rsidRPr="002A69DF">
              <w:rPr>
                <w:color w:val="000000"/>
              </w:rPr>
              <w:t>гастр</w:t>
            </w:r>
            <w:r>
              <w:rPr>
                <w:color w:val="000000"/>
              </w:rPr>
              <w:t>оинтестина</w:t>
            </w:r>
            <w:r w:rsidRPr="002A69DF">
              <w:rPr>
                <w:color w:val="000000"/>
              </w:rPr>
              <w:t>льная</w:t>
            </w:r>
            <w:r w:rsidR="00E52C95" w:rsidRPr="002A69DF">
              <w:rPr>
                <w:color w:val="000000"/>
              </w:rPr>
              <w:t xml:space="preserve"> фистула</w:t>
            </w:r>
            <w:r w:rsidR="00E52C95" w:rsidRPr="00EB1B5E">
              <w:rPr>
                <w:color w:val="000000"/>
                <w:vertAlign w:val="superscript"/>
                <w:lang w:val="en-US"/>
              </w:rPr>
              <w:t>o</w:t>
            </w:r>
          </w:p>
        </w:tc>
        <w:tc>
          <w:tcPr>
            <w:tcW w:w="3578" w:type="dxa"/>
            <w:vAlign w:val="center"/>
          </w:tcPr>
          <w:p w14:paraId="1A3046E9" w14:textId="77777777" w:rsidR="00E52C95" w:rsidRPr="002A69DF" w:rsidRDefault="00E52C95" w:rsidP="005E0101">
            <w:pPr>
              <w:pStyle w:val="ab"/>
              <w:spacing w:before="0" w:beforeAutospacing="0" w:after="0" w:afterAutospacing="0"/>
              <w:rPr>
                <w:color w:val="000000"/>
              </w:rPr>
            </w:pPr>
          </w:p>
        </w:tc>
      </w:tr>
      <w:tr w:rsidR="00201AD2" w14:paraId="04D70DE0" w14:textId="77777777" w:rsidTr="00B469BA">
        <w:tc>
          <w:tcPr>
            <w:tcW w:w="9346" w:type="dxa"/>
            <w:gridSpan w:val="3"/>
          </w:tcPr>
          <w:p w14:paraId="4698DDFB" w14:textId="77777777" w:rsidR="00201AD2" w:rsidRPr="009964DD" w:rsidRDefault="00201AD2" w:rsidP="00201AD2">
            <w:pPr>
              <w:pStyle w:val="ab"/>
              <w:spacing w:before="0" w:beforeAutospacing="0" w:after="0" w:afterAutospacing="0"/>
              <w:rPr>
                <w:b/>
                <w:color w:val="000000"/>
                <w:sz w:val="20"/>
                <w:szCs w:val="20"/>
              </w:rPr>
            </w:pPr>
            <w:r w:rsidRPr="009964DD">
              <w:rPr>
                <w:b/>
                <w:color w:val="000000"/>
                <w:sz w:val="20"/>
                <w:szCs w:val="20"/>
              </w:rPr>
              <w:t>Примечание:</w:t>
            </w:r>
          </w:p>
          <w:p w14:paraId="36703C9A" w14:textId="77777777" w:rsidR="00201AD2" w:rsidRPr="009964DD" w:rsidRDefault="00201AD2" w:rsidP="00201AD2">
            <w:pPr>
              <w:pStyle w:val="OT"/>
              <w:spacing w:after="0"/>
              <w:rPr>
                <w:sz w:val="20"/>
              </w:rPr>
            </w:pPr>
            <w:r w:rsidRPr="009964DD">
              <w:rPr>
                <w:color w:val="000000"/>
                <w:sz w:val="20"/>
              </w:rPr>
              <w:t>†</w:t>
            </w:r>
            <w:r w:rsidRPr="009964DD">
              <w:rPr>
                <w:sz w:val="20"/>
              </w:rPr>
              <w:t xml:space="preserve"> ‒ включая случаи с летальным исходом. </w:t>
            </w:r>
          </w:p>
          <w:p w14:paraId="0AD1C0C2" w14:textId="77777777" w:rsidR="00201AD2" w:rsidRPr="009964DD" w:rsidRDefault="00201AD2" w:rsidP="00201AD2">
            <w:pPr>
              <w:pStyle w:val="OT"/>
              <w:spacing w:after="0"/>
              <w:rPr>
                <w:sz w:val="20"/>
              </w:rPr>
            </w:pPr>
            <w:r w:rsidRPr="009964DD">
              <w:rPr>
                <w:sz w:val="20"/>
              </w:rPr>
              <w:t xml:space="preserve">Следующие термины были объединены: </w:t>
            </w:r>
          </w:p>
          <w:p w14:paraId="2BDC79AA" w14:textId="77777777" w:rsidR="00201AD2" w:rsidRPr="009964DD" w:rsidRDefault="00201AD2" w:rsidP="00201AD2">
            <w:pPr>
              <w:pStyle w:val="OT"/>
              <w:spacing w:after="0"/>
              <w:rPr>
                <w:sz w:val="20"/>
              </w:rPr>
            </w:pPr>
            <w:r w:rsidRPr="009964DD">
              <w:rPr>
                <w:sz w:val="20"/>
                <w:vertAlign w:val="superscript"/>
                <w:lang w:val="en-US"/>
              </w:rPr>
              <w:t>a</w:t>
            </w:r>
            <w:r w:rsidRPr="009964DD">
              <w:rPr>
                <w:sz w:val="20"/>
              </w:rPr>
              <w:t xml:space="preserve"> Тромбоцитопения включает снижение числа тромбоцитов в крови. Нейтропения включает</w:t>
            </w:r>
          </w:p>
          <w:p w14:paraId="44344886" w14:textId="77777777" w:rsidR="00201AD2" w:rsidRPr="009964DD" w:rsidRDefault="00201AD2" w:rsidP="00201AD2">
            <w:pPr>
              <w:pStyle w:val="OT"/>
              <w:spacing w:after="0"/>
              <w:rPr>
                <w:sz w:val="20"/>
              </w:rPr>
            </w:pPr>
            <w:r w:rsidRPr="009964DD">
              <w:rPr>
                <w:sz w:val="20"/>
              </w:rPr>
              <w:t>снижение числа нейтрофилов в крови. Лейкопения включает снижение числа лейкоцитов в крови. Лимфопения включает снижение числа лимфоцитов в крови.</w:t>
            </w:r>
          </w:p>
          <w:p w14:paraId="24CF0763" w14:textId="77777777" w:rsidR="00201AD2" w:rsidRPr="009964DD" w:rsidRDefault="00201AD2" w:rsidP="00201AD2">
            <w:pPr>
              <w:pStyle w:val="OT"/>
              <w:spacing w:after="0"/>
              <w:rPr>
                <w:sz w:val="20"/>
              </w:rPr>
            </w:pPr>
            <w:r w:rsidRPr="009964DD">
              <w:rPr>
                <w:sz w:val="20"/>
                <w:vertAlign w:val="superscript"/>
                <w:lang w:val="en-US"/>
              </w:rPr>
              <w:t>b</w:t>
            </w:r>
            <w:r w:rsidRPr="009964DD">
              <w:rPr>
                <w:sz w:val="20"/>
              </w:rPr>
              <w:t xml:space="preserve"> Гипомагниемия включает снижение уровня магния в крови. Гиперхолестеринемия включаетповышение уровня холестерина в крови.</w:t>
            </w:r>
          </w:p>
          <w:p w14:paraId="355B181D" w14:textId="77777777" w:rsidR="00201AD2" w:rsidRPr="009964DD" w:rsidRDefault="00201AD2" w:rsidP="00201AD2">
            <w:pPr>
              <w:pStyle w:val="OT"/>
              <w:spacing w:after="0"/>
              <w:rPr>
                <w:sz w:val="20"/>
              </w:rPr>
            </w:pPr>
            <w:r w:rsidRPr="009964DD">
              <w:rPr>
                <w:sz w:val="20"/>
                <w:vertAlign w:val="superscript"/>
                <w:lang w:val="en-US"/>
              </w:rPr>
              <w:t>c</w:t>
            </w:r>
            <w:r w:rsidRPr="009964DD">
              <w:rPr>
                <w:sz w:val="20"/>
              </w:rPr>
              <w:t xml:space="preserve"> Инфаркт миокарда включает острый инфаркт миокарда.</w:t>
            </w:r>
          </w:p>
          <w:p w14:paraId="02B8DE64" w14:textId="77777777" w:rsidR="00201AD2" w:rsidRPr="009964DD" w:rsidRDefault="00201AD2" w:rsidP="00201AD2">
            <w:pPr>
              <w:pStyle w:val="OT"/>
              <w:spacing w:after="0"/>
              <w:rPr>
                <w:sz w:val="20"/>
              </w:rPr>
            </w:pPr>
            <w:r w:rsidRPr="009964DD">
              <w:rPr>
                <w:sz w:val="20"/>
                <w:vertAlign w:val="superscript"/>
                <w:lang w:val="en-US"/>
              </w:rPr>
              <w:t>d</w:t>
            </w:r>
            <w:r w:rsidRPr="009964DD">
              <w:rPr>
                <w:sz w:val="20"/>
              </w:rPr>
              <w:t xml:space="preserve"> Кровотечение включает все виды кровотечений, такие как носовое кровотечение, кровохарканье, </w:t>
            </w:r>
            <w:r w:rsidRPr="009964DD">
              <w:rPr>
                <w:sz w:val="20"/>
              </w:rPr>
              <w:lastRenderedPageBreak/>
              <w:t>гематурия, контузия, кровохарканье, кровоточивость десен, петехии, легочное кровотечение, ректальное кровотечение, наличие крови в моче, гематома, влагалищное кровотечение, кровоизлияние в конъюнктиву, геморроидальное кровотечение, кровоизлияние во внутричерепную опухоль, гортанное кровотечение, экхимоз, повышенная склонность к синякам, постпроцедурное кровоизлияние, пурпура, кровоизлияние в кожу, разрыв аневризмы, артериальные кровотечения, глазные кровоизлияния, желудочное кровотечение, геморрагический гастродуоденит, желудочно-кишечное кровотечение, рвота с кровью, кровотечение, геморрагический инсульт, мелена, метроррагия, кровотечение из ногтевого ложа, гемоторакс, постменопаузальное кровотечение, геморрагический проктит, почечная гематома, кровоизлияние в селезенку, кровоизлияние у основания ногтей, субарахноидальное кровоизлияние, кровоизлияние в трахею, кровоизлияние в опухоль, кровотечение из влагалища и маточное кровотечение.</w:t>
            </w:r>
          </w:p>
          <w:p w14:paraId="09384B3E" w14:textId="77777777" w:rsidR="00201AD2" w:rsidRPr="009964DD" w:rsidRDefault="00201AD2" w:rsidP="00201AD2">
            <w:pPr>
              <w:pStyle w:val="OT"/>
              <w:spacing w:after="0"/>
              <w:rPr>
                <w:sz w:val="20"/>
              </w:rPr>
            </w:pPr>
            <w:r w:rsidRPr="009964DD">
              <w:rPr>
                <w:sz w:val="20"/>
              </w:rPr>
              <w:t>Термины кровотечений, которые имели место у 5 или более субъектов с дифференцированным РЩЖ: носовое кровотечение, кровохарканье, гематурия, контузия, кровохарканье, кровоточивость десен, петехии, легочное кровотечение, ректальное кровотечение, наличие крови в моче, гематома и вагинальное кровотечение.</w:t>
            </w:r>
          </w:p>
          <w:p w14:paraId="4FAB43BF" w14:textId="77777777" w:rsidR="00201AD2" w:rsidRPr="009964DD" w:rsidRDefault="00201AD2" w:rsidP="00201AD2">
            <w:pPr>
              <w:pStyle w:val="OT"/>
              <w:spacing w:after="0"/>
              <w:rPr>
                <w:sz w:val="20"/>
              </w:rPr>
            </w:pPr>
            <w:r w:rsidRPr="009964DD">
              <w:rPr>
                <w:sz w:val="20"/>
              </w:rPr>
              <w:t>Термины кровотечений, которые имели место у 5 или более субъектов с ГЦР: носовое кровотечение, гематурия, кровоточивость десен, кровохарканье, кровотечение из варикозно расширенных вен пищевода, геморроидальное кровотечение, кровоизлияние в полость рта, кровотечение из прямой кишки и кровоизлияние в желудочно-кишечный тракт.</w:t>
            </w:r>
          </w:p>
          <w:p w14:paraId="7852C606" w14:textId="77777777" w:rsidR="00201AD2" w:rsidRPr="009964DD" w:rsidRDefault="00201AD2" w:rsidP="00201AD2">
            <w:pPr>
              <w:pStyle w:val="OT"/>
              <w:spacing w:after="0"/>
              <w:rPr>
                <w:sz w:val="20"/>
              </w:rPr>
            </w:pPr>
            <w:r w:rsidRPr="009964DD">
              <w:rPr>
                <w:sz w:val="20"/>
                <w:vertAlign w:val="superscript"/>
                <w:lang w:val="en-US"/>
              </w:rPr>
              <w:t>e</w:t>
            </w:r>
            <w:r w:rsidRPr="009964DD">
              <w:rPr>
                <w:sz w:val="20"/>
              </w:rPr>
              <w:t xml:space="preserve"> Артериальная гипертензия включает гипертонический криз, повышение диастолического кровяного давления, ортостатическую гипертензию и повышение кровяного давления.</w:t>
            </w:r>
          </w:p>
          <w:p w14:paraId="1A83C852" w14:textId="77777777" w:rsidR="00201AD2" w:rsidRPr="009964DD" w:rsidRDefault="00201AD2" w:rsidP="00201AD2">
            <w:pPr>
              <w:pStyle w:val="OT"/>
              <w:spacing w:after="0"/>
              <w:rPr>
                <w:sz w:val="20"/>
              </w:rPr>
            </w:pPr>
            <w:r w:rsidRPr="009964DD">
              <w:rPr>
                <w:sz w:val="20"/>
                <w:vertAlign w:val="superscript"/>
                <w:lang w:val="en-US"/>
              </w:rPr>
              <w:t>f</w:t>
            </w:r>
            <w:r w:rsidRPr="009964DD">
              <w:rPr>
                <w:sz w:val="20"/>
              </w:rPr>
              <w:t xml:space="preserve"> Боль в животе включает дискомфорт в брюшной полости, боль в нижнем отделе живота, боль в верхнем отделе живота, болезненность живота при пальпации, дискомфорт в эпигастральной области, </w:t>
            </w:r>
          </w:p>
          <w:p w14:paraId="4CA8BA3F" w14:textId="77777777" w:rsidR="00201AD2" w:rsidRPr="009964DD" w:rsidRDefault="00201AD2" w:rsidP="00201AD2">
            <w:pPr>
              <w:pStyle w:val="OT"/>
              <w:spacing w:after="0"/>
              <w:rPr>
                <w:sz w:val="20"/>
              </w:rPr>
            </w:pPr>
            <w:r w:rsidRPr="009964DD">
              <w:rPr>
                <w:sz w:val="20"/>
                <w:vertAlign w:val="superscript"/>
              </w:rPr>
              <w:t>g</w:t>
            </w:r>
            <w:r w:rsidRPr="009964DD">
              <w:rPr>
                <w:sz w:val="20"/>
              </w:rPr>
              <w:t>: Воспаление полости рта включает афтозный стоматит, афтозную язву, эрозию десны, изъязвление десны, образование пузырей на слизистой оболочке рта, стоматит, глоссит, изъязвление полости рта, воспаление слизистых оболочек.</w:t>
            </w:r>
          </w:p>
          <w:p w14:paraId="7FFDCF29" w14:textId="77777777" w:rsidR="00201AD2" w:rsidRPr="009964DD" w:rsidRDefault="00201AD2" w:rsidP="00201AD2">
            <w:pPr>
              <w:pStyle w:val="OT"/>
              <w:spacing w:after="0"/>
              <w:rPr>
                <w:sz w:val="20"/>
              </w:rPr>
            </w:pPr>
            <w:r w:rsidRPr="009964DD">
              <w:rPr>
                <w:sz w:val="20"/>
                <w:vertAlign w:val="superscript"/>
              </w:rPr>
              <w:t>h</w:t>
            </w:r>
            <w:r w:rsidRPr="009964DD">
              <w:rPr>
                <w:sz w:val="20"/>
              </w:rPr>
              <w:t>: Боль в полости рта включает глоссодинию, боль в деснах, дискомфорт в орофарингеальной области, боль в орофарингеальной области, дискомфорт языка.</w:t>
            </w:r>
          </w:p>
          <w:p w14:paraId="470154A6" w14:textId="77777777" w:rsidR="00201AD2" w:rsidRPr="009964DD" w:rsidRDefault="00201AD2" w:rsidP="00201AD2">
            <w:pPr>
              <w:pStyle w:val="OT"/>
              <w:spacing w:after="0"/>
              <w:rPr>
                <w:sz w:val="20"/>
              </w:rPr>
            </w:pPr>
            <w:r w:rsidRPr="009964DD">
              <w:rPr>
                <w:sz w:val="20"/>
                <w:vertAlign w:val="superscript"/>
              </w:rPr>
              <w:t>i</w:t>
            </w:r>
            <w:r w:rsidRPr="009964DD">
              <w:rPr>
                <w:sz w:val="20"/>
              </w:rPr>
              <w:t>: Панкреатит включает острый панкреатит.</w:t>
            </w:r>
          </w:p>
          <w:p w14:paraId="19194EC8" w14:textId="77777777" w:rsidR="00201AD2" w:rsidRPr="009964DD" w:rsidRDefault="00201AD2" w:rsidP="00201AD2">
            <w:pPr>
              <w:pStyle w:val="OT"/>
              <w:spacing w:after="0"/>
              <w:rPr>
                <w:sz w:val="20"/>
              </w:rPr>
            </w:pPr>
            <w:r w:rsidRPr="009964DD">
              <w:rPr>
                <w:sz w:val="20"/>
              </w:rPr>
              <w:t>: Повышение концентрации билирубина в крови включает гипербилирубинемию, желтуху и</w:t>
            </w:r>
          </w:p>
          <w:p w14:paraId="7AF00666" w14:textId="77777777" w:rsidR="00201AD2" w:rsidRPr="009964DD" w:rsidRDefault="00201AD2" w:rsidP="00201AD2">
            <w:pPr>
              <w:pStyle w:val="OT"/>
              <w:spacing w:after="0"/>
              <w:rPr>
                <w:sz w:val="20"/>
              </w:rPr>
            </w:pPr>
            <w:r w:rsidRPr="009964DD">
              <w:rPr>
                <w:sz w:val="20"/>
              </w:rPr>
              <w:t>повышение концентрации конъюгированного билирубина. Гипоальбуминемия включает понижение концентрации альбумина в крови.</w:t>
            </w:r>
          </w:p>
          <w:p w14:paraId="65327CA6" w14:textId="77777777" w:rsidR="00201AD2" w:rsidRPr="009964DD" w:rsidRDefault="00201AD2" w:rsidP="00201AD2">
            <w:pPr>
              <w:pStyle w:val="OT"/>
              <w:spacing w:after="0"/>
              <w:rPr>
                <w:sz w:val="20"/>
              </w:rPr>
            </w:pPr>
            <w:r w:rsidRPr="009964DD">
              <w:rPr>
                <w:sz w:val="20"/>
                <w:vertAlign w:val="superscript"/>
                <w:lang w:val="en-US"/>
              </w:rPr>
              <w:t>k</w:t>
            </w:r>
            <w:r w:rsidRPr="009964DD">
              <w:rPr>
                <w:sz w:val="20"/>
              </w:rPr>
              <w:t>: Печеночная недостаточность включает острую и хроническую печеночную недостаточность.</w:t>
            </w:r>
          </w:p>
          <w:p w14:paraId="5CE4E769" w14:textId="77777777" w:rsidR="00201AD2" w:rsidRPr="009964DD" w:rsidRDefault="00201AD2" w:rsidP="00201AD2">
            <w:pPr>
              <w:pStyle w:val="OT"/>
              <w:spacing w:after="0"/>
              <w:rPr>
                <w:sz w:val="20"/>
              </w:rPr>
            </w:pPr>
            <w:r w:rsidRPr="009964DD">
              <w:rPr>
                <w:sz w:val="20"/>
                <w:vertAlign w:val="superscript"/>
              </w:rPr>
              <w:t>1</w:t>
            </w:r>
            <w:r w:rsidRPr="009964DD">
              <w:rPr>
                <w:sz w:val="20"/>
              </w:rPr>
              <w:t>: Печеночная энцефалопатия включает печеночную кому, метаболическую энцефалопатию и</w:t>
            </w:r>
          </w:p>
          <w:p w14:paraId="548E91B1" w14:textId="77777777" w:rsidR="00201AD2" w:rsidRPr="009964DD" w:rsidRDefault="00201AD2" w:rsidP="00201AD2">
            <w:pPr>
              <w:pStyle w:val="OT"/>
              <w:spacing w:after="0"/>
              <w:rPr>
                <w:sz w:val="20"/>
              </w:rPr>
            </w:pPr>
            <w:r w:rsidRPr="009964DD">
              <w:rPr>
                <w:sz w:val="20"/>
              </w:rPr>
              <w:t>энцефалопатию.</w:t>
            </w:r>
          </w:p>
          <w:p w14:paraId="7C781860" w14:textId="77777777" w:rsidR="00201AD2" w:rsidRPr="009964DD" w:rsidRDefault="00201AD2" w:rsidP="00201AD2">
            <w:pPr>
              <w:pStyle w:val="OT"/>
              <w:spacing w:after="0"/>
              <w:rPr>
                <w:sz w:val="20"/>
              </w:rPr>
            </w:pPr>
            <w:r w:rsidRPr="009964DD">
              <w:rPr>
                <w:sz w:val="20"/>
                <w:vertAlign w:val="superscript"/>
                <w:lang w:val="en-US"/>
              </w:rPr>
              <w:t>m</w:t>
            </w:r>
            <w:r w:rsidRPr="009964DD">
              <w:rPr>
                <w:sz w:val="20"/>
              </w:rPr>
              <w:t>: Повреждение клеток печени/гепатит включает лекарственно-индуцированное поражение печени,</w:t>
            </w:r>
          </w:p>
          <w:p w14:paraId="264C1C5A" w14:textId="77777777" w:rsidR="00201AD2" w:rsidRPr="009964DD" w:rsidRDefault="00201AD2" w:rsidP="00201AD2">
            <w:pPr>
              <w:pStyle w:val="OT"/>
              <w:spacing w:after="0"/>
              <w:rPr>
                <w:sz w:val="20"/>
              </w:rPr>
            </w:pPr>
            <w:r w:rsidRPr="009964DD">
              <w:rPr>
                <w:sz w:val="20"/>
              </w:rPr>
              <w:t>стеатоз печени, холестатическое поражение печени.</w:t>
            </w:r>
          </w:p>
          <w:p w14:paraId="50E87DBD" w14:textId="77777777" w:rsidR="00201AD2" w:rsidRPr="009964DD" w:rsidRDefault="00201AD2" w:rsidP="00201AD2">
            <w:pPr>
              <w:pStyle w:val="OT"/>
              <w:spacing w:after="0"/>
              <w:rPr>
                <w:sz w:val="20"/>
              </w:rPr>
            </w:pPr>
            <w:r w:rsidRPr="009964DD">
              <w:rPr>
                <w:sz w:val="20"/>
                <w:vertAlign w:val="superscript"/>
                <w:lang w:val="en-US"/>
              </w:rPr>
              <w:t>n</w:t>
            </w:r>
            <w:r w:rsidRPr="009964DD">
              <w:rPr>
                <w:sz w:val="20"/>
              </w:rPr>
              <w:t>: Эпизоды почечной недостаточности включают острую преренальную недостаточность, острую почечную недостаточность, острое повреждение почек, некроз почечных канальцев.</w:t>
            </w:r>
          </w:p>
          <w:p w14:paraId="022C9BB9" w14:textId="77777777" w:rsidR="00201AD2" w:rsidRPr="009964DD" w:rsidRDefault="00201AD2" w:rsidP="00201AD2">
            <w:pPr>
              <w:pStyle w:val="OT"/>
              <w:spacing w:after="0"/>
              <w:rPr>
                <w:sz w:val="20"/>
              </w:rPr>
            </w:pPr>
            <w:r w:rsidRPr="009964DD">
              <w:rPr>
                <w:sz w:val="20"/>
                <w:vertAlign w:val="superscript"/>
              </w:rPr>
              <w:t>о</w:t>
            </w:r>
            <w:r w:rsidRPr="009964DD">
              <w:rPr>
                <w:sz w:val="20"/>
              </w:rPr>
              <w:t>: Негастроинтестинальная фистула включает все случаи образования фистул вне желудочно-</w:t>
            </w:r>
          </w:p>
          <w:p w14:paraId="045EB671" w14:textId="77777777" w:rsidR="00201AD2" w:rsidRPr="009964DD" w:rsidRDefault="00201AD2" w:rsidP="00201AD2">
            <w:pPr>
              <w:pStyle w:val="OT"/>
              <w:spacing w:after="0"/>
              <w:rPr>
                <w:sz w:val="20"/>
              </w:rPr>
            </w:pPr>
            <w:r w:rsidRPr="009964DD">
              <w:rPr>
                <w:sz w:val="20"/>
              </w:rPr>
              <w:t>кишечного тракта, включая трахеальные, трахео-эзофагеальные, эзофагеальные, фистулы женских половых путей и кожные фистулы.</w:t>
            </w:r>
          </w:p>
          <w:p w14:paraId="4089C34D" w14:textId="77777777" w:rsidR="00201AD2" w:rsidRPr="009964DD" w:rsidRDefault="00201AD2" w:rsidP="00201AD2">
            <w:pPr>
              <w:pStyle w:val="OT"/>
              <w:spacing w:after="0"/>
              <w:rPr>
                <w:color w:val="000000"/>
                <w:sz w:val="20"/>
              </w:rPr>
            </w:pPr>
            <w:r w:rsidRPr="009964DD">
              <w:rPr>
                <w:sz w:val="20"/>
              </w:rPr>
              <w:t xml:space="preserve">АЛТ ‒ </w:t>
            </w:r>
            <w:r w:rsidRPr="009964DD">
              <w:rPr>
                <w:color w:val="000000"/>
                <w:sz w:val="20"/>
              </w:rPr>
              <w:t xml:space="preserve">аланинаминотрансфераза. </w:t>
            </w:r>
          </w:p>
          <w:p w14:paraId="00163EED" w14:textId="77777777" w:rsidR="00201AD2" w:rsidRPr="009964DD" w:rsidRDefault="00201AD2" w:rsidP="00201AD2">
            <w:pPr>
              <w:pStyle w:val="OT"/>
              <w:spacing w:after="0"/>
              <w:rPr>
                <w:color w:val="000000"/>
                <w:sz w:val="20"/>
              </w:rPr>
            </w:pPr>
            <w:r w:rsidRPr="009964DD">
              <w:rPr>
                <w:color w:val="000000"/>
                <w:sz w:val="20"/>
              </w:rPr>
              <w:t xml:space="preserve">АСТ </w:t>
            </w:r>
            <w:r w:rsidRPr="009964DD">
              <w:rPr>
                <w:sz w:val="20"/>
              </w:rPr>
              <w:t xml:space="preserve">‒ </w:t>
            </w:r>
            <w:r w:rsidRPr="009964DD">
              <w:rPr>
                <w:color w:val="000000"/>
                <w:sz w:val="20"/>
              </w:rPr>
              <w:t>аспартатаминотрансфераза.</w:t>
            </w:r>
          </w:p>
          <w:p w14:paraId="380DCF50" w14:textId="5DE60FDE" w:rsidR="00201AD2" w:rsidRPr="009964DD" w:rsidRDefault="00201AD2" w:rsidP="00201AD2">
            <w:pPr>
              <w:pStyle w:val="OT"/>
              <w:spacing w:after="0"/>
              <w:rPr>
                <w:sz w:val="20"/>
              </w:rPr>
            </w:pPr>
            <w:r w:rsidRPr="009964DD">
              <w:rPr>
                <w:sz w:val="20"/>
              </w:rPr>
              <w:t xml:space="preserve">ЛПЭ ‒ </w:t>
            </w:r>
            <w:r w:rsidRPr="009964DD">
              <w:rPr>
                <w:color w:val="000000"/>
                <w:sz w:val="20"/>
              </w:rPr>
              <w:t>ладонно-подошвенная эритродизестезия.</w:t>
            </w:r>
          </w:p>
        </w:tc>
      </w:tr>
    </w:tbl>
    <w:p w14:paraId="61F16055" w14:textId="77777777" w:rsidR="00200EBA" w:rsidRDefault="00200EBA" w:rsidP="00200EBA">
      <w:pPr>
        <w:ind w:firstLine="851"/>
        <w:rPr>
          <w:lang w:eastAsia="ru-RU"/>
        </w:rPr>
      </w:pPr>
    </w:p>
    <w:p w14:paraId="06CCB9DB" w14:textId="1442C504" w:rsidR="00606FC4" w:rsidRPr="00606FC4" w:rsidRDefault="00606FC4" w:rsidP="00606FC4">
      <w:pPr>
        <w:ind w:firstLine="709"/>
        <w:contextualSpacing/>
        <w:rPr>
          <w:iCs/>
        </w:rPr>
      </w:pPr>
      <w:r w:rsidRPr="00D050C7">
        <w:rPr>
          <w:iCs/>
        </w:rPr>
        <w:t>В исследовании по протоколу №</w:t>
      </w:r>
      <w:r w:rsidRPr="00606FC4">
        <w:rPr>
          <w:rFonts w:eastAsia="Calibri"/>
          <w:lang w:val="en-US"/>
        </w:rPr>
        <w:t>CL</w:t>
      </w:r>
      <w:r w:rsidRPr="00606FC4">
        <w:rPr>
          <w:rFonts w:eastAsia="Calibri"/>
        </w:rPr>
        <w:t>011056162</w:t>
      </w:r>
      <w:r w:rsidRPr="00D050C7">
        <w:rPr>
          <w:iCs/>
        </w:rPr>
        <w:t xml:space="preserve"> каждый доброволец получит по 2 приема </w:t>
      </w:r>
      <w:r w:rsidR="00504969" w:rsidRPr="00D050C7">
        <w:rPr>
          <w:iCs/>
        </w:rPr>
        <w:t>л</w:t>
      </w:r>
      <w:r w:rsidR="00504969">
        <w:rPr>
          <w:iCs/>
        </w:rPr>
        <w:t xml:space="preserve">еватиниба </w:t>
      </w:r>
      <w:r w:rsidRPr="00D050C7">
        <w:rPr>
          <w:iCs/>
        </w:rPr>
        <w:t xml:space="preserve">в разовой дозе </w:t>
      </w:r>
      <w:r w:rsidR="00504969">
        <w:rPr>
          <w:iCs/>
        </w:rPr>
        <w:t>4 или 10</w:t>
      </w:r>
      <w:r w:rsidRPr="00D050C7">
        <w:rPr>
          <w:iCs/>
        </w:rPr>
        <w:t xml:space="preserve"> мг. Каждый прием будет отделен от последующего отмывочным периодом в </w:t>
      </w:r>
      <w:r>
        <w:rPr>
          <w:iCs/>
        </w:rPr>
        <w:t>14</w:t>
      </w:r>
      <w:r w:rsidRPr="00D050C7">
        <w:rPr>
          <w:iCs/>
        </w:rPr>
        <w:t xml:space="preserve">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w:t>
      </w:r>
      <w:r w:rsidRPr="00D050C7">
        <w:rPr>
          <w:iCs/>
        </w:rPr>
        <w:lastRenderedPageBreak/>
        <w:t xml:space="preserve">предполагается, что нежелательные явления будут соответствовать профилю безопасности </w:t>
      </w:r>
      <w:r w:rsidR="008C663B">
        <w:rPr>
          <w:lang w:eastAsia="ru-RU"/>
        </w:rPr>
        <w:t>ленватиниб</w:t>
      </w:r>
      <w:r w:rsidR="008C663B" w:rsidRPr="00EC3A51">
        <w:rPr>
          <w:lang w:eastAsia="ru-RU"/>
        </w:rPr>
        <w:t>а</w:t>
      </w:r>
      <w:r w:rsidRPr="00D050C7">
        <w:rPr>
          <w:iCs/>
        </w:rPr>
        <w:t xml:space="preserve"> и характеризоваться преимущественно легкой или умеренной степенью выраженности.</w:t>
      </w:r>
      <w:r w:rsidRPr="00606FC4">
        <w:rPr>
          <w:iCs/>
        </w:rPr>
        <w:t xml:space="preserve"> </w:t>
      </w:r>
    </w:p>
    <w:p w14:paraId="7702C92B" w14:textId="19610BA9" w:rsidR="00606FC4" w:rsidRPr="001D180F" w:rsidRDefault="00606FC4" w:rsidP="00606FC4">
      <w:pPr>
        <w:ind w:firstLine="709"/>
        <w:rPr>
          <w:lang w:eastAsia="ru-RU"/>
        </w:rPr>
      </w:pPr>
      <w:r w:rsidRPr="00D050C7">
        <w:rPr>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sidRPr="00D050C7">
        <w:rPr>
          <w:rStyle w:val="af"/>
        </w:rPr>
        <w:footnoteReference w:id="2"/>
      </w:r>
      <w:r w:rsidRPr="00D050C7">
        <w:rPr>
          <w:lang w:eastAsia="ru-RU"/>
        </w:rPr>
        <w:t>.</w:t>
      </w:r>
      <w:r w:rsidRPr="00D050C7">
        <w:rPr>
          <w:vertAlign w:val="superscript"/>
        </w:rPr>
        <w:t xml:space="preserve"> </w:t>
      </w:r>
      <w:r w:rsidRPr="00D050C7">
        <w:rPr>
          <w:lang w:eastAsia="ru-RU"/>
        </w:rPr>
        <w:t>С целью обеспечения максимальной безопасности применения вилдаглиптина у добровольцев женского пола, в рамках настоящего исследования будут учтены критерии, являющиеся противопоказаниями к назначению в</w:t>
      </w:r>
      <w:r w:rsidR="008C663B" w:rsidRPr="008C663B">
        <w:rPr>
          <w:lang w:eastAsia="ru-RU"/>
        </w:rPr>
        <w:t xml:space="preserve"> </w:t>
      </w:r>
      <w:r w:rsidR="008C663B">
        <w:rPr>
          <w:lang w:eastAsia="ru-RU"/>
        </w:rPr>
        <w:t>ленватиниб</w:t>
      </w:r>
      <w:r w:rsidR="008C663B" w:rsidRPr="00EC3A51">
        <w:rPr>
          <w:lang w:eastAsia="ru-RU"/>
        </w:rPr>
        <w:t>а</w:t>
      </w:r>
      <w:r w:rsidRPr="00D050C7">
        <w:rPr>
          <w:lang w:eastAsia="ru-RU"/>
        </w:rPr>
        <w:t xml:space="preserve"> у женщин, в частности лактация и беременность. Для предотвращения приема </w:t>
      </w:r>
      <w:r w:rsidR="00504969">
        <w:rPr>
          <w:lang w:eastAsia="ru-RU"/>
        </w:rPr>
        <w:t>леватиниба</w:t>
      </w:r>
      <w:r w:rsidRPr="00D050C7">
        <w:rPr>
          <w:lang w:eastAsia="ru-RU"/>
        </w:rPr>
        <w:t xml:space="preserve">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sidR="008C663B">
        <w:rPr>
          <w:lang w:eastAsia="ru-RU"/>
        </w:rPr>
        <w:t>ленватиниб</w:t>
      </w:r>
      <w:r w:rsidR="008C663B" w:rsidRPr="00EC3A51">
        <w:rPr>
          <w:lang w:eastAsia="ru-RU"/>
        </w:rPr>
        <w:t>а</w:t>
      </w:r>
      <w:r w:rsidRPr="00D050C7">
        <w:rPr>
          <w:lang w:eastAsia="ru-RU"/>
        </w:rPr>
        <w:t>.</w:t>
      </w:r>
    </w:p>
    <w:p w14:paraId="40EC62D1" w14:textId="3B08FF34" w:rsidR="00606FC4" w:rsidRPr="0092765E" w:rsidRDefault="00606FC4" w:rsidP="00606FC4">
      <w:pPr>
        <w:ind w:firstLine="709"/>
        <w:contextualSpacing/>
        <w:rPr>
          <w:iCs/>
        </w:rPr>
      </w:pPr>
      <w:r w:rsidRPr="0092765E">
        <w:rPr>
          <w:iCs/>
        </w:rPr>
        <w:t xml:space="preserve">Прием лекарственных препаратов, характеризующихся известным взаимодействием с </w:t>
      </w:r>
      <w:r w:rsidR="008C663B">
        <w:rPr>
          <w:lang w:eastAsia="ru-RU"/>
        </w:rPr>
        <w:t>ленватинибом</w:t>
      </w:r>
      <w:r w:rsidRPr="0092765E">
        <w:rPr>
          <w:iCs/>
        </w:rPr>
        <w:t xml:space="preserve">, в исследовании будет запрещен. </w:t>
      </w:r>
    </w:p>
    <w:p w14:paraId="2FBA574B" w14:textId="3B01DB40" w:rsidR="00200EBA" w:rsidRPr="00201AD2" w:rsidRDefault="00606FC4" w:rsidP="00201AD2">
      <w:pPr>
        <w:ind w:firstLine="709"/>
        <w:contextualSpacing/>
        <w:rPr>
          <w:iCs/>
        </w:rPr>
      </w:pPr>
      <w:r w:rsidRPr="0092765E">
        <w:rPr>
          <w:iCs/>
        </w:rPr>
        <w:t xml:space="preserve">В связи с приведенными аргументами риск развития нежелательных явлений для здоровых </w:t>
      </w:r>
      <w:r w:rsidR="00201AD2">
        <w:rPr>
          <w:iCs/>
        </w:rPr>
        <w:t>добровольцев будет минимальным.</w:t>
      </w:r>
    </w:p>
    <w:p w14:paraId="7A790B06" w14:textId="77777777" w:rsidR="00200EBA" w:rsidRPr="005E6358" w:rsidRDefault="00200EBA" w:rsidP="00200EBA">
      <w:pPr>
        <w:pStyle w:val="2"/>
        <w:spacing w:line="240" w:lineRule="auto"/>
        <w:rPr>
          <w:color w:val="000000" w:themeColor="text1"/>
          <w:szCs w:val="24"/>
        </w:rPr>
      </w:pPr>
      <w:bookmarkStart w:id="252" w:name="_Toc126059770"/>
      <w:bookmarkEnd w:id="249"/>
      <w:bookmarkEnd w:id="250"/>
      <w:bookmarkEnd w:id="251"/>
      <w:r w:rsidRPr="005E6358">
        <w:rPr>
          <w:color w:val="000000" w:themeColor="text1"/>
          <w:szCs w:val="24"/>
        </w:rPr>
        <w:t>5.3. Инструкции для исследователя</w:t>
      </w:r>
      <w:bookmarkEnd w:id="247"/>
      <w:bookmarkEnd w:id="248"/>
      <w:bookmarkEnd w:id="252"/>
    </w:p>
    <w:p w14:paraId="10A8DCFE" w14:textId="77777777" w:rsidR="00200EBA" w:rsidRDefault="00200EBA" w:rsidP="00200EBA">
      <w:pPr>
        <w:pStyle w:val="3"/>
        <w:spacing w:after="240"/>
        <w:rPr>
          <w:rFonts w:ascii="Times New Roman" w:hAnsi="Times New Roman"/>
          <w:color w:val="000000" w:themeColor="text1"/>
        </w:rPr>
      </w:pPr>
      <w:bookmarkStart w:id="253" w:name="_Toc301482878"/>
      <w:bookmarkStart w:id="254" w:name="_Toc298775568"/>
      <w:bookmarkStart w:id="255" w:name="_Toc126059771"/>
      <w:r w:rsidRPr="005E6358">
        <w:rPr>
          <w:rFonts w:ascii="Times New Roman" w:hAnsi="Times New Roman"/>
          <w:color w:val="000000" w:themeColor="text1"/>
        </w:rPr>
        <w:t>5.3.1. Показания к применению</w:t>
      </w:r>
      <w:bookmarkEnd w:id="253"/>
      <w:bookmarkEnd w:id="254"/>
      <w:bookmarkEnd w:id="255"/>
    </w:p>
    <w:p w14:paraId="41EF407F" w14:textId="77777777" w:rsidR="00201AD2" w:rsidRPr="00D5370A" w:rsidRDefault="00201AD2" w:rsidP="00201AD2">
      <w:pPr>
        <w:pStyle w:val="af3"/>
        <w:numPr>
          <w:ilvl w:val="0"/>
          <w:numId w:val="40"/>
        </w:numPr>
        <w:rPr>
          <w:b/>
          <w:bCs/>
          <w:noProof/>
        </w:rPr>
      </w:pPr>
      <w:bookmarkStart w:id="256" w:name="_Toc301482879"/>
      <w:bookmarkStart w:id="257" w:name="_Toc287529201"/>
      <w:bookmarkStart w:id="258" w:name="_Toc298775569"/>
      <w:r w:rsidRPr="00D5370A">
        <w:rPr>
          <w:b/>
          <w:bCs/>
          <w:noProof/>
        </w:rPr>
        <w:t>Дифференцированный рак щитовидной железы</w:t>
      </w:r>
    </w:p>
    <w:p w14:paraId="128A1671" w14:textId="77777777" w:rsidR="00201AD2" w:rsidRPr="00D5370A" w:rsidRDefault="00201AD2" w:rsidP="00201AD2">
      <w:pPr>
        <w:pStyle w:val="af3"/>
        <w:ind w:left="0" w:firstLine="720"/>
        <w:rPr>
          <w:noProof/>
        </w:rPr>
      </w:pPr>
      <w:r w:rsidRPr="00D5370A">
        <w:rPr>
          <w:noProof/>
        </w:rPr>
        <w:t>Л</w:t>
      </w:r>
      <w:r w:rsidRPr="00D5370A">
        <w:t xml:space="preserve">енватиниб </w:t>
      </w:r>
      <w:r w:rsidRPr="00D5370A">
        <w:rPr>
          <w:noProof/>
        </w:rPr>
        <w:t>показан к применению в монотерапии у взрослых пациентов с прогрессирующим местно-распространенным или метастатическим дифференцированным (папиллярным, фолликулярным, из клеток Гюртле) РЩЗ, рефрактерным к терапии радиоактивным йодом.</w:t>
      </w:r>
    </w:p>
    <w:p w14:paraId="568B9968" w14:textId="77777777" w:rsidR="00201AD2" w:rsidRPr="00D5370A" w:rsidRDefault="00201AD2" w:rsidP="00201AD2">
      <w:pPr>
        <w:pStyle w:val="af3"/>
        <w:numPr>
          <w:ilvl w:val="0"/>
          <w:numId w:val="42"/>
        </w:numPr>
        <w:rPr>
          <w:b/>
          <w:bCs/>
          <w:noProof/>
        </w:rPr>
      </w:pPr>
      <w:r w:rsidRPr="00D5370A">
        <w:rPr>
          <w:b/>
          <w:bCs/>
          <w:noProof/>
        </w:rPr>
        <w:t>Гепатоцеллюлярный рак</w:t>
      </w:r>
    </w:p>
    <w:p w14:paraId="44891900" w14:textId="77777777" w:rsidR="00201AD2" w:rsidRPr="00D5370A" w:rsidRDefault="00201AD2" w:rsidP="00201AD2">
      <w:pPr>
        <w:pStyle w:val="af3"/>
        <w:ind w:left="0" w:firstLine="720"/>
        <w:rPr>
          <w:noProof/>
        </w:rPr>
      </w:pPr>
      <w:r w:rsidRPr="00D5370A">
        <w:rPr>
          <w:noProof/>
        </w:rPr>
        <w:t>Л</w:t>
      </w:r>
      <w:r w:rsidRPr="00D5370A">
        <w:t xml:space="preserve">енватиниб </w:t>
      </w:r>
      <w:r w:rsidRPr="00D5370A">
        <w:rPr>
          <w:noProof/>
        </w:rPr>
        <w:t>показан к применению в монотерапии у взросльгх пациентов с прогрессирующим или неоперабельным ГЦР, ранее не получавших системной терапии.</w:t>
      </w:r>
    </w:p>
    <w:p w14:paraId="5A90F641" w14:textId="77777777" w:rsidR="00201AD2" w:rsidRPr="00D5370A" w:rsidRDefault="00201AD2" w:rsidP="00201AD2">
      <w:pPr>
        <w:pStyle w:val="af3"/>
        <w:numPr>
          <w:ilvl w:val="0"/>
          <w:numId w:val="42"/>
        </w:numPr>
        <w:rPr>
          <w:b/>
          <w:bCs/>
          <w:noProof/>
        </w:rPr>
      </w:pPr>
      <w:r w:rsidRPr="00D5370A">
        <w:rPr>
          <w:b/>
          <w:bCs/>
          <w:noProof/>
        </w:rPr>
        <w:t>Почечно-клеточный рак</w:t>
      </w:r>
    </w:p>
    <w:p w14:paraId="064412FA" w14:textId="3BE80216" w:rsidR="00201AD2" w:rsidRPr="00D5370A" w:rsidRDefault="00201AD2" w:rsidP="00201AD2">
      <w:pPr>
        <w:pStyle w:val="af3"/>
        <w:ind w:left="0" w:firstLine="720"/>
        <w:rPr>
          <w:noProof/>
        </w:rPr>
      </w:pPr>
      <w:r w:rsidRPr="00D5370A">
        <w:rPr>
          <w:noProof/>
        </w:rPr>
        <w:t>Л</w:t>
      </w:r>
      <w:r w:rsidRPr="00D5370A">
        <w:t xml:space="preserve">енватиниб </w:t>
      </w:r>
      <w:r w:rsidRPr="00D5370A">
        <w:rPr>
          <w:noProof/>
        </w:rPr>
        <w:t xml:space="preserve">показан к применению в комбинации с пембролизумабом в качестве1-й линии терапии у взрослых пациентов с распространенным ПКР. </w:t>
      </w:r>
      <w:r w:rsidR="009964DD">
        <w:rPr>
          <w:noProof/>
        </w:rPr>
        <w:t>Ленватиниб</w:t>
      </w:r>
      <w:r w:rsidRPr="00D5370A">
        <w:rPr>
          <w:noProof/>
        </w:rPr>
        <w:t xml:space="preserve"> показан к применению в комбинации с эверолимусом у взрослых пациентов с распространенным ПКР, после одного предшествующего курса таргетной терапии ингибиторами рецепторов фактора роста эндотелия сосудов.</w:t>
      </w:r>
    </w:p>
    <w:p w14:paraId="7C98C1DB" w14:textId="77777777" w:rsidR="00201AD2" w:rsidRPr="00D5370A" w:rsidRDefault="00201AD2" w:rsidP="00201AD2">
      <w:pPr>
        <w:pStyle w:val="af3"/>
        <w:numPr>
          <w:ilvl w:val="0"/>
          <w:numId w:val="42"/>
        </w:numPr>
        <w:rPr>
          <w:b/>
          <w:bCs/>
          <w:noProof/>
        </w:rPr>
      </w:pPr>
      <w:r w:rsidRPr="00D5370A">
        <w:rPr>
          <w:b/>
          <w:bCs/>
          <w:noProof/>
        </w:rPr>
        <w:t>Рак эндометрия</w:t>
      </w:r>
    </w:p>
    <w:p w14:paraId="0B51E1E0" w14:textId="77777777" w:rsidR="00201AD2" w:rsidRPr="00D5370A" w:rsidRDefault="00201AD2" w:rsidP="00201AD2">
      <w:pPr>
        <w:pStyle w:val="OT"/>
        <w:spacing w:after="0"/>
        <w:ind w:firstLine="720"/>
        <w:rPr>
          <w:noProof/>
          <w:szCs w:val="22"/>
        </w:rPr>
      </w:pPr>
      <w:r w:rsidRPr="00D5370A">
        <w:rPr>
          <w:noProof/>
          <w:sz w:val="24"/>
          <w:szCs w:val="24"/>
        </w:rPr>
        <w:t>Л</w:t>
      </w:r>
      <w:r w:rsidRPr="00D5370A">
        <w:rPr>
          <w:sz w:val="24"/>
          <w:szCs w:val="24"/>
        </w:rPr>
        <w:t xml:space="preserve">енватиниб </w:t>
      </w:r>
      <w:r w:rsidRPr="00D5370A">
        <w:rPr>
          <w:noProof/>
          <w:sz w:val="24"/>
          <w:szCs w:val="24"/>
        </w:rPr>
        <w:t xml:space="preserve">показан к применению в комбинации с пембролизумабом у взрослых пациентов с распространенным раком эндометрия в случае отсутствия высокой микросателлитной нестабильности (MSI-H) или нарушений системы репарации </w:t>
      </w:r>
      <w:r w:rsidRPr="00D5370A">
        <w:rPr>
          <w:rFonts w:eastAsiaTheme="minorEastAsia"/>
          <w:sz w:val="24"/>
          <w:szCs w:val="24"/>
        </w:rPr>
        <w:t>дезоксирибонуклеиновой кислоты</w:t>
      </w:r>
      <w:r w:rsidRPr="00D5370A">
        <w:rPr>
          <w:noProof/>
          <w:sz w:val="24"/>
          <w:szCs w:val="24"/>
        </w:rPr>
        <w:t xml:space="preserve"> (ДНК) (dMMR) с прогрессированием заболевания после предшествующей системной терапии в любом режиме, которым не показано хирургическое лечение или лучевая терапия</w:t>
      </w:r>
      <w:r w:rsidRPr="00624215">
        <w:rPr>
          <w:noProof/>
          <w:szCs w:val="22"/>
        </w:rPr>
        <w:t>.</w:t>
      </w:r>
    </w:p>
    <w:p w14:paraId="0F4468EF" w14:textId="77777777" w:rsidR="00200EBA" w:rsidRDefault="00200EBA" w:rsidP="00200EBA">
      <w:pPr>
        <w:pStyle w:val="3"/>
        <w:spacing w:after="240"/>
        <w:rPr>
          <w:rFonts w:ascii="Times New Roman" w:hAnsi="Times New Roman"/>
          <w:color w:val="000000" w:themeColor="text1"/>
        </w:rPr>
      </w:pPr>
      <w:bookmarkStart w:id="259" w:name="_Toc126059772"/>
      <w:r w:rsidRPr="005E6358">
        <w:rPr>
          <w:rFonts w:ascii="Times New Roman" w:hAnsi="Times New Roman"/>
          <w:color w:val="000000" w:themeColor="text1"/>
        </w:rPr>
        <w:lastRenderedPageBreak/>
        <w:t>5.3.2. Противопоказания</w:t>
      </w:r>
      <w:bookmarkEnd w:id="256"/>
      <w:bookmarkEnd w:id="257"/>
      <w:bookmarkEnd w:id="258"/>
      <w:bookmarkEnd w:id="259"/>
    </w:p>
    <w:p w14:paraId="4E7A527B" w14:textId="77777777" w:rsidR="00200EBA" w:rsidRPr="002F7C0F" w:rsidRDefault="00200EBA" w:rsidP="00200EBA">
      <w:pPr>
        <w:rPr>
          <w:b/>
          <w:bCs/>
        </w:rPr>
      </w:pPr>
      <w:r w:rsidRPr="002F7C0F">
        <w:rPr>
          <w:b/>
          <w:bCs/>
        </w:rPr>
        <w:t>Противопоказания</w:t>
      </w:r>
    </w:p>
    <w:p w14:paraId="45BB1CFA" w14:textId="77777777" w:rsidR="00200EBA" w:rsidRDefault="00200EBA" w:rsidP="00200EBA">
      <w:pPr>
        <w:pStyle w:val="af3"/>
        <w:numPr>
          <w:ilvl w:val="0"/>
          <w:numId w:val="32"/>
        </w:numPr>
      </w:pPr>
      <w:r>
        <w:t xml:space="preserve">Гиперчувствительность к ленватинибу или другим компонентам препарата. </w:t>
      </w:r>
    </w:p>
    <w:p w14:paraId="36536E59" w14:textId="77777777" w:rsidR="00200EBA" w:rsidRDefault="00200EBA" w:rsidP="00200EBA">
      <w:pPr>
        <w:pStyle w:val="af3"/>
        <w:numPr>
          <w:ilvl w:val="0"/>
          <w:numId w:val="32"/>
        </w:numPr>
      </w:pPr>
      <w:r>
        <w:t>Беременность.</w:t>
      </w:r>
    </w:p>
    <w:p w14:paraId="39BD29C5" w14:textId="77777777" w:rsidR="00200EBA" w:rsidRDefault="00200EBA" w:rsidP="00200EBA">
      <w:pPr>
        <w:pStyle w:val="af3"/>
        <w:numPr>
          <w:ilvl w:val="0"/>
          <w:numId w:val="32"/>
        </w:numPr>
      </w:pPr>
      <w:r>
        <w:t>Период грудного вскармливания.</w:t>
      </w:r>
    </w:p>
    <w:p w14:paraId="28F83173" w14:textId="77777777" w:rsidR="00200EBA" w:rsidRDefault="00200EBA" w:rsidP="00200EBA">
      <w:pPr>
        <w:pStyle w:val="af3"/>
        <w:numPr>
          <w:ilvl w:val="0"/>
          <w:numId w:val="32"/>
        </w:numPr>
      </w:pPr>
      <w:r>
        <w:t>Возраст до 18 лет (данные по эффективности и безопасности для данной категории пациентов отсутствуют).</w:t>
      </w:r>
    </w:p>
    <w:p w14:paraId="548DDC2C" w14:textId="77777777" w:rsidR="00200EBA" w:rsidRDefault="00200EBA" w:rsidP="00200EBA">
      <w:pPr>
        <w:pStyle w:val="af3"/>
        <w:numPr>
          <w:ilvl w:val="0"/>
          <w:numId w:val="32"/>
        </w:numPr>
      </w:pPr>
      <w:r>
        <w:t>Хронические заболевания почек в терминальной стадии.</w:t>
      </w:r>
    </w:p>
    <w:p w14:paraId="61446431" w14:textId="77777777" w:rsidR="00200EBA" w:rsidRDefault="00200EBA" w:rsidP="00200EBA"/>
    <w:p w14:paraId="17C48E56" w14:textId="77777777" w:rsidR="00200EBA" w:rsidRPr="002F7C0F" w:rsidRDefault="00200EBA" w:rsidP="00200EBA">
      <w:pPr>
        <w:rPr>
          <w:b/>
          <w:bCs/>
        </w:rPr>
      </w:pPr>
      <w:r w:rsidRPr="002F7C0F">
        <w:rPr>
          <w:b/>
          <w:bCs/>
        </w:rPr>
        <w:t>С осторожностью</w:t>
      </w:r>
    </w:p>
    <w:p w14:paraId="6A95273F" w14:textId="77777777" w:rsidR="00200EBA" w:rsidRDefault="00200EBA" w:rsidP="00200EBA">
      <w:pPr>
        <w:pStyle w:val="af3"/>
        <w:numPr>
          <w:ilvl w:val="0"/>
          <w:numId w:val="33"/>
        </w:numPr>
      </w:pPr>
      <w:r>
        <w:t>Артериальная гипертензии.</w:t>
      </w:r>
    </w:p>
    <w:p w14:paraId="770F89F4" w14:textId="77777777" w:rsidR="00200EBA" w:rsidRDefault="00200EBA" w:rsidP="00200EBA">
      <w:pPr>
        <w:pStyle w:val="af3"/>
        <w:numPr>
          <w:ilvl w:val="0"/>
          <w:numId w:val="33"/>
        </w:numPr>
      </w:pPr>
      <w:r>
        <w:t>Факторы риска аневризм/аневризмы в анамнезе.</w:t>
      </w:r>
    </w:p>
    <w:p w14:paraId="2A2C4F53" w14:textId="77777777" w:rsidR="00200EBA" w:rsidRDefault="00200EBA" w:rsidP="00200EBA">
      <w:pPr>
        <w:pStyle w:val="af3"/>
        <w:numPr>
          <w:ilvl w:val="0"/>
          <w:numId w:val="33"/>
        </w:numPr>
      </w:pPr>
      <w:r>
        <w:t>Нарушение функции печени и почек тяжелой степени тяжести.</w:t>
      </w:r>
    </w:p>
    <w:p w14:paraId="00EBFC65" w14:textId="77777777" w:rsidR="00200EBA" w:rsidRDefault="00200EBA" w:rsidP="00200EBA">
      <w:pPr>
        <w:pStyle w:val="af3"/>
        <w:numPr>
          <w:ilvl w:val="0"/>
          <w:numId w:val="33"/>
        </w:numPr>
      </w:pPr>
      <w:r>
        <w:t>Случаи артериальных тромбоэмболий у пациентов за полгода перед началом терапии ленватинибом.</w:t>
      </w:r>
    </w:p>
    <w:p w14:paraId="783E6EFA" w14:textId="436A7453" w:rsidR="00200EBA" w:rsidRDefault="00200EBA" w:rsidP="00200EBA">
      <w:pPr>
        <w:pStyle w:val="af3"/>
        <w:numPr>
          <w:ilvl w:val="0"/>
          <w:numId w:val="33"/>
        </w:numPr>
      </w:pPr>
      <w:r>
        <w:t>Факторы, влияющие на удлинение интервала QT. Пожилой возраст75 лет.</w:t>
      </w:r>
    </w:p>
    <w:p w14:paraId="0E34672F" w14:textId="23D78AA4" w:rsidR="00200EBA" w:rsidRDefault="00200EBA" w:rsidP="00243B16">
      <w:pPr>
        <w:pStyle w:val="af3"/>
        <w:numPr>
          <w:ilvl w:val="0"/>
          <w:numId w:val="33"/>
        </w:numPr>
      </w:pPr>
      <w:r>
        <w:t xml:space="preserve">Хроническая сердечная недостаточность </w:t>
      </w:r>
      <w:r w:rsidR="00243B16">
        <w:t xml:space="preserve">по </w:t>
      </w:r>
      <w:r w:rsidR="00243B16" w:rsidRPr="00243B16">
        <w:t xml:space="preserve">классификация Нью-Йоркской кардиологической ассоциации </w:t>
      </w:r>
      <w:r w:rsidR="00243B16">
        <w:t>(</w:t>
      </w:r>
      <w:r w:rsidR="00243B16" w:rsidRPr="00243B16">
        <w:t>New York Heart Association</w:t>
      </w:r>
      <w:r w:rsidR="00243B16">
        <w:t xml:space="preserve">, </w:t>
      </w:r>
      <w:r>
        <w:t>NYHA</w:t>
      </w:r>
      <w:r w:rsidR="00243B16">
        <w:t>)</w:t>
      </w:r>
      <w:r>
        <w:t xml:space="preserve"> класс II и выше. Нестабильная стенокардия.</w:t>
      </w:r>
    </w:p>
    <w:p w14:paraId="0B67268E" w14:textId="77777777" w:rsidR="00200EBA" w:rsidRDefault="00200EBA" w:rsidP="00200EBA">
      <w:pPr>
        <w:pStyle w:val="af3"/>
        <w:numPr>
          <w:ilvl w:val="0"/>
          <w:numId w:val="33"/>
        </w:numPr>
      </w:pPr>
      <w:r>
        <w:t>Инфаркт миокарда.</w:t>
      </w:r>
    </w:p>
    <w:p w14:paraId="0F3EDD12" w14:textId="77777777" w:rsidR="00200EBA" w:rsidRDefault="00200EBA" w:rsidP="00200EBA">
      <w:pPr>
        <w:pStyle w:val="af3"/>
        <w:numPr>
          <w:ilvl w:val="0"/>
          <w:numId w:val="33"/>
        </w:numPr>
      </w:pPr>
      <w:r>
        <w:t>Аритмии с нестабильной гемодинамикой.</w:t>
      </w:r>
    </w:p>
    <w:p w14:paraId="79B3B9F3" w14:textId="77777777" w:rsidR="00200EBA" w:rsidRPr="0008728D" w:rsidRDefault="00200EBA" w:rsidP="00200EBA">
      <w:pPr>
        <w:pStyle w:val="af3"/>
        <w:numPr>
          <w:ilvl w:val="0"/>
          <w:numId w:val="33"/>
        </w:numPr>
      </w:pPr>
      <w:r>
        <w:t>Инсульт за полгода перед началом терапии ленватинибом.</w:t>
      </w:r>
    </w:p>
    <w:p w14:paraId="7EF1AB3D" w14:textId="77777777" w:rsidR="00200EBA" w:rsidRDefault="00200EBA" w:rsidP="00200EBA">
      <w:pPr>
        <w:pStyle w:val="3"/>
        <w:spacing w:after="240"/>
        <w:rPr>
          <w:rFonts w:ascii="Times New Roman" w:hAnsi="Times New Roman"/>
          <w:color w:val="000000" w:themeColor="text1"/>
        </w:rPr>
      </w:pPr>
      <w:bookmarkStart w:id="260" w:name="_Toc301482880"/>
      <w:bookmarkStart w:id="261" w:name="_Toc287529202"/>
      <w:bookmarkStart w:id="262" w:name="_Toc298775570"/>
      <w:bookmarkStart w:id="263" w:name="_Toc126059773"/>
      <w:r w:rsidRPr="00A26EEC">
        <w:rPr>
          <w:rFonts w:ascii="Times New Roman" w:hAnsi="Times New Roman"/>
          <w:color w:val="000000" w:themeColor="text1"/>
        </w:rPr>
        <w:t xml:space="preserve">5.3.3. </w:t>
      </w:r>
      <w:bookmarkEnd w:id="260"/>
      <w:bookmarkEnd w:id="261"/>
      <w:bookmarkEnd w:id="262"/>
      <w:r w:rsidRPr="00A26EEC">
        <w:rPr>
          <w:rFonts w:ascii="Times New Roman" w:hAnsi="Times New Roman"/>
          <w:color w:val="000000" w:themeColor="text1"/>
        </w:rPr>
        <w:t>Применение</w:t>
      </w:r>
      <w:r w:rsidRPr="005E6358">
        <w:rPr>
          <w:rFonts w:ascii="Times New Roman" w:hAnsi="Times New Roman"/>
          <w:color w:val="000000" w:themeColor="text1"/>
        </w:rPr>
        <w:t xml:space="preserve"> при беременности и в период грудного вскармливания</w:t>
      </w:r>
      <w:bookmarkEnd w:id="263"/>
    </w:p>
    <w:p w14:paraId="18434F0E" w14:textId="77777777" w:rsidR="00200EBA" w:rsidRPr="00FD3885" w:rsidRDefault="00200EBA" w:rsidP="00C22830">
      <w:pPr>
        <w:spacing w:before="120" w:after="120"/>
        <w:rPr>
          <w:b/>
          <w:bCs/>
        </w:rPr>
      </w:pPr>
      <w:bookmarkStart w:id="264" w:name="_Toc301482881"/>
      <w:bookmarkStart w:id="265" w:name="_Toc287529203"/>
      <w:bookmarkStart w:id="266" w:name="_Toc298775571"/>
      <w:r w:rsidRPr="00FD3885">
        <w:rPr>
          <w:b/>
          <w:bCs/>
        </w:rPr>
        <w:t>Беременность</w:t>
      </w:r>
    </w:p>
    <w:p w14:paraId="693C845B" w14:textId="77777777" w:rsidR="00200EBA" w:rsidRPr="008151D3" w:rsidRDefault="00200EBA" w:rsidP="000F0A73">
      <w:pPr>
        <w:ind w:firstLine="567"/>
      </w:pPr>
      <w:r w:rsidRPr="008151D3">
        <w:t>Данных о применении ленватиниба у беременных женщин нет. Ленватиниб оказывал эмбриотоксический и тератогенный эффект при введении крысам и кроликам во время органогенеза при экспозициях ниже клинической (в зависимости от площади поверхности тела) в максимальной рекомендуемой дозе для человека. Аномалии развития плода включали париетальный отек, криптофтальмию, аномальный хвост (крысы), ретроэзофагеальную подключичную артерию, сращивание ребер и позвоночные аномалии (кролики). Эти эмбриофетальные отклонения, вероятно, связаны с фармакологической активностью ленватиниба как антиангиогенного агента.</w:t>
      </w:r>
    </w:p>
    <w:p w14:paraId="51AE80B5" w14:textId="77777777" w:rsidR="00200EBA" w:rsidRPr="008151D3" w:rsidRDefault="00200EBA" w:rsidP="000F0A73">
      <w:pPr>
        <w:ind w:firstLine="567"/>
      </w:pPr>
      <w:r w:rsidRPr="008151D3">
        <w:t>Ленватиниб не следует применять во время беременности.</w:t>
      </w:r>
    </w:p>
    <w:p w14:paraId="2E8C7DF1" w14:textId="77777777" w:rsidR="00200EBA" w:rsidRPr="00FD3885" w:rsidRDefault="00200EBA" w:rsidP="00C22830">
      <w:pPr>
        <w:spacing w:before="120" w:after="120"/>
        <w:rPr>
          <w:b/>
          <w:bCs/>
        </w:rPr>
      </w:pPr>
      <w:r w:rsidRPr="00FD3885">
        <w:rPr>
          <w:b/>
          <w:bCs/>
        </w:rPr>
        <w:t>Лактация</w:t>
      </w:r>
    </w:p>
    <w:p w14:paraId="5EC84663" w14:textId="1B1ABE00" w:rsidR="00200EBA" w:rsidRPr="008151D3" w:rsidRDefault="00200EBA" w:rsidP="000F0A73">
      <w:pPr>
        <w:ind w:firstLine="709"/>
      </w:pPr>
      <w:r w:rsidRPr="008151D3">
        <w:t>Неизвестно, в</w:t>
      </w:r>
      <w:r>
        <w:t>ыд</w:t>
      </w:r>
      <w:r w:rsidRPr="008151D3">
        <w:t xml:space="preserve">еляется ли ленватиниб с </w:t>
      </w:r>
      <w:r w:rsidR="00F27A8B">
        <w:t>г</w:t>
      </w:r>
      <w:r w:rsidR="00F27A8B" w:rsidRPr="008151D3">
        <w:t xml:space="preserve">рудным </w:t>
      </w:r>
      <w:r w:rsidRPr="008151D3">
        <w:t xml:space="preserve">молоком человека. Ленватиниб и его метаболиты экскретируются с </w:t>
      </w:r>
      <w:r w:rsidR="00F27A8B">
        <w:t>г</w:t>
      </w:r>
      <w:r w:rsidR="00F27A8B" w:rsidRPr="008151D3">
        <w:t xml:space="preserve">рудным </w:t>
      </w:r>
      <w:r w:rsidRPr="008151D3">
        <w:t xml:space="preserve">молоком крыс. Из-за возможных неблагоприятных эффектов для младенца ленватиниб не следует применять при </w:t>
      </w:r>
      <w:r w:rsidR="00F27A8B">
        <w:t>г</w:t>
      </w:r>
      <w:r w:rsidR="00F27A8B" w:rsidRPr="008151D3">
        <w:t xml:space="preserve">рудном </w:t>
      </w:r>
      <w:r w:rsidRPr="008151D3">
        <w:t>вскармливании.</w:t>
      </w:r>
    </w:p>
    <w:p w14:paraId="44413AE0" w14:textId="2811311E" w:rsidR="00200EBA" w:rsidRPr="005E6358" w:rsidRDefault="00200EBA" w:rsidP="00200EBA">
      <w:pPr>
        <w:pStyle w:val="3"/>
        <w:spacing w:after="240"/>
        <w:rPr>
          <w:rFonts w:ascii="Times New Roman" w:hAnsi="Times New Roman"/>
          <w:color w:val="000000" w:themeColor="text1"/>
        </w:rPr>
      </w:pPr>
      <w:bookmarkStart w:id="267" w:name="_Toc126059774"/>
      <w:r w:rsidRPr="005E6358">
        <w:rPr>
          <w:rFonts w:ascii="Times New Roman" w:hAnsi="Times New Roman"/>
          <w:color w:val="000000" w:themeColor="text1"/>
        </w:rPr>
        <w:t>5.3.4. Способ применения и дозы</w:t>
      </w:r>
      <w:bookmarkEnd w:id="264"/>
      <w:bookmarkEnd w:id="265"/>
      <w:bookmarkEnd w:id="266"/>
      <w:bookmarkEnd w:id="267"/>
    </w:p>
    <w:p w14:paraId="157C8755" w14:textId="77777777" w:rsidR="00200EBA" w:rsidRPr="009A0CCD" w:rsidRDefault="00200EBA" w:rsidP="000F0A73">
      <w:pPr>
        <w:pStyle w:val="OT"/>
        <w:spacing w:after="0"/>
        <w:ind w:firstLine="567"/>
        <w:rPr>
          <w:rFonts w:eastAsia="Courier New"/>
          <w:sz w:val="24"/>
          <w:szCs w:val="24"/>
          <w:lang w:bidi="ru-RU"/>
        </w:rPr>
      </w:pPr>
      <w:bookmarkStart w:id="268" w:name="_Toc301482882"/>
      <w:bookmarkStart w:id="269" w:name="_Toc287529204"/>
      <w:bookmarkStart w:id="270" w:name="_Toc298775572"/>
      <w:r w:rsidRPr="009A0CCD">
        <w:rPr>
          <w:rFonts w:eastAsia="Courier New"/>
          <w:sz w:val="24"/>
          <w:szCs w:val="24"/>
          <w:lang w:bidi="ru-RU"/>
        </w:rPr>
        <w:t>Лечение препаратом Ленвима должно проводиться под контролем врача с опытом проведения противоопухолевой терапии.</w:t>
      </w:r>
    </w:p>
    <w:p w14:paraId="65608731" w14:textId="77777777" w:rsidR="00200EBA" w:rsidRPr="009A0CCD" w:rsidRDefault="00200EBA" w:rsidP="000F0A73">
      <w:pPr>
        <w:pStyle w:val="OT"/>
        <w:spacing w:after="0"/>
        <w:ind w:firstLine="567"/>
        <w:rPr>
          <w:rFonts w:eastAsia="Courier New"/>
          <w:sz w:val="24"/>
          <w:szCs w:val="24"/>
          <w:lang w:bidi="ru-RU"/>
        </w:rPr>
      </w:pPr>
      <w:r w:rsidRPr="009A0CCD">
        <w:rPr>
          <w:rFonts w:eastAsia="Courier New"/>
          <w:sz w:val="24"/>
          <w:szCs w:val="24"/>
          <w:lang w:bidi="ru-RU"/>
        </w:rPr>
        <w:lastRenderedPageBreak/>
        <w:t>Медикаментозное лечение тошноты, рвоты и диареи должно быть начато до приостановки лечения или снижения дозы ленватиниба для уменьшения риска дегидратации и развития почечной недостаточности</w:t>
      </w:r>
      <w:r>
        <w:rPr>
          <w:rFonts w:eastAsia="Courier New"/>
          <w:sz w:val="24"/>
          <w:szCs w:val="24"/>
          <w:lang w:bidi="ru-RU"/>
        </w:rPr>
        <w:t>.</w:t>
      </w:r>
    </w:p>
    <w:p w14:paraId="432F4F4C" w14:textId="77777777" w:rsidR="00200EBA" w:rsidRPr="009A0CCD" w:rsidRDefault="00200EBA" w:rsidP="00C22830">
      <w:pPr>
        <w:pStyle w:val="OT"/>
        <w:widowControl/>
        <w:autoSpaceDE/>
        <w:autoSpaceDN/>
        <w:adjustRightInd/>
        <w:spacing w:before="120"/>
        <w:rPr>
          <w:rFonts w:eastAsia="Courier New"/>
          <w:b/>
          <w:bCs/>
          <w:sz w:val="24"/>
          <w:szCs w:val="24"/>
          <w:lang w:bidi="ru-RU"/>
        </w:rPr>
      </w:pPr>
      <w:r w:rsidRPr="009A0CCD">
        <w:rPr>
          <w:rFonts w:eastAsia="Courier New"/>
          <w:b/>
          <w:bCs/>
          <w:sz w:val="24"/>
          <w:szCs w:val="24"/>
          <w:lang w:bidi="ru-RU"/>
        </w:rPr>
        <w:t>Способы введения и применения</w:t>
      </w:r>
    </w:p>
    <w:p w14:paraId="0901F10D" w14:textId="77777777" w:rsidR="00200EBA" w:rsidRPr="00E816D5" w:rsidRDefault="00200EBA" w:rsidP="00201AD2">
      <w:pPr>
        <w:ind w:firstLine="709"/>
        <w:rPr>
          <w:rFonts w:eastAsia="Courier New"/>
          <w:snapToGrid w:val="0"/>
          <w:lang w:eastAsia="ru-RU" w:bidi="ru-RU"/>
        </w:rPr>
      </w:pPr>
      <w:r w:rsidRPr="00E816D5">
        <w:rPr>
          <w:rFonts w:eastAsia="Courier New"/>
          <w:snapToGrid w:val="0"/>
          <w:lang w:eastAsia="ru-RU" w:bidi="ru-RU"/>
        </w:rPr>
        <w:t>Препарат ленватиниб предназначен для приема внутрь.</w:t>
      </w:r>
    </w:p>
    <w:p w14:paraId="2A893C6B" w14:textId="77777777" w:rsidR="00200EBA" w:rsidRPr="009A0CCD" w:rsidRDefault="00200EBA" w:rsidP="00201AD2">
      <w:pPr>
        <w:pStyle w:val="OT"/>
        <w:spacing w:after="0"/>
        <w:ind w:firstLine="709"/>
        <w:rPr>
          <w:rFonts w:eastAsia="Courier New"/>
          <w:sz w:val="24"/>
          <w:szCs w:val="24"/>
          <w:lang w:bidi="ru-RU"/>
        </w:rPr>
      </w:pPr>
      <w:r w:rsidRPr="009A0CCD">
        <w:rPr>
          <w:rFonts w:eastAsia="Courier New"/>
          <w:sz w:val="24"/>
          <w:szCs w:val="24"/>
          <w:lang w:bidi="ru-RU"/>
        </w:rPr>
        <w:t>Капсулы следует принимать один раз в сутки примерно в одно и то же время, вне зависимости от приема пищи. Капсулу следует проглатывать целиком, запивая водой.</w:t>
      </w:r>
    </w:p>
    <w:p w14:paraId="6DDF8D4A" w14:textId="77777777" w:rsidR="00200EBA" w:rsidRPr="009A0CCD" w:rsidRDefault="00200EBA" w:rsidP="00201AD2">
      <w:pPr>
        <w:pStyle w:val="OT"/>
        <w:spacing w:after="0"/>
        <w:ind w:firstLine="709"/>
        <w:rPr>
          <w:rFonts w:eastAsia="Courier New"/>
          <w:sz w:val="24"/>
          <w:szCs w:val="24"/>
          <w:lang w:bidi="ru-RU"/>
        </w:rPr>
      </w:pPr>
      <w:r w:rsidRPr="009A0CCD">
        <w:rPr>
          <w:rFonts w:eastAsia="Courier New"/>
          <w:sz w:val="24"/>
          <w:szCs w:val="24"/>
          <w:lang w:bidi="ru-RU"/>
        </w:rPr>
        <w:t>Капсулу не следует открывать, чтобы не подвергаться повторному воздействию ее содержимого.</w:t>
      </w:r>
    </w:p>
    <w:p w14:paraId="343C4778" w14:textId="77777777" w:rsidR="00200EBA" w:rsidRPr="009A0CCD" w:rsidRDefault="00200EBA" w:rsidP="00201AD2">
      <w:pPr>
        <w:pStyle w:val="OT"/>
        <w:spacing w:after="0"/>
        <w:ind w:firstLine="709"/>
        <w:rPr>
          <w:rFonts w:eastAsia="Courier New"/>
          <w:sz w:val="24"/>
          <w:szCs w:val="24"/>
          <w:lang w:bidi="ru-RU"/>
        </w:rPr>
      </w:pPr>
      <w:r w:rsidRPr="009A0CCD">
        <w:rPr>
          <w:rFonts w:eastAsia="Courier New"/>
          <w:sz w:val="24"/>
          <w:szCs w:val="24"/>
          <w:lang w:bidi="ru-RU"/>
        </w:rPr>
        <w:t>Также, если капсулу сложно проглотить, можно растворить ее целиком без раздавливания или раскрытия в стакане с примерно 25 мл воды или яблочного сока. Капсулу оставляют в жидкости примерно на 10 минут, затем аккуратно взбалтывают в течение не менее 3 минут для растворения оболочки капсулы. Полученную суспензию выпивают. После этого добавляют в стакан примерно тот же объем жидкости (25 мл), ополаскивают ею стакан и выпивают содержимое. Не смешивайте более одного препарата в стакане одновременно.</w:t>
      </w:r>
    </w:p>
    <w:p w14:paraId="078E9C8A" w14:textId="77777777" w:rsidR="00200EBA" w:rsidRPr="009A0CCD" w:rsidRDefault="00200EBA" w:rsidP="000F0A73">
      <w:pPr>
        <w:pStyle w:val="OT"/>
        <w:spacing w:after="0"/>
        <w:ind w:firstLine="709"/>
        <w:rPr>
          <w:rFonts w:eastAsia="Courier New"/>
          <w:sz w:val="24"/>
          <w:szCs w:val="24"/>
          <w:lang w:bidi="ru-RU"/>
        </w:rPr>
      </w:pPr>
      <w:r w:rsidRPr="009A0CCD">
        <w:rPr>
          <w:rFonts w:eastAsia="Courier New"/>
          <w:sz w:val="24"/>
          <w:szCs w:val="24"/>
          <w:lang w:bidi="ru-RU"/>
        </w:rPr>
        <w:t>Лицо, готовящее суспензию, должно тщательно вымыть руки после завершения приготовления и приема препарата.</w:t>
      </w:r>
    </w:p>
    <w:p w14:paraId="05181ABA" w14:textId="77777777" w:rsidR="00200EBA" w:rsidRPr="00A42727" w:rsidRDefault="00200EBA" w:rsidP="00C22830">
      <w:pPr>
        <w:pStyle w:val="OT"/>
        <w:widowControl/>
        <w:autoSpaceDE/>
        <w:autoSpaceDN/>
        <w:adjustRightInd/>
        <w:spacing w:before="120"/>
        <w:rPr>
          <w:rFonts w:eastAsia="Courier New"/>
          <w:b/>
          <w:bCs/>
          <w:sz w:val="24"/>
          <w:szCs w:val="24"/>
          <w:lang w:bidi="ru-RU"/>
        </w:rPr>
      </w:pPr>
      <w:r w:rsidRPr="00A42727">
        <w:rPr>
          <w:rFonts w:eastAsia="Courier New"/>
          <w:b/>
          <w:bCs/>
          <w:sz w:val="24"/>
          <w:szCs w:val="24"/>
          <w:lang w:bidi="ru-RU"/>
        </w:rPr>
        <w:t>Режим дозирования</w:t>
      </w:r>
    </w:p>
    <w:p w14:paraId="08C5F4B7" w14:textId="77777777" w:rsidR="00200EBA" w:rsidRPr="009A0CCD" w:rsidRDefault="00200EBA" w:rsidP="00C22830">
      <w:pPr>
        <w:ind w:firstLine="851"/>
        <w:rPr>
          <w:lang w:bidi="ru-RU"/>
        </w:rPr>
      </w:pPr>
      <w:r w:rsidRPr="009A0CCD">
        <w:rPr>
          <w:lang w:bidi="ru-RU"/>
        </w:rPr>
        <w:t>В случае, если прием очередной дозы отложен более чем на 12 часов, эту дозу следует пропустить и принять следующую в обычное время.</w:t>
      </w:r>
    </w:p>
    <w:p w14:paraId="6D80877A" w14:textId="75197662" w:rsidR="006167F7" w:rsidRPr="009A0CCD" w:rsidRDefault="00200EBA" w:rsidP="000B6AAC">
      <w:pPr>
        <w:ind w:firstLine="851"/>
        <w:rPr>
          <w:lang w:bidi="ru-RU"/>
        </w:rPr>
      </w:pPr>
      <w:r w:rsidRPr="009A0CCD">
        <w:rPr>
          <w:lang w:bidi="ru-RU"/>
        </w:rPr>
        <w:t>Лечение должно продолжаться пока присутствует клиническая польза, либо до проявления неприемлемой токсичности.</w:t>
      </w:r>
    </w:p>
    <w:p w14:paraId="03063323" w14:textId="65FD673F" w:rsidR="00200EBA" w:rsidRPr="002A25A4" w:rsidRDefault="00200EBA" w:rsidP="000B6AAC">
      <w:pPr>
        <w:pStyle w:val="OT"/>
        <w:spacing w:after="0"/>
        <w:rPr>
          <w:rFonts w:eastAsia="Courier New"/>
          <w:b/>
          <w:bCs/>
          <w:i/>
          <w:iCs/>
          <w:sz w:val="24"/>
          <w:szCs w:val="24"/>
          <w:lang w:bidi="ru-RU"/>
        </w:rPr>
      </w:pPr>
      <w:r w:rsidRPr="002A25A4">
        <w:rPr>
          <w:rFonts w:eastAsia="Courier New"/>
          <w:b/>
          <w:bCs/>
          <w:i/>
          <w:iCs/>
          <w:sz w:val="24"/>
          <w:szCs w:val="24"/>
          <w:lang w:bidi="ru-RU"/>
        </w:rPr>
        <w:t xml:space="preserve">Дифференцированный рак щитовидной железы </w:t>
      </w:r>
    </w:p>
    <w:p w14:paraId="695A2409" w14:textId="0AB28013" w:rsidR="006167F7" w:rsidRPr="009A0CCD" w:rsidRDefault="00200EBA" w:rsidP="000B6AAC">
      <w:pPr>
        <w:ind w:firstLine="851"/>
        <w:rPr>
          <w:lang w:bidi="ru-RU"/>
        </w:rPr>
      </w:pPr>
      <w:r w:rsidRPr="009A0CCD">
        <w:rPr>
          <w:lang w:bidi="ru-RU"/>
        </w:rPr>
        <w:t>Рекомендованная суточная доза ленватиниба составляет 24 мг (две капсулы 10 мг и одна капсула 4 мг) один раз в сутки. Суточная доза ленватиниба может быть пересмотрена в соответствии с планом управления дозой/токсичностью</w:t>
      </w:r>
      <w:r w:rsidR="000B6AAC">
        <w:rPr>
          <w:lang w:bidi="ru-RU"/>
        </w:rPr>
        <w:t>.</w:t>
      </w:r>
    </w:p>
    <w:p w14:paraId="188EDB0F" w14:textId="456EC696" w:rsidR="00200EBA" w:rsidRPr="002A25A4" w:rsidRDefault="00200EBA" w:rsidP="000B6AAC">
      <w:pPr>
        <w:pStyle w:val="OT"/>
        <w:spacing w:after="0"/>
        <w:rPr>
          <w:rFonts w:eastAsia="Courier New"/>
          <w:b/>
          <w:bCs/>
          <w:i/>
          <w:iCs/>
          <w:sz w:val="24"/>
          <w:szCs w:val="24"/>
          <w:lang w:bidi="ru-RU"/>
        </w:rPr>
      </w:pPr>
      <w:r w:rsidRPr="002A25A4">
        <w:rPr>
          <w:rFonts w:eastAsia="Courier New"/>
          <w:b/>
          <w:bCs/>
          <w:i/>
          <w:iCs/>
          <w:sz w:val="24"/>
          <w:szCs w:val="24"/>
          <w:lang w:bidi="ru-RU"/>
        </w:rPr>
        <w:t xml:space="preserve">Гепатоцеллюлярный рак </w:t>
      </w:r>
    </w:p>
    <w:p w14:paraId="3B768E83" w14:textId="77777777" w:rsidR="00200EBA" w:rsidRPr="009A0CCD" w:rsidRDefault="00200EBA" w:rsidP="000B6AAC">
      <w:pPr>
        <w:ind w:firstLine="851"/>
        <w:rPr>
          <w:lang w:bidi="ru-RU"/>
        </w:rPr>
      </w:pPr>
      <w:r w:rsidRPr="009A0CCD">
        <w:rPr>
          <w:lang w:bidi="ru-RU"/>
        </w:rPr>
        <w:t>Рекомендованная суточная доза ленватиниба составляет 8 мг (две капсулы 4 мг) один раз в сутки для пациентов с массой тела &lt;60 кг и 12 мг (три капсулы 4 мг) один раз в сутки для пациентов с массой тела 360 кг. Суточная доза ленватиниба может быть пересмотрена в соответствии с планом управления дозой/токсичностью</w:t>
      </w:r>
      <w:r>
        <w:rPr>
          <w:lang w:bidi="ru-RU"/>
        </w:rPr>
        <w:t>.</w:t>
      </w:r>
      <w:r w:rsidRPr="009A0CCD">
        <w:rPr>
          <w:lang w:bidi="ru-RU"/>
        </w:rPr>
        <w:t xml:space="preserve"> </w:t>
      </w:r>
    </w:p>
    <w:p w14:paraId="4E461D0B" w14:textId="45C53525" w:rsidR="00200EBA" w:rsidRPr="002A25A4" w:rsidRDefault="00200EBA" w:rsidP="000B6AAC">
      <w:pPr>
        <w:pStyle w:val="OT"/>
        <w:spacing w:after="0"/>
        <w:rPr>
          <w:rFonts w:eastAsia="Courier New"/>
          <w:b/>
          <w:bCs/>
          <w:i/>
          <w:iCs/>
          <w:sz w:val="24"/>
          <w:szCs w:val="24"/>
          <w:lang w:bidi="ru-RU"/>
        </w:rPr>
      </w:pPr>
      <w:r w:rsidRPr="002A25A4">
        <w:rPr>
          <w:rFonts w:eastAsia="Courier New"/>
          <w:b/>
          <w:bCs/>
          <w:i/>
          <w:iCs/>
          <w:sz w:val="24"/>
          <w:szCs w:val="24"/>
          <w:lang w:bidi="ru-RU"/>
        </w:rPr>
        <w:t xml:space="preserve">Распространенный почечно-клеточный рак </w:t>
      </w:r>
    </w:p>
    <w:p w14:paraId="72D50696" w14:textId="77777777" w:rsidR="00200EBA" w:rsidRPr="0020130A" w:rsidRDefault="00200EBA" w:rsidP="000B6AAC">
      <w:pPr>
        <w:pStyle w:val="OT"/>
        <w:spacing w:after="0"/>
        <w:ind w:firstLine="709"/>
        <w:rPr>
          <w:rFonts w:eastAsia="Courier New"/>
          <w:i/>
          <w:iCs/>
          <w:sz w:val="24"/>
          <w:szCs w:val="24"/>
          <w:lang w:bidi="ru-RU"/>
        </w:rPr>
      </w:pPr>
      <w:r w:rsidRPr="0020130A">
        <w:rPr>
          <w:rFonts w:eastAsia="Courier New"/>
          <w:i/>
          <w:iCs/>
          <w:sz w:val="24"/>
          <w:szCs w:val="24"/>
          <w:lang w:bidi="ru-RU"/>
        </w:rPr>
        <w:t xml:space="preserve">Ленватиниба в комбинации с пембролизумабом в качестве терапии первой линии </w:t>
      </w:r>
    </w:p>
    <w:p w14:paraId="716A8F4B" w14:textId="77777777" w:rsidR="00200EBA" w:rsidRPr="009A0CCD" w:rsidRDefault="00200EBA" w:rsidP="000B6AAC">
      <w:pPr>
        <w:pStyle w:val="OT"/>
        <w:spacing w:after="0"/>
        <w:ind w:firstLine="709"/>
        <w:rPr>
          <w:rFonts w:eastAsia="Courier New"/>
          <w:sz w:val="24"/>
          <w:szCs w:val="24"/>
          <w:lang w:bidi="ru-RU"/>
        </w:rPr>
      </w:pPr>
      <w:r w:rsidRPr="009A0CCD">
        <w:rPr>
          <w:rFonts w:eastAsia="Courier New"/>
          <w:sz w:val="24"/>
          <w:szCs w:val="24"/>
          <w:lang w:bidi="ru-RU"/>
        </w:rPr>
        <w:t>Рекомендованная суточная доза ленватиниба составляет 20 мг (две капсулы 10 мг) один раз в сутки в комбинации с 200 мг пембролизумаба в виде внутривенной инфузии в течение 30 минут кажд</w:t>
      </w:r>
      <w:r>
        <w:rPr>
          <w:rFonts w:eastAsia="Courier New"/>
          <w:sz w:val="24"/>
          <w:szCs w:val="24"/>
          <w:lang w:bidi="ru-RU"/>
        </w:rPr>
        <w:t>ы</w:t>
      </w:r>
      <w:r w:rsidRPr="009A0CCD">
        <w:rPr>
          <w:rFonts w:eastAsia="Courier New"/>
          <w:sz w:val="24"/>
          <w:szCs w:val="24"/>
          <w:lang w:bidi="ru-RU"/>
        </w:rPr>
        <w:t>е 3 недели. Суточная доза ленватиниба может быть пересмотрена в соответствии с планом управления дозой</w:t>
      </w:r>
      <w:r>
        <w:rPr>
          <w:rFonts w:eastAsia="Courier New"/>
          <w:sz w:val="24"/>
          <w:szCs w:val="24"/>
          <w:lang w:bidi="ru-RU"/>
        </w:rPr>
        <w:t>.</w:t>
      </w:r>
    </w:p>
    <w:p w14:paraId="2008122E" w14:textId="77777777" w:rsidR="00200EBA" w:rsidRPr="009A0CCD" w:rsidRDefault="00200EBA" w:rsidP="000B6AAC">
      <w:pPr>
        <w:pStyle w:val="OT"/>
        <w:spacing w:after="0"/>
        <w:ind w:firstLine="709"/>
        <w:rPr>
          <w:rFonts w:eastAsia="Courier New"/>
          <w:sz w:val="24"/>
          <w:szCs w:val="24"/>
          <w:lang w:bidi="ru-RU"/>
        </w:rPr>
      </w:pPr>
      <w:r w:rsidRPr="009A0CCD">
        <w:rPr>
          <w:rFonts w:eastAsia="Courier New"/>
          <w:sz w:val="24"/>
          <w:szCs w:val="24"/>
          <w:lang w:bidi="ru-RU"/>
        </w:rPr>
        <w:t>Обратитесь к инструкции по медицинскому применению пембролизумаба для получения информации о рекомендуемой дозировке.</w:t>
      </w:r>
    </w:p>
    <w:p w14:paraId="70AE31C5" w14:textId="77777777" w:rsidR="00200EBA" w:rsidRPr="0020130A" w:rsidRDefault="00200EBA" w:rsidP="000B6AAC">
      <w:pPr>
        <w:pStyle w:val="OT"/>
        <w:spacing w:after="0"/>
        <w:rPr>
          <w:rFonts w:eastAsia="Courier New"/>
          <w:i/>
          <w:iCs/>
          <w:sz w:val="24"/>
          <w:szCs w:val="24"/>
          <w:lang w:bidi="ru-RU"/>
        </w:rPr>
      </w:pPr>
      <w:r w:rsidRPr="0020130A">
        <w:rPr>
          <w:rFonts w:eastAsia="Courier New"/>
          <w:i/>
          <w:iCs/>
          <w:sz w:val="24"/>
          <w:szCs w:val="24"/>
          <w:lang w:bidi="ru-RU"/>
        </w:rPr>
        <w:t>Ленватиниб в комбинации с эверолимvсом в качестве терапии второй линии</w:t>
      </w:r>
    </w:p>
    <w:p w14:paraId="65B84235" w14:textId="77777777" w:rsidR="00200EBA" w:rsidRPr="009A0CCD" w:rsidRDefault="00200EBA" w:rsidP="000B6AAC">
      <w:pPr>
        <w:pStyle w:val="OT"/>
        <w:spacing w:after="0"/>
        <w:rPr>
          <w:rFonts w:eastAsia="Courier New"/>
          <w:sz w:val="24"/>
          <w:szCs w:val="24"/>
          <w:lang w:bidi="ru-RU"/>
        </w:rPr>
      </w:pPr>
      <w:r w:rsidRPr="009A0CCD">
        <w:rPr>
          <w:rFonts w:eastAsia="Courier New"/>
          <w:sz w:val="24"/>
          <w:szCs w:val="24"/>
          <w:lang w:bidi="ru-RU"/>
        </w:rPr>
        <w:t>Рекомендованная суточная доза ленватиниба составляет 18 мг (одна капсула 10 мг и две капсулы 4 мг) один раз в сутки в комбинации с 5 мг эверолимуса один раз в сутки.</w:t>
      </w:r>
    </w:p>
    <w:p w14:paraId="68D0DDF8" w14:textId="77777777" w:rsidR="00200EBA" w:rsidRPr="009A0CCD" w:rsidRDefault="00200EBA" w:rsidP="000B6AAC">
      <w:pPr>
        <w:pStyle w:val="OT"/>
        <w:spacing w:after="0"/>
        <w:rPr>
          <w:rFonts w:eastAsia="Courier New"/>
          <w:sz w:val="24"/>
          <w:szCs w:val="24"/>
          <w:lang w:bidi="ru-RU"/>
        </w:rPr>
      </w:pPr>
      <w:r w:rsidRPr="009A0CCD">
        <w:rPr>
          <w:rFonts w:eastAsia="Courier New"/>
          <w:sz w:val="24"/>
          <w:szCs w:val="24"/>
          <w:lang w:bidi="ru-RU"/>
        </w:rPr>
        <w:t>Суточные дозы ленватиниба и, при необходимости, эверолимуса могут быть пересмотрены в соответствии с планом управления дозой/токсичностью</w:t>
      </w:r>
      <w:r>
        <w:rPr>
          <w:rFonts w:eastAsia="Courier New"/>
          <w:sz w:val="24"/>
          <w:szCs w:val="24"/>
          <w:lang w:bidi="ru-RU"/>
        </w:rPr>
        <w:t>.</w:t>
      </w:r>
    </w:p>
    <w:p w14:paraId="437DAB0C" w14:textId="52AE23AB" w:rsidR="00150FD3" w:rsidRPr="009A0CCD" w:rsidRDefault="00200EBA" w:rsidP="000B6AAC">
      <w:pPr>
        <w:pStyle w:val="OT"/>
        <w:spacing w:after="0"/>
        <w:rPr>
          <w:rFonts w:eastAsia="Courier New"/>
          <w:sz w:val="24"/>
          <w:szCs w:val="24"/>
          <w:lang w:bidi="ru-RU"/>
        </w:rPr>
      </w:pPr>
      <w:r w:rsidRPr="009A0CCD">
        <w:rPr>
          <w:rFonts w:eastAsia="Courier New"/>
          <w:sz w:val="24"/>
          <w:szCs w:val="24"/>
          <w:lang w:bidi="ru-RU"/>
        </w:rPr>
        <w:t xml:space="preserve">Обратитесь к инструкции по медицинскому применению эверолимуса для получения </w:t>
      </w:r>
      <w:r w:rsidRPr="009A0CCD">
        <w:rPr>
          <w:rFonts w:eastAsia="Courier New"/>
          <w:sz w:val="24"/>
          <w:szCs w:val="24"/>
          <w:lang w:bidi="ru-RU"/>
        </w:rPr>
        <w:lastRenderedPageBreak/>
        <w:t>информации о рекомендуемой дозировке.</w:t>
      </w:r>
    </w:p>
    <w:p w14:paraId="4B7B586B" w14:textId="5B5E019B" w:rsidR="00200EBA" w:rsidRPr="002A25A4" w:rsidRDefault="00200EBA" w:rsidP="000B6AAC">
      <w:pPr>
        <w:pStyle w:val="OT"/>
        <w:spacing w:after="0"/>
        <w:rPr>
          <w:rFonts w:eastAsia="Courier New"/>
          <w:b/>
          <w:bCs/>
          <w:i/>
          <w:iCs/>
          <w:sz w:val="24"/>
          <w:szCs w:val="24"/>
          <w:lang w:bidi="ru-RU"/>
        </w:rPr>
      </w:pPr>
      <w:r w:rsidRPr="002A25A4">
        <w:rPr>
          <w:rFonts w:eastAsia="Courier New"/>
          <w:b/>
          <w:bCs/>
          <w:i/>
          <w:iCs/>
          <w:sz w:val="24"/>
          <w:szCs w:val="24"/>
          <w:lang w:bidi="ru-RU"/>
        </w:rPr>
        <w:t xml:space="preserve">Рак эндометрия </w:t>
      </w:r>
    </w:p>
    <w:p w14:paraId="55FBD863" w14:textId="15B095DC" w:rsidR="00200EBA" w:rsidRPr="009A0CCD" w:rsidRDefault="00200EBA" w:rsidP="000B6AAC">
      <w:pPr>
        <w:ind w:firstLine="709"/>
        <w:rPr>
          <w:lang w:bidi="ru-RU"/>
        </w:rPr>
      </w:pPr>
      <w:r w:rsidRPr="009A0CCD">
        <w:rPr>
          <w:lang w:bidi="ru-RU"/>
        </w:rPr>
        <w:t>Рекомендованная суточная доза ленватиниба составляет 20 мг (две капсулы 10 мг) один раз в сутки в комбинации с 200 мг пембролизумаба в виде внутривенной инфузии в течение 30 минут каждые 3 недели до неприемлемой токсичности или прогрессирования заболевания. Суточная доза ленватиниба может быть пересмотрена в соответствии с планом управления доза/токсичность</w:t>
      </w:r>
      <w:r>
        <w:rPr>
          <w:lang w:bidi="ru-RU"/>
        </w:rPr>
        <w:t>.</w:t>
      </w:r>
      <w:r w:rsidRPr="009A0CCD">
        <w:rPr>
          <w:lang w:bidi="ru-RU"/>
        </w:rPr>
        <w:t xml:space="preserve"> </w:t>
      </w:r>
    </w:p>
    <w:p w14:paraId="39A92DCD" w14:textId="77777777" w:rsidR="00200EBA" w:rsidRDefault="00200EBA" w:rsidP="000B6AAC">
      <w:pPr>
        <w:ind w:firstLine="709"/>
        <w:rPr>
          <w:lang w:bidi="ru-RU"/>
        </w:rPr>
      </w:pPr>
      <w:r w:rsidRPr="009A0CCD">
        <w:rPr>
          <w:lang w:bidi="ru-RU"/>
        </w:rPr>
        <w:t>Обратитесь к инструкции по медицинскому применению пембролизумаба для получения информации о рекомендуемой дозировке.</w:t>
      </w:r>
    </w:p>
    <w:p w14:paraId="2A4ED12A" w14:textId="77777777" w:rsidR="00200EBA" w:rsidRPr="004D296C" w:rsidRDefault="00200EBA" w:rsidP="000B6AAC">
      <w:pPr>
        <w:ind w:firstLine="709"/>
        <w:rPr>
          <w:i/>
          <w:iCs/>
          <w:lang w:bidi="ru-RU"/>
        </w:rPr>
      </w:pPr>
      <w:r w:rsidRPr="004D296C">
        <w:rPr>
          <w:i/>
          <w:iCs/>
          <w:lang w:bidi="ru-RU"/>
        </w:rPr>
        <w:t>Коррекция дозы во время терапии</w:t>
      </w:r>
    </w:p>
    <w:p w14:paraId="2CBAFADF" w14:textId="53BBB671" w:rsidR="00200EBA" w:rsidRPr="009A0CCD" w:rsidRDefault="00200EBA" w:rsidP="000B6AAC">
      <w:pPr>
        <w:ind w:firstLine="709"/>
        <w:rPr>
          <w:lang w:bidi="ru-RU"/>
        </w:rPr>
      </w:pPr>
      <w:r w:rsidRPr="009A0CCD">
        <w:rPr>
          <w:lang w:bidi="ru-RU"/>
        </w:rPr>
        <w:t>Для управления нежелательными реакциями может потребоваться временная приостановка лечения, коррекция дозы или отмена терапии</w:t>
      </w:r>
      <w:r w:rsidR="00DC35FA">
        <w:rPr>
          <w:lang w:bidi="ru-RU"/>
        </w:rPr>
        <w:t>.</w:t>
      </w:r>
      <w:r w:rsidRPr="009A0CCD">
        <w:rPr>
          <w:lang w:bidi="ru-RU"/>
        </w:rPr>
        <w:t xml:space="preserve"> </w:t>
      </w:r>
    </w:p>
    <w:p w14:paraId="1C3702D9" w14:textId="77777777" w:rsidR="00200EBA" w:rsidRPr="009A0CCD" w:rsidRDefault="00200EBA" w:rsidP="000B6AAC">
      <w:pPr>
        <w:ind w:firstLine="709"/>
        <w:rPr>
          <w:lang w:bidi="ru-RU"/>
        </w:rPr>
      </w:pPr>
      <w:r w:rsidRPr="009A0CCD">
        <w:rPr>
          <w:lang w:bidi="ru-RU"/>
        </w:rPr>
        <w:t>Реакции от легкой до умеренной степени тяжести (1 и 2 степени), как правило, не требуют приостановки терапии ленватинибом, за исключением случаев, когда пациент не переносит их, несмотря на эффективность терапии.</w:t>
      </w:r>
    </w:p>
    <w:p w14:paraId="0574FD67" w14:textId="77777777" w:rsidR="00200EBA" w:rsidRPr="009A0CCD" w:rsidRDefault="00200EBA" w:rsidP="000B6AAC">
      <w:pPr>
        <w:ind w:firstLine="709"/>
        <w:rPr>
          <w:lang w:bidi="ru-RU"/>
        </w:rPr>
      </w:pPr>
      <w:r w:rsidRPr="009A0CCD">
        <w:rPr>
          <w:lang w:bidi="ru-RU"/>
        </w:rPr>
        <w:t>Тяжелые (степень 3) или непереносимые нежелательные реакции требуют приостановки терапии ленватинибом до улучшения реакции до степени от 0 до -1 или до исходного уровня.</w:t>
      </w:r>
    </w:p>
    <w:p w14:paraId="7429FF3A" w14:textId="77777777" w:rsidR="00200EBA" w:rsidRPr="009A0CCD" w:rsidRDefault="00200EBA" w:rsidP="000B6AAC">
      <w:pPr>
        <w:ind w:firstLine="709"/>
        <w:rPr>
          <w:lang w:bidi="ru-RU"/>
        </w:rPr>
      </w:pPr>
      <w:r w:rsidRPr="009A0CCD">
        <w:rPr>
          <w:lang w:bidi="ru-RU"/>
        </w:rPr>
        <w:t xml:space="preserve">Общие рекомендации по коррекции дозы для управления нежелательными реакциями, ассоциированными с ленватинибом представлены в таблице </w:t>
      </w:r>
      <w:r>
        <w:rPr>
          <w:lang w:bidi="ru-RU"/>
        </w:rPr>
        <w:t>5-2.</w:t>
      </w:r>
      <w:r w:rsidRPr="009A0CCD">
        <w:rPr>
          <w:lang w:bidi="ru-RU"/>
        </w:rPr>
        <w:t xml:space="preserve"> </w:t>
      </w:r>
    </w:p>
    <w:p w14:paraId="0A3157B9" w14:textId="529B9826" w:rsidR="00200EBA" w:rsidRPr="009A0CCD" w:rsidRDefault="00200EBA" w:rsidP="000B6AAC">
      <w:pPr>
        <w:ind w:firstLine="709"/>
        <w:rPr>
          <w:lang w:bidi="ru-RU"/>
        </w:rPr>
      </w:pPr>
      <w:r w:rsidRPr="009A0CCD">
        <w:rPr>
          <w:lang w:bidi="ru-RU"/>
        </w:rPr>
        <w:t>При применении ленватиниба в комбинации с пембролизумабом для лечения ПKP или РЭ, приостанавливают лечение одним или обоими препаратами, либо снижают дозу ленватиниба в зависимости от ситуации. Уменьшение дозы пембролизумаба не рекомендуется. Отмена пембролизумаба проводится в соответствии с инструкцией по его медицинскому применению.</w:t>
      </w:r>
    </w:p>
    <w:p w14:paraId="21FF0D3B" w14:textId="77777777" w:rsidR="00200EBA" w:rsidRPr="009A0CCD" w:rsidRDefault="00200EBA" w:rsidP="000B6AAC">
      <w:pPr>
        <w:ind w:firstLine="709"/>
        <w:rPr>
          <w:lang w:bidi="ru-RU"/>
        </w:rPr>
      </w:pPr>
      <w:r w:rsidRPr="009A0CCD">
        <w:rPr>
          <w:lang w:bidi="ru-RU"/>
        </w:rPr>
        <w:t>В случае возникновения нежелательных реакций, ассоциированных с эверолимусом, при лечении ПKP, лечение эверолимусом следует приостановить, уменьшить его дозу, назначив прием через день, либо отменить (см. инструкцию по медицинскому применению эверолимуса).</w:t>
      </w:r>
    </w:p>
    <w:p w14:paraId="50AB4CAD" w14:textId="3628CA2A" w:rsidR="00200EBA" w:rsidRPr="00020900" w:rsidRDefault="00200EBA" w:rsidP="000B6AAC">
      <w:pPr>
        <w:pStyle w:val="OT"/>
        <w:spacing w:after="0"/>
        <w:rPr>
          <w:rFonts w:eastAsia="Courier New"/>
          <w:sz w:val="24"/>
          <w:szCs w:val="24"/>
          <w:lang w:bidi="ru-RU"/>
        </w:rPr>
      </w:pPr>
      <w:r w:rsidRPr="009A0CCD">
        <w:rPr>
          <w:rFonts w:eastAsia="Courier New"/>
          <w:sz w:val="24"/>
          <w:szCs w:val="24"/>
          <w:lang w:bidi="ru-RU"/>
        </w:rPr>
        <w:t xml:space="preserve"> </w:t>
      </w:r>
      <w:r w:rsidRPr="00020900">
        <w:rPr>
          <w:rFonts w:eastAsia="Courier New"/>
          <w:sz w:val="24"/>
          <w:szCs w:val="24"/>
          <w:lang w:bidi="ru-RU"/>
        </w:rPr>
        <w:t>В случае возникновения нежелательных реакций, ассоциированных как с ленватинибом, так и с эверолимусом, следует уменьшить дозу ленватиниба (таблица 5</w:t>
      </w:r>
      <w:r w:rsidR="00023A8A">
        <w:rPr>
          <w:rFonts w:eastAsia="Courier New"/>
          <w:sz w:val="24"/>
          <w:szCs w:val="24"/>
          <w:lang w:bidi="ru-RU"/>
        </w:rPr>
        <w:t>-</w:t>
      </w:r>
      <w:r w:rsidRPr="00020900">
        <w:rPr>
          <w:rFonts w:eastAsia="Courier New"/>
          <w:sz w:val="24"/>
          <w:szCs w:val="24"/>
          <w:lang w:bidi="ru-RU"/>
        </w:rPr>
        <w:t>2.) перед уменьшением дозы эверолимуса.</w:t>
      </w:r>
    </w:p>
    <w:p w14:paraId="56A9642F" w14:textId="77777777" w:rsidR="00200EBA" w:rsidRPr="00020900" w:rsidRDefault="00200EBA" w:rsidP="000B6AAC">
      <w:pPr>
        <w:pStyle w:val="OT"/>
        <w:spacing w:after="0"/>
        <w:ind w:firstLine="851"/>
        <w:rPr>
          <w:rFonts w:eastAsia="Courier New"/>
          <w:sz w:val="24"/>
          <w:szCs w:val="24"/>
          <w:lang w:bidi="ru-RU"/>
        </w:rPr>
      </w:pPr>
      <w:r w:rsidRPr="00020900">
        <w:rPr>
          <w:rFonts w:eastAsia="Courier New"/>
          <w:sz w:val="24"/>
          <w:szCs w:val="24"/>
          <w:lang w:bidi="ru-RU"/>
        </w:rPr>
        <w:t>В случае возникновения жизнеугрожающих реакций (4-й степени тяжести, за исключением лабораторных отклонений, признанных не опасными для жизни) все препараты следует отменить.</w:t>
      </w:r>
    </w:p>
    <w:p w14:paraId="3B754906" w14:textId="1F4FF6EA" w:rsidR="00200EBA" w:rsidRDefault="00200EBA" w:rsidP="000B6AAC">
      <w:pPr>
        <w:pStyle w:val="OT"/>
        <w:spacing w:after="0"/>
        <w:ind w:firstLine="851"/>
        <w:rPr>
          <w:rFonts w:eastAsia="Courier New"/>
          <w:sz w:val="24"/>
          <w:szCs w:val="24"/>
          <w:lang w:bidi="ru-RU"/>
        </w:rPr>
      </w:pPr>
      <w:r w:rsidRPr="00020900">
        <w:rPr>
          <w:rFonts w:eastAsia="Courier New"/>
          <w:sz w:val="24"/>
          <w:szCs w:val="24"/>
          <w:lang w:bidi="ru-RU"/>
        </w:rPr>
        <w:t>При установлении степени тяжести нежелательной реакции следует руководствоваться актуальной версией Общих терминологических критериев для нежелательных явлений Национального института рака (National Cancer Institute (NCI) Common Terminology С</w:t>
      </w:r>
      <w:r w:rsidR="00023A8A">
        <w:rPr>
          <w:rFonts w:eastAsia="Courier New"/>
          <w:sz w:val="24"/>
          <w:szCs w:val="24"/>
          <w:lang w:val="en-US" w:bidi="ru-RU"/>
        </w:rPr>
        <w:t>ri</w:t>
      </w:r>
      <w:r w:rsidRPr="00020900">
        <w:rPr>
          <w:rFonts w:eastAsia="Courier New"/>
          <w:sz w:val="24"/>
          <w:szCs w:val="24"/>
          <w:lang w:bidi="ru-RU"/>
        </w:rPr>
        <w:t>t</w:t>
      </w:r>
      <w:r w:rsidR="00023A8A">
        <w:rPr>
          <w:rFonts w:eastAsia="Courier New"/>
          <w:sz w:val="24"/>
          <w:szCs w:val="24"/>
          <w:lang w:val="en-US" w:bidi="ru-RU"/>
        </w:rPr>
        <w:t>eria</w:t>
      </w:r>
      <w:r w:rsidRPr="00020900">
        <w:rPr>
          <w:rFonts w:eastAsia="Courier New"/>
          <w:sz w:val="24"/>
          <w:szCs w:val="24"/>
          <w:lang w:bidi="ru-RU"/>
        </w:rPr>
        <w:t xml:space="preserve"> for Adverse Events (CTCAE)).</w:t>
      </w:r>
    </w:p>
    <w:p w14:paraId="1D7F3EE1" w14:textId="77777777" w:rsidR="00200EBA" w:rsidRDefault="00200EBA" w:rsidP="00200EBA">
      <w:pPr>
        <w:pStyle w:val="OT"/>
        <w:spacing w:after="0"/>
        <w:ind w:firstLine="851"/>
        <w:rPr>
          <w:rFonts w:eastAsia="Courier New"/>
          <w:sz w:val="24"/>
          <w:szCs w:val="24"/>
          <w:lang w:bidi="ru-RU"/>
        </w:rPr>
      </w:pPr>
    </w:p>
    <w:p w14:paraId="39E383C4" w14:textId="26039256" w:rsidR="00200EBA" w:rsidRPr="00201AD2" w:rsidRDefault="00200EBA" w:rsidP="00201AD2">
      <w:pPr>
        <w:rPr>
          <w:rFonts w:eastAsia="Courier New"/>
          <w:snapToGrid w:val="0"/>
          <w:lang w:eastAsia="ru-RU" w:bidi="ru-RU"/>
        </w:rPr>
      </w:pPr>
      <w:r w:rsidRPr="00201AD2">
        <w:rPr>
          <w:rFonts w:eastAsia="Courier New"/>
          <w:b/>
          <w:lang w:bidi="ru-RU"/>
        </w:rPr>
        <w:t>Т</w:t>
      </w:r>
      <w:r w:rsidRPr="00201AD2">
        <w:rPr>
          <w:rFonts w:eastAsia="Courier New"/>
          <w:b/>
          <w:bCs/>
          <w:lang w:bidi="ru-RU"/>
        </w:rPr>
        <w:t>абли</w:t>
      </w:r>
      <w:r w:rsidRPr="00145F33">
        <w:rPr>
          <w:rFonts w:eastAsia="Courier New"/>
          <w:b/>
          <w:bCs/>
          <w:lang w:bidi="ru-RU"/>
        </w:rPr>
        <w:t xml:space="preserve">ца 5-2. </w:t>
      </w:r>
      <w:r w:rsidRPr="00201AD2">
        <w:rPr>
          <w:rFonts w:eastAsia="Courier New"/>
          <w:bCs/>
          <w:snapToGrid w:val="0"/>
          <w:lang w:eastAsia="ru-RU" w:bidi="ru-RU"/>
        </w:rPr>
        <w:t>Коррекция дозы при нежелательных реакциях</w:t>
      </w:r>
      <w:r w:rsidR="00201AD2">
        <w:rPr>
          <w:rFonts w:eastAsia="Courier New"/>
          <w:bCs/>
          <w:snapToGrid w:val="0"/>
          <w:lang w:eastAsia="ru-RU" w:bidi="ru-RU"/>
        </w:rPr>
        <w:t>.</w:t>
      </w:r>
    </w:p>
    <w:tbl>
      <w:tblPr>
        <w:tblStyle w:val="TableNormal1"/>
        <w:tblW w:w="956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7"/>
        <w:gridCol w:w="2250"/>
        <w:gridCol w:w="1420"/>
        <w:gridCol w:w="3085"/>
      </w:tblGrid>
      <w:tr w:rsidR="00200EBA" w:rsidRPr="006F3FA4" w14:paraId="294CC926" w14:textId="77777777" w:rsidTr="00201AD2">
        <w:trPr>
          <w:cantSplit/>
          <w:trHeight w:val="786"/>
          <w:tblHeader/>
        </w:trPr>
        <w:tc>
          <w:tcPr>
            <w:tcW w:w="2807" w:type="dxa"/>
            <w:shd w:val="clear" w:color="auto" w:fill="D9D9D9" w:themeFill="background1" w:themeFillShade="D9"/>
            <w:vAlign w:val="center"/>
          </w:tcPr>
          <w:p w14:paraId="6842CC12" w14:textId="77777777" w:rsidR="00200EBA" w:rsidRPr="00C22830" w:rsidRDefault="00200EBA" w:rsidP="00201AD2">
            <w:pPr>
              <w:jc w:val="center"/>
              <w:rPr>
                <w:b/>
                <w:bCs/>
              </w:rPr>
            </w:pPr>
            <w:r w:rsidRPr="00C22830">
              <w:rPr>
                <w:b/>
                <w:bCs/>
              </w:rPr>
              <w:t>Нежелательная реакция</w:t>
            </w:r>
          </w:p>
        </w:tc>
        <w:tc>
          <w:tcPr>
            <w:tcW w:w="2250" w:type="dxa"/>
            <w:shd w:val="clear" w:color="auto" w:fill="D9D9D9" w:themeFill="background1" w:themeFillShade="D9"/>
            <w:vAlign w:val="center"/>
          </w:tcPr>
          <w:p w14:paraId="659BAE85" w14:textId="77777777" w:rsidR="00200EBA" w:rsidRPr="00C22830" w:rsidRDefault="00200EBA" w:rsidP="00201AD2">
            <w:pPr>
              <w:jc w:val="center"/>
              <w:rPr>
                <w:b/>
                <w:bCs/>
              </w:rPr>
            </w:pPr>
            <w:r w:rsidRPr="00C22830">
              <w:rPr>
                <w:b/>
                <w:bCs/>
              </w:rPr>
              <w:t>Степень тяжести по CTCAE</w:t>
            </w:r>
          </w:p>
        </w:tc>
        <w:tc>
          <w:tcPr>
            <w:tcW w:w="1420" w:type="dxa"/>
            <w:shd w:val="clear" w:color="auto" w:fill="D9D9D9" w:themeFill="background1" w:themeFillShade="D9"/>
            <w:vAlign w:val="center"/>
          </w:tcPr>
          <w:p w14:paraId="2083184F" w14:textId="77777777" w:rsidR="00200EBA" w:rsidRPr="00C22830" w:rsidRDefault="00200EBA" w:rsidP="00201AD2">
            <w:pPr>
              <w:jc w:val="center"/>
              <w:rPr>
                <w:b/>
                <w:bCs/>
              </w:rPr>
            </w:pPr>
            <w:r w:rsidRPr="00C22830">
              <w:rPr>
                <w:b/>
                <w:bCs/>
              </w:rPr>
              <w:t>Действие</w:t>
            </w:r>
          </w:p>
        </w:tc>
        <w:tc>
          <w:tcPr>
            <w:tcW w:w="3085" w:type="dxa"/>
            <w:shd w:val="clear" w:color="auto" w:fill="D9D9D9" w:themeFill="background1" w:themeFillShade="D9"/>
            <w:vAlign w:val="center"/>
          </w:tcPr>
          <w:p w14:paraId="60484911" w14:textId="77777777" w:rsidR="00200EBA" w:rsidRPr="00C22830" w:rsidRDefault="00200EBA" w:rsidP="00201AD2">
            <w:pPr>
              <w:jc w:val="center"/>
              <w:rPr>
                <w:b/>
                <w:bCs/>
                <w:lang w:val="ru-RU"/>
              </w:rPr>
            </w:pPr>
            <w:r w:rsidRPr="00C22830">
              <w:rPr>
                <w:b/>
                <w:bCs/>
                <w:lang w:val="ru-RU"/>
              </w:rPr>
              <w:t>Сниженне дозы и</w:t>
            </w:r>
          </w:p>
          <w:p w14:paraId="5027FE1F" w14:textId="77777777" w:rsidR="00200EBA" w:rsidRPr="00C22830" w:rsidRDefault="00200EBA" w:rsidP="00201AD2">
            <w:pPr>
              <w:jc w:val="center"/>
              <w:rPr>
                <w:b/>
                <w:bCs/>
                <w:lang w:val="ru-RU"/>
              </w:rPr>
            </w:pPr>
            <w:r w:rsidRPr="00C22830">
              <w:rPr>
                <w:b/>
                <w:bCs/>
                <w:lang w:val="ru-RU"/>
              </w:rPr>
              <w:t>возобновление приема ленватнннба</w:t>
            </w:r>
          </w:p>
        </w:tc>
      </w:tr>
      <w:tr w:rsidR="00200EBA" w:rsidRPr="006F3FA4" w14:paraId="6EE206A2" w14:textId="77777777" w:rsidTr="000B6AAC">
        <w:trPr>
          <w:trHeight w:val="1021"/>
        </w:trPr>
        <w:tc>
          <w:tcPr>
            <w:tcW w:w="2807" w:type="dxa"/>
            <w:vMerge w:val="restart"/>
            <w:vAlign w:val="center"/>
          </w:tcPr>
          <w:p w14:paraId="01CD8123" w14:textId="77777777" w:rsidR="00200EBA" w:rsidRPr="000B6AAC" w:rsidRDefault="00200EBA" w:rsidP="000B6AAC">
            <w:pPr>
              <w:jc w:val="center"/>
            </w:pPr>
            <w:r w:rsidRPr="000B6AAC">
              <w:t>Артериальная гипертензия</w:t>
            </w:r>
          </w:p>
        </w:tc>
        <w:tc>
          <w:tcPr>
            <w:tcW w:w="2250" w:type="dxa"/>
            <w:vAlign w:val="center"/>
          </w:tcPr>
          <w:p w14:paraId="43DFD662" w14:textId="77777777" w:rsidR="00200EBA" w:rsidRPr="000B6AAC" w:rsidRDefault="00200EBA" w:rsidP="000B6AAC">
            <w:pPr>
              <w:jc w:val="center"/>
              <w:rPr>
                <w:lang w:val="ru-RU"/>
              </w:rPr>
            </w:pPr>
            <w:r w:rsidRPr="000B6AAC">
              <w:rPr>
                <w:lang w:val="ru-RU"/>
              </w:rPr>
              <w:t xml:space="preserve">Степень </w:t>
            </w:r>
            <w:r w:rsidRPr="000B6AAC">
              <w:rPr>
                <w:color w:val="2A2A2A"/>
                <w:lang w:val="ru-RU"/>
              </w:rPr>
              <w:t>3</w:t>
            </w:r>
            <w:r w:rsidRPr="000B6AAC">
              <w:rPr>
                <w:color w:val="2A2A2A"/>
                <w:spacing w:val="-10"/>
                <w:lang w:val="ru-RU"/>
              </w:rPr>
              <w:t xml:space="preserve"> </w:t>
            </w:r>
            <w:r w:rsidRPr="000B6AAC">
              <w:rPr>
                <w:lang w:val="ru-RU"/>
              </w:rPr>
              <w:t>(несмотря</w:t>
            </w:r>
          </w:p>
          <w:p w14:paraId="7D30500E" w14:textId="77777777" w:rsidR="00200EBA" w:rsidRPr="000B6AAC" w:rsidRDefault="00200EBA" w:rsidP="000B6AAC">
            <w:pPr>
              <w:jc w:val="center"/>
              <w:rPr>
                <w:lang w:val="ru-RU"/>
              </w:rPr>
            </w:pPr>
            <w:r w:rsidRPr="000B6AAC">
              <w:rPr>
                <w:color w:val="0C0C0C"/>
                <w:lang w:val="ru-RU"/>
              </w:rPr>
              <w:t xml:space="preserve">на </w:t>
            </w:r>
            <w:r w:rsidRPr="000B6AAC">
              <w:rPr>
                <w:lang w:val="ru-RU"/>
              </w:rPr>
              <w:t>оптимальную антигипертензивную терапию)</w:t>
            </w:r>
          </w:p>
        </w:tc>
        <w:tc>
          <w:tcPr>
            <w:tcW w:w="1420" w:type="dxa"/>
            <w:vAlign w:val="center"/>
          </w:tcPr>
          <w:p w14:paraId="417C33DA" w14:textId="77777777" w:rsidR="00200EBA" w:rsidRPr="000B6AAC" w:rsidRDefault="00200EBA" w:rsidP="000B6AAC">
            <w:pPr>
              <w:jc w:val="center"/>
            </w:pPr>
            <w:r w:rsidRPr="000B6AAC">
              <w:t>Прервать</w:t>
            </w:r>
          </w:p>
        </w:tc>
        <w:tc>
          <w:tcPr>
            <w:tcW w:w="3085" w:type="dxa"/>
            <w:vAlign w:val="center"/>
          </w:tcPr>
          <w:p w14:paraId="54DE1B52" w14:textId="59C03776" w:rsidR="00200EBA" w:rsidRPr="000B6AAC" w:rsidRDefault="00200EBA" w:rsidP="000B6AAC">
            <w:pPr>
              <w:jc w:val="center"/>
              <w:rPr>
                <w:lang w:val="ru-RU"/>
              </w:rPr>
            </w:pPr>
            <w:r w:rsidRPr="000B6AAC">
              <w:rPr>
                <w:lang w:val="ru-RU"/>
              </w:rPr>
              <w:t>При улучшении до степени 0,</w:t>
            </w:r>
            <w:r w:rsidR="00900F83" w:rsidRPr="000B6AAC">
              <w:rPr>
                <w:lang w:val="ru-RU"/>
              </w:rPr>
              <w:t xml:space="preserve"> </w:t>
            </w:r>
            <w:r w:rsidRPr="000B6AAC">
              <w:rPr>
                <w:lang w:val="ru-RU"/>
              </w:rPr>
              <w:t>1 или 2</w:t>
            </w:r>
          </w:p>
          <w:p w14:paraId="67CAEC8F" w14:textId="77777777" w:rsidR="00200EBA" w:rsidRPr="000B6AAC" w:rsidRDefault="00200EBA" w:rsidP="000B6AAC">
            <w:pPr>
              <w:jc w:val="center"/>
              <w:rPr>
                <w:lang w:val="ru-RU"/>
              </w:rPr>
            </w:pPr>
          </w:p>
        </w:tc>
      </w:tr>
      <w:tr w:rsidR="00200EBA" w:rsidRPr="006F3FA4" w14:paraId="0A22275A" w14:textId="77777777" w:rsidTr="000B6AAC">
        <w:trPr>
          <w:trHeight w:val="248"/>
        </w:trPr>
        <w:tc>
          <w:tcPr>
            <w:tcW w:w="2807" w:type="dxa"/>
            <w:vMerge/>
            <w:vAlign w:val="center"/>
          </w:tcPr>
          <w:p w14:paraId="70256923" w14:textId="77777777" w:rsidR="00200EBA" w:rsidRPr="000B6AAC" w:rsidRDefault="00200EBA" w:rsidP="000B6AAC">
            <w:pPr>
              <w:jc w:val="center"/>
              <w:rPr>
                <w:lang w:val="ru-RU"/>
              </w:rPr>
            </w:pPr>
          </w:p>
        </w:tc>
        <w:tc>
          <w:tcPr>
            <w:tcW w:w="2250" w:type="dxa"/>
            <w:vAlign w:val="center"/>
          </w:tcPr>
          <w:p w14:paraId="663F6052" w14:textId="77777777" w:rsidR="00200EBA" w:rsidRPr="000B6AAC" w:rsidRDefault="00200EBA" w:rsidP="000B6AAC">
            <w:pPr>
              <w:jc w:val="center"/>
            </w:pPr>
            <w:r w:rsidRPr="000B6AAC">
              <w:rPr>
                <w:w w:val="95"/>
              </w:rPr>
              <w:t>Степень</w:t>
            </w:r>
            <w:r w:rsidRPr="000B6AAC">
              <w:t xml:space="preserve"> </w:t>
            </w:r>
            <w:r w:rsidRPr="000B6AAC">
              <w:rPr>
                <w:color w:val="0A0A0A"/>
                <w:spacing w:val="-10"/>
              </w:rPr>
              <w:t>4</w:t>
            </w:r>
          </w:p>
        </w:tc>
        <w:tc>
          <w:tcPr>
            <w:tcW w:w="1420" w:type="dxa"/>
            <w:vAlign w:val="center"/>
          </w:tcPr>
          <w:p w14:paraId="285F0654" w14:textId="77777777" w:rsidR="00200EBA" w:rsidRPr="000B6AAC" w:rsidRDefault="00200EBA" w:rsidP="000B6AAC">
            <w:pPr>
              <w:jc w:val="center"/>
            </w:pPr>
            <w:r w:rsidRPr="000B6AAC">
              <w:t>Отменить</w:t>
            </w:r>
          </w:p>
        </w:tc>
        <w:tc>
          <w:tcPr>
            <w:tcW w:w="3085" w:type="dxa"/>
            <w:vAlign w:val="center"/>
          </w:tcPr>
          <w:p w14:paraId="60828481" w14:textId="77777777" w:rsidR="00200EBA" w:rsidRPr="000B6AAC" w:rsidRDefault="00200EBA" w:rsidP="000B6AAC">
            <w:pPr>
              <w:jc w:val="center"/>
            </w:pPr>
            <w:r w:rsidRPr="000B6AAC">
              <w:t>Не</w:t>
            </w:r>
            <w:r w:rsidRPr="000B6AAC">
              <w:rPr>
                <w:spacing w:val="-3"/>
              </w:rPr>
              <w:t xml:space="preserve"> </w:t>
            </w:r>
            <w:r w:rsidRPr="000B6AAC">
              <w:t>возобновлять</w:t>
            </w:r>
          </w:p>
        </w:tc>
      </w:tr>
      <w:tr w:rsidR="00200EBA" w:rsidRPr="006F3FA4" w14:paraId="2BE53567" w14:textId="77777777" w:rsidTr="000B6AAC">
        <w:trPr>
          <w:trHeight w:val="508"/>
        </w:trPr>
        <w:tc>
          <w:tcPr>
            <w:tcW w:w="2807" w:type="dxa"/>
            <w:vAlign w:val="center"/>
          </w:tcPr>
          <w:p w14:paraId="5B4C5D0B" w14:textId="77777777" w:rsidR="00200EBA" w:rsidRPr="000B6AAC" w:rsidRDefault="00200EBA" w:rsidP="000B6AAC">
            <w:pPr>
              <w:jc w:val="center"/>
            </w:pPr>
            <w:r w:rsidRPr="000B6AAC">
              <w:lastRenderedPageBreak/>
              <w:t>Протеинурия</w:t>
            </w:r>
          </w:p>
        </w:tc>
        <w:tc>
          <w:tcPr>
            <w:tcW w:w="2250" w:type="dxa"/>
            <w:vAlign w:val="center"/>
          </w:tcPr>
          <w:p w14:paraId="1B9A556D" w14:textId="3E1C9C82" w:rsidR="00200EBA" w:rsidRPr="000B6AAC" w:rsidRDefault="00200EBA" w:rsidP="000B6AAC">
            <w:pPr>
              <w:jc w:val="center"/>
            </w:pPr>
            <w:r w:rsidRPr="000B6AAC">
              <w:rPr>
                <w:color w:val="2D2D2D"/>
              </w:rPr>
              <w:t>&gt;</w:t>
            </w:r>
            <w:r w:rsidRPr="000B6AAC">
              <w:rPr>
                <w:color w:val="111111"/>
              </w:rPr>
              <w:t>2</w:t>
            </w:r>
            <w:r w:rsidRPr="000B6AAC">
              <w:rPr>
                <w:color w:val="111111"/>
                <w:spacing w:val="-4"/>
              </w:rPr>
              <w:t xml:space="preserve"> </w:t>
            </w:r>
            <w:r w:rsidRPr="000B6AAC">
              <w:t>г</w:t>
            </w:r>
            <w:r w:rsidRPr="000B6AAC">
              <w:rPr>
                <w:spacing w:val="-11"/>
              </w:rPr>
              <w:t xml:space="preserve"> </w:t>
            </w:r>
            <w:r w:rsidRPr="000B6AAC">
              <w:rPr>
                <w:color w:val="0C0C0C"/>
              </w:rPr>
              <w:t>/</w:t>
            </w:r>
            <w:r w:rsidRPr="000B6AAC">
              <w:rPr>
                <w:color w:val="0C0C0C"/>
                <w:spacing w:val="-11"/>
              </w:rPr>
              <w:t xml:space="preserve"> </w:t>
            </w:r>
            <w:r w:rsidRPr="000B6AAC">
              <w:t>24</w:t>
            </w:r>
            <w:r w:rsidRPr="000B6AAC">
              <w:rPr>
                <w:spacing w:val="-9"/>
              </w:rPr>
              <w:t xml:space="preserve"> </w:t>
            </w:r>
            <w:r w:rsidRPr="000B6AAC">
              <w:rPr>
                <w:spacing w:val="-4"/>
              </w:rPr>
              <w:t>часа</w:t>
            </w:r>
          </w:p>
        </w:tc>
        <w:tc>
          <w:tcPr>
            <w:tcW w:w="1420" w:type="dxa"/>
            <w:vAlign w:val="center"/>
          </w:tcPr>
          <w:p w14:paraId="0ACBF5B1" w14:textId="77777777" w:rsidR="00200EBA" w:rsidRPr="000B6AAC" w:rsidRDefault="00200EBA" w:rsidP="000B6AAC">
            <w:pPr>
              <w:jc w:val="center"/>
            </w:pPr>
            <w:r w:rsidRPr="000B6AAC">
              <w:t>Прервать</w:t>
            </w:r>
          </w:p>
        </w:tc>
        <w:tc>
          <w:tcPr>
            <w:tcW w:w="3085" w:type="dxa"/>
            <w:vAlign w:val="center"/>
          </w:tcPr>
          <w:p w14:paraId="4D9D3887" w14:textId="77777777" w:rsidR="00200EBA" w:rsidRPr="000B6AAC" w:rsidRDefault="00200EBA" w:rsidP="000B6AAC">
            <w:pPr>
              <w:jc w:val="center"/>
              <w:rPr>
                <w:lang w:val="ru-RU"/>
              </w:rPr>
            </w:pPr>
            <w:r w:rsidRPr="000B6AAC">
              <w:rPr>
                <w:lang w:val="ru-RU"/>
              </w:rPr>
              <w:t>При улучшении до менее 2 г /</w:t>
            </w:r>
          </w:p>
          <w:p w14:paraId="238E79D9" w14:textId="77777777" w:rsidR="00200EBA" w:rsidRPr="000B6AAC" w:rsidRDefault="00200EBA" w:rsidP="000B6AAC">
            <w:pPr>
              <w:jc w:val="center"/>
            </w:pPr>
            <w:r w:rsidRPr="000B6AAC">
              <w:t>24 часа</w:t>
            </w:r>
          </w:p>
        </w:tc>
      </w:tr>
      <w:tr w:rsidR="00200EBA" w:rsidRPr="006F3FA4" w14:paraId="33A3250A" w14:textId="77777777" w:rsidTr="000B6AAC">
        <w:trPr>
          <w:trHeight w:val="258"/>
        </w:trPr>
        <w:tc>
          <w:tcPr>
            <w:tcW w:w="2807" w:type="dxa"/>
            <w:vAlign w:val="center"/>
          </w:tcPr>
          <w:p w14:paraId="133E7368" w14:textId="77777777" w:rsidR="00200EBA" w:rsidRPr="000B6AAC" w:rsidRDefault="00200EBA" w:rsidP="000B6AAC">
            <w:pPr>
              <w:jc w:val="center"/>
            </w:pPr>
            <w:r w:rsidRPr="000B6AAC">
              <w:t>Нефротический синдром</w:t>
            </w:r>
          </w:p>
        </w:tc>
        <w:tc>
          <w:tcPr>
            <w:tcW w:w="2250" w:type="dxa"/>
            <w:vAlign w:val="center"/>
          </w:tcPr>
          <w:p w14:paraId="5DDE1F17" w14:textId="77777777" w:rsidR="00200EBA" w:rsidRPr="000B6AAC" w:rsidRDefault="00200EBA" w:rsidP="000B6AAC">
            <w:pPr>
              <w:jc w:val="center"/>
            </w:pPr>
          </w:p>
        </w:tc>
        <w:tc>
          <w:tcPr>
            <w:tcW w:w="1420" w:type="dxa"/>
            <w:vAlign w:val="center"/>
          </w:tcPr>
          <w:p w14:paraId="2D5BAC0B" w14:textId="77777777" w:rsidR="00200EBA" w:rsidRPr="000B6AAC" w:rsidRDefault="00200EBA" w:rsidP="000B6AAC">
            <w:pPr>
              <w:jc w:val="center"/>
            </w:pPr>
            <w:r w:rsidRPr="000B6AAC">
              <w:t>Отменить</w:t>
            </w:r>
          </w:p>
        </w:tc>
        <w:tc>
          <w:tcPr>
            <w:tcW w:w="3085" w:type="dxa"/>
            <w:vAlign w:val="center"/>
          </w:tcPr>
          <w:p w14:paraId="30E3F10C" w14:textId="77777777" w:rsidR="00200EBA" w:rsidRPr="000B6AAC" w:rsidRDefault="00200EBA" w:rsidP="000B6AAC">
            <w:pPr>
              <w:jc w:val="center"/>
            </w:pPr>
            <w:r w:rsidRPr="000B6AAC">
              <w:t>Не</w:t>
            </w:r>
            <w:r w:rsidRPr="000B6AAC">
              <w:rPr>
                <w:spacing w:val="-8"/>
              </w:rPr>
              <w:t xml:space="preserve"> </w:t>
            </w:r>
            <w:r w:rsidRPr="000B6AAC">
              <w:t>возобновлять</w:t>
            </w:r>
          </w:p>
        </w:tc>
      </w:tr>
      <w:tr w:rsidR="00200EBA" w:rsidRPr="006F3FA4" w14:paraId="4F189B96" w14:textId="77777777" w:rsidTr="000B6AAC">
        <w:trPr>
          <w:trHeight w:val="767"/>
        </w:trPr>
        <w:tc>
          <w:tcPr>
            <w:tcW w:w="2807" w:type="dxa"/>
            <w:vMerge w:val="restart"/>
            <w:vAlign w:val="center"/>
          </w:tcPr>
          <w:p w14:paraId="14D0B5A5" w14:textId="77777777" w:rsidR="00200EBA" w:rsidRPr="000B6AAC" w:rsidRDefault="00200EBA" w:rsidP="000B6AAC">
            <w:pPr>
              <w:jc w:val="center"/>
              <w:rPr>
                <w:lang w:val="ru-RU"/>
              </w:rPr>
            </w:pPr>
            <w:r w:rsidRPr="000B6AAC">
              <w:rPr>
                <w:lang w:val="ru-RU"/>
              </w:rPr>
              <w:t>Нарушение функции почек</w:t>
            </w:r>
          </w:p>
          <w:p w14:paraId="25D53995" w14:textId="77777777" w:rsidR="00200EBA" w:rsidRPr="000B6AAC" w:rsidRDefault="00200EBA" w:rsidP="000B6AAC">
            <w:pPr>
              <w:jc w:val="center"/>
              <w:rPr>
                <w:lang w:val="ru-RU"/>
              </w:rPr>
            </w:pPr>
            <w:r w:rsidRPr="000B6AAC">
              <w:rPr>
                <w:lang w:val="ru-RU"/>
              </w:rPr>
              <w:t>или почечная недостаточность</w:t>
            </w:r>
          </w:p>
        </w:tc>
        <w:tc>
          <w:tcPr>
            <w:tcW w:w="2250" w:type="dxa"/>
            <w:vAlign w:val="center"/>
          </w:tcPr>
          <w:p w14:paraId="000EDD47" w14:textId="77777777" w:rsidR="00200EBA" w:rsidRPr="000B6AAC" w:rsidRDefault="00200EBA" w:rsidP="000B6AAC">
            <w:pPr>
              <w:jc w:val="center"/>
            </w:pPr>
            <w:r w:rsidRPr="000B6AAC">
              <w:t>Степень</w:t>
            </w:r>
            <w:r w:rsidRPr="000B6AAC">
              <w:rPr>
                <w:spacing w:val="-5"/>
              </w:rPr>
              <w:t xml:space="preserve"> </w:t>
            </w:r>
            <w:r w:rsidRPr="000B6AAC">
              <w:rPr>
                <w:color w:val="2B2B2B"/>
                <w:spacing w:val="-10"/>
              </w:rPr>
              <w:t>3</w:t>
            </w:r>
          </w:p>
        </w:tc>
        <w:tc>
          <w:tcPr>
            <w:tcW w:w="1420" w:type="dxa"/>
            <w:vAlign w:val="center"/>
          </w:tcPr>
          <w:p w14:paraId="554B9F98" w14:textId="77777777" w:rsidR="00200EBA" w:rsidRPr="000B6AAC" w:rsidRDefault="00200EBA" w:rsidP="000B6AAC">
            <w:pPr>
              <w:jc w:val="center"/>
            </w:pPr>
            <w:r w:rsidRPr="000B6AAC">
              <w:t>Прервать</w:t>
            </w:r>
          </w:p>
        </w:tc>
        <w:tc>
          <w:tcPr>
            <w:tcW w:w="3085" w:type="dxa"/>
            <w:vAlign w:val="center"/>
          </w:tcPr>
          <w:p w14:paraId="513669E7" w14:textId="77777777" w:rsidR="00200EBA" w:rsidRPr="000B6AAC" w:rsidRDefault="00200EBA" w:rsidP="000B6AAC">
            <w:pPr>
              <w:jc w:val="center"/>
              <w:rPr>
                <w:lang w:val="ru-RU"/>
              </w:rPr>
            </w:pPr>
            <w:r w:rsidRPr="000B6AAC">
              <w:rPr>
                <w:lang w:val="ru-RU"/>
              </w:rPr>
              <w:t>При</w:t>
            </w:r>
            <w:r w:rsidRPr="000B6AAC">
              <w:rPr>
                <w:spacing w:val="-8"/>
                <w:lang w:val="ru-RU"/>
              </w:rPr>
              <w:t xml:space="preserve"> </w:t>
            </w:r>
            <w:r w:rsidRPr="000B6AAC">
              <w:rPr>
                <w:lang w:val="ru-RU"/>
              </w:rPr>
              <w:t>улучшении до</w:t>
            </w:r>
            <w:r w:rsidRPr="000B6AAC">
              <w:rPr>
                <w:spacing w:val="-14"/>
                <w:lang w:val="ru-RU"/>
              </w:rPr>
              <w:t xml:space="preserve"> </w:t>
            </w:r>
            <w:r w:rsidRPr="000B6AAC">
              <w:rPr>
                <w:lang w:val="ru-RU"/>
              </w:rPr>
              <w:t xml:space="preserve">Степени </w:t>
            </w:r>
            <w:r w:rsidRPr="000B6AAC">
              <w:rPr>
                <w:spacing w:val="-5"/>
                <w:lang w:val="ru-RU"/>
              </w:rPr>
              <w:t>0-</w:t>
            </w:r>
            <w:r w:rsidRPr="000B6AAC">
              <w:rPr>
                <w:lang w:val="ru-RU"/>
              </w:rPr>
              <w:t>1</w:t>
            </w:r>
            <w:r w:rsidRPr="000B6AAC">
              <w:rPr>
                <w:spacing w:val="3"/>
                <w:lang w:val="ru-RU"/>
              </w:rPr>
              <w:t xml:space="preserve"> </w:t>
            </w:r>
            <w:r w:rsidRPr="000B6AAC">
              <w:rPr>
                <w:lang w:val="ru-RU"/>
              </w:rPr>
              <w:t>или</w:t>
            </w:r>
            <w:r w:rsidRPr="000B6AAC">
              <w:rPr>
                <w:spacing w:val="-3"/>
                <w:lang w:val="ru-RU"/>
              </w:rPr>
              <w:t xml:space="preserve"> </w:t>
            </w:r>
            <w:r w:rsidRPr="000B6AAC">
              <w:rPr>
                <w:lang w:val="ru-RU"/>
              </w:rPr>
              <w:t>первоначального</w:t>
            </w:r>
          </w:p>
          <w:p w14:paraId="2F89A8AC" w14:textId="77777777" w:rsidR="00200EBA" w:rsidRPr="000B6AAC" w:rsidRDefault="00200EBA" w:rsidP="000B6AAC">
            <w:pPr>
              <w:jc w:val="center"/>
              <w:rPr>
                <w:lang w:val="ru-RU"/>
              </w:rPr>
            </w:pPr>
            <w:r w:rsidRPr="000B6AAC">
              <w:rPr>
                <w:lang w:val="ru-RU"/>
              </w:rPr>
              <w:t>уровня</w:t>
            </w:r>
          </w:p>
        </w:tc>
      </w:tr>
      <w:tr w:rsidR="00200EBA" w:rsidRPr="006F3FA4" w14:paraId="0894B9A5" w14:textId="77777777" w:rsidTr="000B6AAC">
        <w:trPr>
          <w:trHeight w:val="239"/>
        </w:trPr>
        <w:tc>
          <w:tcPr>
            <w:tcW w:w="2807" w:type="dxa"/>
            <w:vMerge/>
            <w:vAlign w:val="center"/>
          </w:tcPr>
          <w:p w14:paraId="7E159FCE" w14:textId="77777777" w:rsidR="00200EBA" w:rsidRPr="000B6AAC" w:rsidRDefault="00200EBA" w:rsidP="000B6AAC">
            <w:pPr>
              <w:jc w:val="center"/>
            </w:pPr>
          </w:p>
        </w:tc>
        <w:tc>
          <w:tcPr>
            <w:tcW w:w="2250" w:type="dxa"/>
            <w:vAlign w:val="center"/>
          </w:tcPr>
          <w:p w14:paraId="1EA0ABA2" w14:textId="4717D070" w:rsidR="00200EBA" w:rsidRPr="000B6AAC" w:rsidRDefault="00200EBA" w:rsidP="000B6AAC">
            <w:pPr>
              <w:jc w:val="center"/>
            </w:pPr>
            <w:r w:rsidRPr="000B6AAC">
              <w:t>Степень</w:t>
            </w:r>
            <w:r w:rsidRPr="000B6AAC">
              <w:rPr>
                <w:spacing w:val="-5"/>
              </w:rPr>
              <w:t xml:space="preserve"> </w:t>
            </w:r>
            <w:r w:rsidRPr="000B6AAC">
              <w:rPr>
                <w:color w:val="0A0A0A"/>
                <w:spacing w:val="-5"/>
              </w:rPr>
              <w:t>4</w:t>
            </w:r>
          </w:p>
        </w:tc>
        <w:tc>
          <w:tcPr>
            <w:tcW w:w="1420" w:type="dxa"/>
            <w:vAlign w:val="center"/>
          </w:tcPr>
          <w:p w14:paraId="14E51AD4" w14:textId="77777777" w:rsidR="00200EBA" w:rsidRPr="000B6AAC" w:rsidRDefault="00200EBA" w:rsidP="000B6AAC">
            <w:pPr>
              <w:jc w:val="center"/>
            </w:pPr>
            <w:r w:rsidRPr="000B6AAC">
              <w:t>Отменить</w:t>
            </w:r>
          </w:p>
        </w:tc>
        <w:tc>
          <w:tcPr>
            <w:tcW w:w="3085" w:type="dxa"/>
            <w:vAlign w:val="center"/>
          </w:tcPr>
          <w:p w14:paraId="3442FA9A" w14:textId="77777777" w:rsidR="00200EBA" w:rsidRPr="000B6AAC" w:rsidRDefault="00200EBA" w:rsidP="000B6AAC">
            <w:pPr>
              <w:jc w:val="center"/>
            </w:pPr>
            <w:r w:rsidRPr="000B6AAC">
              <w:t>Не</w:t>
            </w:r>
            <w:r w:rsidRPr="000B6AAC">
              <w:rPr>
                <w:spacing w:val="2"/>
              </w:rPr>
              <w:t xml:space="preserve"> </w:t>
            </w:r>
            <w:r w:rsidRPr="000B6AAC">
              <w:t>возобновлять</w:t>
            </w:r>
          </w:p>
        </w:tc>
      </w:tr>
      <w:tr w:rsidR="00200EBA" w:rsidRPr="006F3FA4" w14:paraId="40F48636" w14:textId="77777777" w:rsidTr="000B6AAC">
        <w:trPr>
          <w:trHeight w:val="776"/>
        </w:trPr>
        <w:tc>
          <w:tcPr>
            <w:tcW w:w="2807" w:type="dxa"/>
            <w:vMerge w:val="restart"/>
            <w:vAlign w:val="center"/>
          </w:tcPr>
          <w:p w14:paraId="4CA29E4C" w14:textId="77777777" w:rsidR="00200EBA" w:rsidRPr="000B6AAC" w:rsidRDefault="00200EBA" w:rsidP="000B6AAC">
            <w:pPr>
              <w:jc w:val="center"/>
            </w:pPr>
            <w:r w:rsidRPr="000B6AAC">
              <w:t>Сердечная</w:t>
            </w:r>
          </w:p>
          <w:p w14:paraId="159F9BA9" w14:textId="77777777" w:rsidR="00200EBA" w:rsidRPr="000B6AAC" w:rsidRDefault="00200EBA" w:rsidP="000B6AAC">
            <w:pPr>
              <w:jc w:val="center"/>
            </w:pPr>
            <w:r w:rsidRPr="000B6AAC">
              <w:t>недостаточность</w:t>
            </w:r>
          </w:p>
        </w:tc>
        <w:tc>
          <w:tcPr>
            <w:tcW w:w="2250" w:type="dxa"/>
            <w:vAlign w:val="center"/>
          </w:tcPr>
          <w:p w14:paraId="272351E7" w14:textId="77777777" w:rsidR="00200EBA" w:rsidRPr="000B6AAC" w:rsidRDefault="00200EBA" w:rsidP="000B6AAC">
            <w:pPr>
              <w:jc w:val="center"/>
            </w:pPr>
            <w:r w:rsidRPr="000B6AAC">
              <w:rPr>
                <w:w w:val="95"/>
              </w:rPr>
              <w:t>Степень</w:t>
            </w:r>
            <w:r w:rsidRPr="000B6AAC">
              <w:rPr>
                <w:spacing w:val="-4"/>
                <w:w w:val="95"/>
              </w:rPr>
              <w:t xml:space="preserve"> </w:t>
            </w:r>
            <w:r w:rsidRPr="000B6AAC">
              <w:rPr>
                <w:color w:val="2D2D2D"/>
                <w:spacing w:val="-10"/>
              </w:rPr>
              <w:t>3</w:t>
            </w:r>
          </w:p>
        </w:tc>
        <w:tc>
          <w:tcPr>
            <w:tcW w:w="1420" w:type="dxa"/>
            <w:vAlign w:val="center"/>
          </w:tcPr>
          <w:p w14:paraId="1109C48B" w14:textId="77777777" w:rsidR="00200EBA" w:rsidRPr="000B6AAC" w:rsidRDefault="00200EBA" w:rsidP="000B6AAC">
            <w:pPr>
              <w:jc w:val="center"/>
            </w:pPr>
            <w:r w:rsidRPr="000B6AAC">
              <w:t>Прервать</w:t>
            </w:r>
          </w:p>
        </w:tc>
        <w:tc>
          <w:tcPr>
            <w:tcW w:w="3085" w:type="dxa"/>
            <w:vAlign w:val="center"/>
          </w:tcPr>
          <w:p w14:paraId="3EC5AFC2" w14:textId="77777777" w:rsidR="00200EBA" w:rsidRPr="000B6AAC" w:rsidRDefault="00200EBA" w:rsidP="000B6AAC">
            <w:pPr>
              <w:jc w:val="center"/>
              <w:rPr>
                <w:lang w:val="ru-RU"/>
              </w:rPr>
            </w:pPr>
            <w:r w:rsidRPr="000B6AAC">
              <w:rPr>
                <w:lang w:val="ru-RU"/>
              </w:rPr>
              <w:t>При улучшении до Степени 0-1 или первоначального уровня</w:t>
            </w:r>
          </w:p>
        </w:tc>
      </w:tr>
      <w:tr w:rsidR="00200EBA" w:rsidRPr="006F3FA4" w14:paraId="1A49C447" w14:textId="77777777" w:rsidTr="000B6AAC">
        <w:trPr>
          <w:trHeight w:val="239"/>
        </w:trPr>
        <w:tc>
          <w:tcPr>
            <w:tcW w:w="2807" w:type="dxa"/>
            <w:vMerge/>
            <w:vAlign w:val="center"/>
          </w:tcPr>
          <w:p w14:paraId="7FCD8C32" w14:textId="77777777" w:rsidR="00200EBA" w:rsidRPr="000B6AAC" w:rsidRDefault="00200EBA" w:rsidP="000B6AAC">
            <w:pPr>
              <w:jc w:val="center"/>
              <w:rPr>
                <w:lang w:val="ru-RU"/>
              </w:rPr>
            </w:pPr>
          </w:p>
        </w:tc>
        <w:tc>
          <w:tcPr>
            <w:tcW w:w="2250" w:type="dxa"/>
            <w:vAlign w:val="center"/>
          </w:tcPr>
          <w:p w14:paraId="0B885E6B" w14:textId="77777777" w:rsidR="00200EBA" w:rsidRPr="000B6AAC" w:rsidRDefault="00200EBA" w:rsidP="000B6AAC">
            <w:pPr>
              <w:jc w:val="center"/>
            </w:pPr>
            <w:r w:rsidRPr="000B6AAC">
              <w:rPr>
                <w:w w:val="95"/>
              </w:rPr>
              <w:t>Степень</w:t>
            </w:r>
            <w:r w:rsidRPr="000B6AAC">
              <w:t xml:space="preserve"> </w:t>
            </w:r>
            <w:r w:rsidRPr="000B6AAC">
              <w:rPr>
                <w:spacing w:val="-10"/>
              </w:rPr>
              <w:t>4</w:t>
            </w:r>
          </w:p>
        </w:tc>
        <w:tc>
          <w:tcPr>
            <w:tcW w:w="1420" w:type="dxa"/>
            <w:vAlign w:val="center"/>
          </w:tcPr>
          <w:p w14:paraId="099AD2EA" w14:textId="77777777" w:rsidR="00200EBA" w:rsidRPr="000B6AAC" w:rsidRDefault="00200EBA" w:rsidP="000B6AAC">
            <w:pPr>
              <w:jc w:val="center"/>
            </w:pPr>
            <w:r w:rsidRPr="000B6AAC">
              <w:t>Отменить</w:t>
            </w:r>
          </w:p>
        </w:tc>
        <w:tc>
          <w:tcPr>
            <w:tcW w:w="3085" w:type="dxa"/>
            <w:vAlign w:val="center"/>
          </w:tcPr>
          <w:p w14:paraId="139A1CA6" w14:textId="77777777" w:rsidR="00200EBA" w:rsidRPr="000B6AAC" w:rsidRDefault="00200EBA" w:rsidP="000B6AAC">
            <w:pPr>
              <w:jc w:val="center"/>
            </w:pPr>
            <w:r w:rsidRPr="000B6AAC">
              <w:t>Не</w:t>
            </w:r>
            <w:r w:rsidRPr="000B6AAC">
              <w:rPr>
                <w:spacing w:val="-3"/>
              </w:rPr>
              <w:t xml:space="preserve"> </w:t>
            </w:r>
            <w:r w:rsidRPr="000B6AAC">
              <w:t>возобновлять</w:t>
            </w:r>
          </w:p>
        </w:tc>
      </w:tr>
      <w:tr w:rsidR="00200EBA" w:rsidRPr="006F3FA4" w14:paraId="271AB0BB" w14:textId="77777777" w:rsidTr="000B6AAC">
        <w:trPr>
          <w:trHeight w:val="1026"/>
        </w:trPr>
        <w:tc>
          <w:tcPr>
            <w:tcW w:w="2807" w:type="dxa"/>
            <w:vAlign w:val="center"/>
          </w:tcPr>
          <w:p w14:paraId="1AFBA592" w14:textId="77777777" w:rsidR="00200EBA" w:rsidRPr="000B6AAC" w:rsidRDefault="00200EBA" w:rsidP="000B6AAC">
            <w:pPr>
              <w:jc w:val="center"/>
              <w:rPr>
                <w:lang w:val="ru-RU"/>
              </w:rPr>
            </w:pPr>
            <w:r w:rsidRPr="000B6AAC">
              <w:rPr>
                <w:lang w:val="ru-RU"/>
              </w:rPr>
              <w:t>Синдром обратимой</w:t>
            </w:r>
          </w:p>
          <w:p w14:paraId="430B9A58" w14:textId="77777777" w:rsidR="00200EBA" w:rsidRPr="000B6AAC" w:rsidRDefault="00200EBA" w:rsidP="000B6AAC">
            <w:pPr>
              <w:jc w:val="center"/>
              <w:rPr>
                <w:lang w:val="ru-RU"/>
              </w:rPr>
            </w:pPr>
            <w:r w:rsidRPr="000B6AAC">
              <w:rPr>
                <w:lang w:val="ru-RU"/>
              </w:rPr>
              <w:t>задней энцефалопатии /</w:t>
            </w:r>
          </w:p>
          <w:p w14:paraId="2F2D06AC" w14:textId="77777777" w:rsidR="00200EBA" w:rsidRPr="000B6AAC" w:rsidRDefault="00200EBA" w:rsidP="000B6AAC">
            <w:pPr>
              <w:jc w:val="center"/>
              <w:rPr>
                <w:lang w:val="ru-RU"/>
              </w:rPr>
            </w:pPr>
            <w:r w:rsidRPr="000B6AAC">
              <w:rPr>
                <w:lang w:val="ru-RU"/>
              </w:rPr>
              <w:t>синдром обратимой задней лейкоэнцефалопатии</w:t>
            </w:r>
          </w:p>
        </w:tc>
        <w:tc>
          <w:tcPr>
            <w:tcW w:w="2250" w:type="dxa"/>
            <w:vAlign w:val="center"/>
          </w:tcPr>
          <w:p w14:paraId="6D65D31E" w14:textId="77777777" w:rsidR="00200EBA" w:rsidRPr="000B6AAC" w:rsidRDefault="00200EBA" w:rsidP="000B6AAC">
            <w:pPr>
              <w:jc w:val="center"/>
            </w:pPr>
            <w:r w:rsidRPr="000B6AAC">
              <w:t>Любая</w:t>
            </w:r>
          </w:p>
        </w:tc>
        <w:tc>
          <w:tcPr>
            <w:tcW w:w="1420" w:type="dxa"/>
            <w:vAlign w:val="center"/>
          </w:tcPr>
          <w:p w14:paraId="76610F8B" w14:textId="77777777" w:rsidR="00200EBA" w:rsidRPr="000B6AAC" w:rsidRDefault="00200EBA" w:rsidP="000B6AAC">
            <w:pPr>
              <w:jc w:val="center"/>
            </w:pPr>
            <w:r w:rsidRPr="000B6AAC">
              <w:t>Прервать</w:t>
            </w:r>
          </w:p>
        </w:tc>
        <w:tc>
          <w:tcPr>
            <w:tcW w:w="3085" w:type="dxa"/>
            <w:vAlign w:val="center"/>
          </w:tcPr>
          <w:p w14:paraId="049E4C33" w14:textId="77777777" w:rsidR="00200EBA" w:rsidRPr="000B6AAC" w:rsidRDefault="00200EBA" w:rsidP="000B6AAC">
            <w:pPr>
              <w:jc w:val="center"/>
              <w:rPr>
                <w:lang w:val="ru-RU"/>
              </w:rPr>
            </w:pPr>
            <w:r w:rsidRPr="000B6AAC">
              <w:rPr>
                <w:lang w:val="ru-RU"/>
              </w:rPr>
              <w:t xml:space="preserve">Рассмотреть возможность </w:t>
            </w:r>
            <w:r w:rsidRPr="000B6AAC">
              <w:rPr>
                <w:w w:val="95"/>
                <w:lang w:val="ru-RU"/>
              </w:rPr>
              <w:t>возобновления</w:t>
            </w:r>
            <w:r w:rsidRPr="000B6AAC">
              <w:rPr>
                <w:lang w:val="ru-RU"/>
              </w:rPr>
              <w:t xml:space="preserve"> </w:t>
            </w:r>
            <w:r w:rsidRPr="000B6AAC">
              <w:rPr>
                <w:w w:val="95"/>
                <w:lang w:val="ru-RU"/>
              </w:rPr>
              <w:t>в</w:t>
            </w:r>
            <w:r w:rsidRPr="000B6AAC">
              <w:rPr>
                <w:spacing w:val="-9"/>
                <w:w w:val="95"/>
                <w:lang w:val="ru-RU"/>
              </w:rPr>
              <w:t xml:space="preserve"> </w:t>
            </w:r>
            <w:r w:rsidRPr="000B6AAC">
              <w:rPr>
                <w:w w:val="95"/>
                <w:lang w:val="ru-RU"/>
              </w:rPr>
              <w:t xml:space="preserve">сниженной </w:t>
            </w:r>
            <w:r w:rsidRPr="000B6AAC">
              <w:rPr>
                <w:lang w:val="ru-RU"/>
              </w:rPr>
              <w:t xml:space="preserve">дозе при улучшении </w:t>
            </w:r>
            <w:r w:rsidRPr="000B6AAC">
              <w:rPr>
                <w:color w:val="1A1A1A"/>
                <w:lang w:val="ru-RU"/>
              </w:rPr>
              <w:t>до</w:t>
            </w:r>
          </w:p>
          <w:p w14:paraId="47DDE804" w14:textId="77777777" w:rsidR="00200EBA" w:rsidRPr="000B6AAC" w:rsidRDefault="00200EBA" w:rsidP="000B6AAC">
            <w:pPr>
              <w:jc w:val="center"/>
            </w:pPr>
            <w:r w:rsidRPr="000B6AAC">
              <w:rPr>
                <w:w w:val="95"/>
              </w:rPr>
              <w:t>Степени</w:t>
            </w:r>
            <w:r w:rsidRPr="000B6AAC">
              <w:rPr>
                <w:spacing w:val="9"/>
              </w:rPr>
              <w:t xml:space="preserve"> </w:t>
            </w:r>
            <w:r w:rsidRPr="000B6AAC">
              <w:rPr>
                <w:w w:val="95"/>
              </w:rPr>
              <w:t>0-</w:t>
            </w:r>
            <w:r w:rsidRPr="000B6AAC">
              <w:rPr>
                <w:spacing w:val="-10"/>
                <w:w w:val="95"/>
              </w:rPr>
              <w:t>1</w:t>
            </w:r>
          </w:p>
        </w:tc>
      </w:tr>
      <w:tr w:rsidR="00200EBA" w:rsidRPr="006F3FA4" w14:paraId="1FCB7167" w14:textId="77777777" w:rsidTr="000B6AAC">
        <w:trPr>
          <w:trHeight w:val="767"/>
        </w:trPr>
        <w:tc>
          <w:tcPr>
            <w:tcW w:w="2807" w:type="dxa"/>
            <w:vMerge w:val="restart"/>
            <w:vAlign w:val="center"/>
          </w:tcPr>
          <w:p w14:paraId="45FAB027" w14:textId="77777777" w:rsidR="00200EBA" w:rsidRPr="000B6AAC" w:rsidRDefault="00200EBA" w:rsidP="000B6AAC">
            <w:pPr>
              <w:jc w:val="center"/>
            </w:pPr>
            <w:r w:rsidRPr="000B6AAC">
              <w:t>Гепатотоксичность</w:t>
            </w:r>
          </w:p>
        </w:tc>
        <w:tc>
          <w:tcPr>
            <w:tcW w:w="2250" w:type="dxa"/>
            <w:vAlign w:val="center"/>
          </w:tcPr>
          <w:p w14:paraId="3D44A72D" w14:textId="77777777" w:rsidR="00200EBA" w:rsidRPr="000B6AAC" w:rsidRDefault="00200EBA" w:rsidP="000B6AAC">
            <w:pPr>
              <w:jc w:val="center"/>
            </w:pPr>
            <w:r w:rsidRPr="000B6AAC">
              <w:t>Степень</w:t>
            </w:r>
            <w:r w:rsidRPr="000B6AAC">
              <w:rPr>
                <w:spacing w:val="-5"/>
              </w:rPr>
              <w:t xml:space="preserve"> </w:t>
            </w:r>
            <w:r w:rsidRPr="000B6AAC">
              <w:rPr>
                <w:color w:val="2A2A2A"/>
                <w:spacing w:val="-10"/>
              </w:rPr>
              <w:t>3</w:t>
            </w:r>
          </w:p>
        </w:tc>
        <w:tc>
          <w:tcPr>
            <w:tcW w:w="1420" w:type="dxa"/>
            <w:vAlign w:val="center"/>
          </w:tcPr>
          <w:p w14:paraId="0DCE4F7A" w14:textId="77777777" w:rsidR="00200EBA" w:rsidRPr="000B6AAC" w:rsidRDefault="00200EBA" w:rsidP="000B6AAC">
            <w:pPr>
              <w:jc w:val="center"/>
            </w:pPr>
            <w:r w:rsidRPr="000B6AAC">
              <w:t>Прервать</w:t>
            </w:r>
          </w:p>
        </w:tc>
        <w:tc>
          <w:tcPr>
            <w:tcW w:w="3085" w:type="dxa"/>
            <w:vAlign w:val="center"/>
          </w:tcPr>
          <w:p w14:paraId="3ECBC4E6" w14:textId="77777777" w:rsidR="00200EBA" w:rsidRPr="000B6AAC" w:rsidRDefault="00200EBA" w:rsidP="000B6AAC">
            <w:pPr>
              <w:jc w:val="center"/>
              <w:rPr>
                <w:lang w:val="ru-RU"/>
              </w:rPr>
            </w:pPr>
            <w:r w:rsidRPr="000B6AAC">
              <w:rPr>
                <w:w w:val="95"/>
                <w:lang w:val="ru-RU"/>
              </w:rPr>
              <w:t>При</w:t>
            </w:r>
            <w:r w:rsidRPr="000B6AAC">
              <w:rPr>
                <w:spacing w:val="-3"/>
                <w:w w:val="95"/>
                <w:lang w:val="ru-RU"/>
              </w:rPr>
              <w:t xml:space="preserve"> </w:t>
            </w:r>
            <w:r w:rsidRPr="000B6AAC">
              <w:rPr>
                <w:w w:val="95"/>
                <w:lang w:val="ru-RU"/>
              </w:rPr>
              <w:t>улучшении</w:t>
            </w:r>
            <w:r w:rsidRPr="000B6AAC">
              <w:rPr>
                <w:spacing w:val="4"/>
                <w:lang w:val="ru-RU"/>
              </w:rPr>
              <w:t xml:space="preserve"> </w:t>
            </w:r>
            <w:r w:rsidRPr="000B6AAC">
              <w:rPr>
                <w:w w:val="95"/>
                <w:lang w:val="ru-RU"/>
              </w:rPr>
              <w:t>до</w:t>
            </w:r>
            <w:r w:rsidRPr="000B6AAC">
              <w:rPr>
                <w:spacing w:val="-12"/>
                <w:w w:val="95"/>
                <w:lang w:val="ru-RU"/>
              </w:rPr>
              <w:t xml:space="preserve"> </w:t>
            </w:r>
            <w:r w:rsidRPr="000B6AAC">
              <w:rPr>
                <w:w w:val="95"/>
                <w:lang w:val="ru-RU"/>
              </w:rPr>
              <w:t>Степени</w:t>
            </w:r>
            <w:r w:rsidRPr="000B6AAC">
              <w:rPr>
                <w:lang w:val="ru-RU"/>
              </w:rPr>
              <w:t xml:space="preserve"> </w:t>
            </w:r>
            <w:r w:rsidRPr="000B6AAC">
              <w:rPr>
                <w:spacing w:val="-5"/>
                <w:w w:val="95"/>
                <w:lang w:val="ru-RU"/>
              </w:rPr>
              <w:t>0-</w:t>
            </w:r>
          </w:p>
          <w:p w14:paraId="2A4D93A2" w14:textId="77777777" w:rsidR="00200EBA" w:rsidRPr="000B6AAC" w:rsidRDefault="00200EBA" w:rsidP="000B6AAC">
            <w:pPr>
              <w:jc w:val="center"/>
              <w:rPr>
                <w:lang w:val="ru-RU"/>
              </w:rPr>
            </w:pPr>
            <w:r w:rsidRPr="000B6AAC">
              <w:rPr>
                <w:w w:val="95"/>
                <w:lang w:val="ru-RU"/>
              </w:rPr>
              <w:t>1</w:t>
            </w:r>
            <w:r w:rsidRPr="000B6AAC">
              <w:rPr>
                <w:spacing w:val="3"/>
                <w:lang w:val="ru-RU"/>
              </w:rPr>
              <w:t xml:space="preserve"> </w:t>
            </w:r>
            <w:r w:rsidRPr="000B6AAC">
              <w:rPr>
                <w:w w:val="95"/>
                <w:lang w:val="ru-RU"/>
              </w:rPr>
              <w:t>или</w:t>
            </w:r>
            <w:r w:rsidRPr="000B6AAC">
              <w:rPr>
                <w:spacing w:val="-7"/>
                <w:w w:val="95"/>
                <w:lang w:val="ru-RU"/>
              </w:rPr>
              <w:t xml:space="preserve"> </w:t>
            </w:r>
            <w:r w:rsidRPr="000B6AAC">
              <w:rPr>
                <w:w w:val="95"/>
                <w:lang w:val="ru-RU"/>
              </w:rPr>
              <w:t>первоначального</w:t>
            </w:r>
          </w:p>
          <w:p w14:paraId="7D256CCA" w14:textId="6AACFD9E" w:rsidR="00200EBA" w:rsidRPr="000B6AAC" w:rsidRDefault="00200EBA" w:rsidP="000B6AAC">
            <w:pPr>
              <w:jc w:val="center"/>
            </w:pPr>
            <w:r w:rsidRPr="000B6AAC">
              <w:t>уро</w:t>
            </w:r>
            <w:r w:rsidR="00191284" w:rsidRPr="000B6AAC">
              <w:rPr>
                <w:lang w:val="ru-RU"/>
              </w:rPr>
              <w:t>вн</w:t>
            </w:r>
            <w:r w:rsidRPr="000B6AAC">
              <w:t>я</w:t>
            </w:r>
          </w:p>
        </w:tc>
      </w:tr>
      <w:tr w:rsidR="00200EBA" w:rsidRPr="006F3FA4" w14:paraId="5A397873" w14:textId="77777777" w:rsidTr="000B6AAC">
        <w:trPr>
          <w:trHeight w:val="248"/>
        </w:trPr>
        <w:tc>
          <w:tcPr>
            <w:tcW w:w="2807" w:type="dxa"/>
            <w:vMerge/>
            <w:vAlign w:val="center"/>
          </w:tcPr>
          <w:p w14:paraId="5ACA452C" w14:textId="77777777" w:rsidR="00200EBA" w:rsidRPr="000B6AAC" w:rsidRDefault="00200EBA" w:rsidP="000B6AAC">
            <w:pPr>
              <w:jc w:val="center"/>
            </w:pPr>
          </w:p>
        </w:tc>
        <w:tc>
          <w:tcPr>
            <w:tcW w:w="2250" w:type="dxa"/>
            <w:vAlign w:val="center"/>
          </w:tcPr>
          <w:p w14:paraId="1CCC9123" w14:textId="77A433CC" w:rsidR="00200EBA" w:rsidRPr="000B6AAC" w:rsidRDefault="00200EBA" w:rsidP="000B6AAC">
            <w:pPr>
              <w:jc w:val="center"/>
            </w:pPr>
            <w:r w:rsidRPr="000B6AAC">
              <w:rPr>
                <w:w w:val="95"/>
              </w:rPr>
              <w:t>Степень</w:t>
            </w:r>
            <w:r w:rsidRPr="000B6AAC">
              <w:t xml:space="preserve"> </w:t>
            </w:r>
            <w:r w:rsidRPr="000B6AAC">
              <w:rPr>
                <w:spacing w:val="-5"/>
              </w:rPr>
              <w:t>4</w:t>
            </w:r>
          </w:p>
        </w:tc>
        <w:tc>
          <w:tcPr>
            <w:tcW w:w="1420" w:type="dxa"/>
            <w:vAlign w:val="center"/>
          </w:tcPr>
          <w:p w14:paraId="6EE8B19F" w14:textId="77777777" w:rsidR="00200EBA" w:rsidRPr="000B6AAC" w:rsidRDefault="00200EBA" w:rsidP="000B6AAC">
            <w:pPr>
              <w:jc w:val="center"/>
            </w:pPr>
            <w:r w:rsidRPr="000B6AAC">
              <w:t>Отменить</w:t>
            </w:r>
          </w:p>
        </w:tc>
        <w:tc>
          <w:tcPr>
            <w:tcW w:w="3085" w:type="dxa"/>
            <w:vAlign w:val="center"/>
          </w:tcPr>
          <w:p w14:paraId="6FF30CA8" w14:textId="77777777" w:rsidR="00200EBA" w:rsidRPr="000B6AAC" w:rsidRDefault="00200EBA" w:rsidP="000B6AAC">
            <w:pPr>
              <w:jc w:val="center"/>
            </w:pPr>
            <w:r w:rsidRPr="000B6AAC">
              <w:t>Не</w:t>
            </w:r>
            <w:r w:rsidRPr="000B6AAC">
              <w:rPr>
                <w:spacing w:val="-3"/>
              </w:rPr>
              <w:t xml:space="preserve"> </w:t>
            </w:r>
            <w:r w:rsidRPr="000B6AAC">
              <w:t>возобновлять</w:t>
            </w:r>
          </w:p>
        </w:tc>
      </w:tr>
      <w:tr w:rsidR="00200EBA" w:rsidRPr="006F3FA4" w14:paraId="55565DE0" w14:textId="77777777" w:rsidTr="000B6AAC">
        <w:trPr>
          <w:trHeight w:val="244"/>
        </w:trPr>
        <w:tc>
          <w:tcPr>
            <w:tcW w:w="2807" w:type="dxa"/>
            <w:vAlign w:val="center"/>
          </w:tcPr>
          <w:p w14:paraId="69CEB183" w14:textId="77777777" w:rsidR="00200EBA" w:rsidRPr="000B6AAC" w:rsidRDefault="00200EBA" w:rsidP="000B6AAC">
            <w:pPr>
              <w:jc w:val="center"/>
            </w:pPr>
            <w:r w:rsidRPr="000B6AAC">
              <w:rPr>
                <w:w w:val="95"/>
              </w:rPr>
              <w:t>Тромбоэмболия</w:t>
            </w:r>
            <w:r w:rsidRPr="000B6AAC">
              <w:rPr>
                <w:spacing w:val="17"/>
              </w:rPr>
              <w:t xml:space="preserve"> </w:t>
            </w:r>
            <w:r w:rsidRPr="000B6AAC">
              <w:t>артерий</w:t>
            </w:r>
          </w:p>
        </w:tc>
        <w:tc>
          <w:tcPr>
            <w:tcW w:w="2250" w:type="dxa"/>
            <w:vAlign w:val="center"/>
          </w:tcPr>
          <w:p w14:paraId="397CD159" w14:textId="77777777" w:rsidR="00200EBA" w:rsidRPr="000B6AAC" w:rsidRDefault="00200EBA" w:rsidP="000B6AAC">
            <w:pPr>
              <w:jc w:val="center"/>
            </w:pPr>
            <w:r w:rsidRPr="000B6AAC">
              <w:t>Любая</w:t>
            </w:r>
          </w:p>
        </w:tc>
        <w:tc>
          <w:tcPr>
            <w:tcW w:w="1420" w:type="dxa"/>
            <w:vAlign w:val="center"/>
          </w:tcPr>
          <w:p w14:paraId="0478063F" w14:textId="77777777" w:rsidR="00200EBA" w:rsidRPr="000B6AAC" w:rsidRDefault="00200EBA" w:rsidP="000B6AAC">
            <w:pPr>
              <w:jc w:val="center"/>
            </w:pPr>
            <w:r w:rsidRPr="000B6AAC">
              <w:t>Отменить</w:t>
            </w:r>
          </w:p>
        </w:tc>
        <w:tc>
          <w:tcPr>
            <w:tcW w:w="3085" w:type="dxa"/>
            <w:vAlign w:val="center"/>
          </w:tcPr>
          <w:p w14:paraId="0B945A3C" w14:textId="77777777" w:rsidR="00200EBA" w:rsidRPr="000B6AAC" w:rsidRDefault="00200EBA" w:rsidP="000B6AAC">
            <w:pPr>
              <w:jc w:val="center"/>
            </w:pPr>
            <w:r w:rsidRPr="000B6AAC">
              <w:t>Не</w:t>
            </w:r>
            <w:r w:rsidRPr="000B6AAC">
              <w:rPr>
                <w:spacing w:val="-3"/>
              </w:rPr>
              <w:t xml:space="preserve"> </w:t>
            </w:r>
            <w:r w:rsidRPr="000B6AAC">
              <w:t>возобновлять</w:t>
            </w:r>
          </w:p>
        </w:tc>
      </w:tr>
      <w:tr w:rsidR="00200EBA" w:rsidRPr="006F3FA4" w14:paraId="72BFDF29" w14:textId="77777777" w:rsidTr="000B6AAC">
        <w:trPr>
          <w:trHeight w:val="508"/>
        </w:trPr>
        <w:tc>
          <w:tcPr>
            <w:tcW w:w="2807" w:type="dxa"/>
            <w:vMerge w:val="restart"/>
            <w:vAlign w:val="center"/>
          </w:tcPr>
          <w:p w14:paraId="6D5C4F69" w14:textId="77777777" w:rsidR="00200EBA" w:rsidRPr="000B6AAC" w:rsidRDefault="00200EBA" w:rsidP="000B6AAC">
            <w:pPr>
              <w:jc w:val="center"/>
            </w:pPr>
            <w:r w:rsidRPr="000B6AAC">
              <w:rPr>
                <w:w w:val="95"/>
              </w:rPr>
              <w:t>Кровотечение</w:t>
            </w:r>
            <w:r w:rsidRPr="000B6AAC">
              <w:rPr>
                <w:spacing w:val="17"/>
              </w:rPr>
              <w:t xml:space="preserve"> </w:t>
            </w:r>
            <w:r w:rsidRPr="000B6AAC">
              <w:rPr>
                <w:color w:val="212121"/>
                <w:spacing w:val="-10"/>
              </w:rPr>
              <w:t>и</w:t>
            </w:r>
          </w:p>
          <w:p w14:paraId="095F64B6" w14:textId="77777777" w:rsidR="00200EBA" w:rsidRPr="000B6AAC" w:rsidRDefault="00200EBA" w:rsidP="000B6AAC">
            <w:pPr>
              <w:jc w:val="center"/>
            </w:pPr>
            <w:r w:rsidRPr="000B6AAC">
              <w:t>тромбоцитопения*</w:t>
            </w:r>
          </w:p>
        </w:tc>
        <w:tc>
          <w:tcPr>
            <w:tcW w:w="2250" w:type="dxa"/>
            <w:vAlign w:val="center"/>
          </w:tcPr>
          <w:p w14:paraId="2BA74D72" w14:textId="77777777" w:rsidR="00200EBA" w:rsidRPr="000B6AAC" w:rsidRDefault="00200EBA" w:rsidP="000B6AAC">
            <w:pPr>
              <w:jc w:val="center"/>
            </w:pPr>
            <w:r w:rsidRPr="000B6AAC">
              <w:rPr>
                <w:w w:val="95"/>
              </w:rPr>
              <w:t>Степень</w:t>
            </w:r>
            <w:r w:rsidRPr="000B6AAC">
              <w:rPr>
                <w:spacing w:val="-3"/>
              </w:rPr>
              <w:t xml:space="preserve"> </w:t>
            </w:r>
            <w:r w:rsidRPr="000B6AAC">
              <w:rPr>
                <w:color w:val="262626"/>
                <w:spacing w:val="-10"/>
              </w:rPr>
              <w:t>3</w:t>
            </w:r>
          </w:p>
        </w:tc>
        <w:tc>
          <w:tcPr>
            <w:tcW w:w="1420" w:type="dxa"/>
            <w:vAlign w:val="center"/>
          </w:tcPr>
          <w:p w14:paraId="4C52D226" w14:textId="77777777" w:rsidR="00200EBA" w:rsidRPr="000B6AAC" w:rsidRDefault="00200EBA" w:rsidP="000B6AAC">
            <w:pPr>
              <w:jc w:val="center"/>
            </w:pPr>
            <w:r w:rsidRPr="000B6AAC">
              <w:t>Прервать</w:t>
            </w:r>
          </w:p>
        </w:tc>
        <w:tc>
          <w:tcPr>
            <w:tcW w:w="3085" w:type="dxa"/>
            <w:vAlign w:val="center"/>
          </w:tcPr>
          <w:p w14:paraId="2054DD70" w14:textId="098A80CD" w:rsidR="00200EBA" w:rsidRPr="000B6AAC" w:rsidRDefault="00200EBA" w:rsidP="000B6AAC">
            <w:pPr>
              <w:jc w:val="center"/>
            </w:pPr>
            <w:r w:rsidRPr="000B6AAC">
              <w:t>При</w:t>
            </w:r>
            <w:r w:rsidRPr="000B6AAC">
              <w:rPr>
                <w:spacing w:val="-11"/>
              </w:rPr>
              <w:t xml:space="preserve"> </w:t>
            </w:r>
            <w:r w:rsidRPr="000B6AAC">
              <w:t>улучшении</w:t>
            </w:r>
            <w:r w:rsidRPr="000B6AAC">
              <w:rPr>
                <w:spacing w:val="3"/>
              </w:rPr>
              <w:t xml:space="preserve"> </w:t>
            </w:r>
            <w:r w:rsidRPr="000B6AAC">
              <w:t>до</w:t>
            </w:r>
            <w:r w:rsidRPr="000B6AAC">
              <w:rPr>
                <w:spacing w:val="-14"/>
              </w:rPr>
              <w:t xml:space="preserve"> </w:t>
            </w:r>
            <w:r w:rsidRPr="000B6AAC">
              <w:t>Степени</w:t>
            </w:r>
            <w:r w:rsidRPr="000B6AAC">
              <w:rPr>
                <w:spacing w:val="-4"/>
              </w:rPr>
              <w:t xml:space="preserve"> </w:t>
            </w:r>
            <w:r w:rsidRPr="000B6AAC">
              <w:rPr>
                <w:spacing w:val="-5"/>
              </w:rPr>
              <w:t>0-</w:t>
            </w:r>
            <w:r w:rsidRPr="000B6AAC">
              <w:rPr>
                <w:color w:val="080808"/>
                <w:w w:val="81"/>
              </w:rPr>
              <w:t>1</w:t>
            </w:r>
          </w:p>
        </w:tc>
      </w:tr>
      <w:tr w:rsidR="00200EBA" w:rsidRPr="006F3FA4" w14:paraId="402555A0" w14:textId="77777777" w:rsidTr="000B6AAC">
        <w:trPr>
          <w:trHeight w:val="248"/>
        </w:trPr>
        <w:tc>
          <w:tcPr>
            <w:tcW w:w="2807" w:type="dxa"/>
            <w:vMerge/>
            <w:vAlign w:val="center"/>
          </w:tcPr>
          <w:p w14:paraId="45E1210E" w14:textId="77777777" w:rsidR="00200EBA" w:rsidRPr="000B6AAC" w:rsidRDefault="00200EBA" w:rsidP="000B6AAC">
            <w:pPr>
              <w:jc w:val="center"/>
            </w:pPr>
          </w:p>
        </w:tc>
        <w:tc>
          <w:tcPr>
            <w:tcW w:w="2250" w:type="dxa"/>
            <w:vAlign w:val="center"/>
          </w:tcPr>
          <w:p w14:paraId="68BDE4FC" w14:textId="77777777" w:rsidR="00200EBA" w:rsidRPr="000B6AAC" w:rsidRDefault="00200EBA" w:rsidP="000B6AAC">
            <w:pPr>
              <w:jc w:val="center"/>
            </w:pPr>
            <w:r w:rsidRPr="000B6AAC">
              <w:t>Степень</w:t>
            </w:r>
            <w:r w:rsidRPr="000B6AAC">
              <w:rPr>
                <w:spacing w:val="4"/>
              </w:rPr>
              <w:t xml:space="preserve"> </w:t>
            </w:r>
            <w:r w:rsidRPr="000B6AAC">
              <w:rPr>
                <w:spacing w:val="-10"/>
              </w:rPr>
              <w:t>4</w:t>
            </w:r>
          </w:p>
        </w:tc>
        <w:tc>
          <w:tcPr>
            <w:tcW w:w="1420" w:type="dxa"/>
            <w:vAlign w:val="center"/>
          </w:tcPr>
          <w:p w14:paraId="58067BA6" w14:textId="77777777" w:rsidR="00200EBA" w:rsidRPr="000B6AAC" w:rsidRDefault="00200EBA" w:rsidP="000B6AAC">
            <w:pPr>
              <w:jc w:val="center"/>
            </w:pPr>
            <w:r w:rsidRPr="000B6AAC">
              <w:t>Отменить</w:t>
            </w:r>
          </w:p>
        </w:tc>
        <w:tc>
          <w:tcPr>
            <w:tcW w:w="3085" w:type="dxa"/>
            <w:vAlign w:val="center"/>
          </w:tcPr>
          <w:p w14:paraId="0BC282EC" w14:textId="77777777" w:rsidR="00200EBA" w:rsidRPr="000B6AAC" w:rsidRDefault="00200EBA" w:rsidP="000B6AAC">
            <w:pPr>
              <w:jc w:val="center"/>
            </w:pPr>
            <w:r w:rsidRPr="000B6AAC">
              <w:t>Не</w:t>
            </w:r>
            <w:r w:rsidRPr="000B6AAC">
              <w:rPr>
                <w:spacing w:val="-3"/>
              </w:rPr>
              <w:t xml:space="preserve"> </w:t>
            </w:r>
            <w:r w:rsidRPr="000B6AAC">
              <w:t>возобновлять</w:t>
            </w:r>
          </w:p>
        </w:tc>
      </w:tr>
      <w:tr w:rsidR="00200EBA" w:rsidRPr="006F3FA4" w14:paraId="47262420" w14:textId="77777777" w:rsidTr="000B6AAC">
        <w:trPr>
          <w:trHeight w:val="1011"/>
        </w:trPr>
        <w:tc>
          <w:tcPr>
            <w:tcW w:w="2807" w:type="dxa"/>
            <w:vAlign w:val="center"/>
          </w:tcPr>
          <w:p w14:paraId="7352B64F" w14:textId="77777777" w:rsidR="00200EBA" w:rsidRPr="000B6AAC" w:rsidRDefault="00200EBA" w:rsidP="000B6AAC">
            <w:pPr>
              <w:jc w:val="center"/>
            </w:pPr>
            <w:r w:rsidRPr="000B6AAC">
              <w:t>Гастроинтестинальная</w:t>
            </w:r>
          </w:p>
          <w:p w14:paraId="4728F713" w14:textId="77777777" w:rsidR="00200EBA" w:rsidRPr="000B6AAC" w:rsidRDefault="00200EBA" w:rsidP="000B6AAC">
            <w:pPr>
              <w:jc w:val="center"/>
            </w:pPr>
            <w:r w:rsidRPr="000B6AAC">
              <w:t>перфорация или фистула</w:t>
            </w:r>
          </w:p>
        </w:tc>
        <w:tc>
          <w:tcPr>
            <w:tcW w:w="2250" w:type="dxa"/>
            <w:vAlign w:val="center"/>
          </w:tcPr>
          <w:p w14:paraId="099B6FD8" w14:textId="77777777" w:rsidR="00200EBA" w:rsidRPr="000B6AAC" w:rsidRDefault="00200EBA" w:rsidP="000B6AAC">
            <w:pPr>
              <w:jc w:val="center"/>
            </w:pPr>
            <w:r w:rsidRPr="000B6AAC">
              <w:t>Степень 3</w:t>
            </w:r>
          </w:p>
          <w:p w14:paraId="2B1E6013" w14:textId="77777777" w:rsidR="00200EBA" w:rsidRPr="000B6AAC" w:rsidRDefault="00200EBA" w:rsidP="000B6AAC">
            <w:pPr>
              <w:jc w:val="center"/>
            </w:pPr>
            <w:r w:rsidRPr="000B6AAC">
              <w:t>Степень 4</w:t>
            </w:r>
          </w:p>
        </w:tc>
        <w:tc>
          <w:tcPr>
            <w:tcW w:w="1420" w:type="dxa"/>
            <w:vAlign w:val="center"/>
          </w:tcPr>
          <w:p w14:paraId="475891FE" w14:textId="77777777" w:rsidR="00200EBA" w:rsidRPr="000B6AAC" w:rsidRDefault="00200EBA" w:rsidP="000B6AAC">
            <w:pPr>
              <w:jc w:val="center"/>
            </w:pPr>
            <w:r w:rsidRPr="000B6AAC">
              <w:t>Прервать</w:t>
            </w:r>
          </w:p>
          <w:p w14:paraId="2BE595FD" w14:textId="77777777" w:rsidR="00200EBA" w:rsidRPr="000B6AAC" w:rsidRDefault="00200EBA" w:rsidP="000B6AAC">
            <w:pPr>
              <w:jc w:val="center"/>
            </w:pPr>
            <w:r w:rsidRPr="000B6AAC">
              <w:t>Отменить</w:t>
            </w:r>
          </w:p>
        </w:tc>
        <w:tc>
          <w:tcPr>
            <w:tcW w:w="3085" w:type="dxa"/>
            <w:vAlign w:val="center"/>
          </w:tcPr>
          <w:p w14:paraId="21B7E726" w14:textId="77777777" w:rsidR="00200EBA" w:rsidRPr="000B6AAC" w:rsidRDefault="00200EBA" w:rsidP="000B6AAC">
            <w:pPr>
              <w:jc w:val="center"/>
              <w:rPr>
                <w:lang w:val="ru-RU"/>
              </w:rPr>
            </w:pPr>
            <w:r w:rsidRPr="000B6AAC">
              <w:rPr>
                <w:lang w:val="ru-RU"/>
              </w:rPr>
              <w:t>При улучшении до степени 0-1 или первоначального</w:t>
            </w:r>
          </w:p>
          <w:p w14:paraId="272B6749" w14:textId="77777777" w:rsidR="00200EBA" w:rsidRPr="000B6AAC" w:rsidRDefault="00200EBA" w:rsidP="000B6AAC">
            <w:pPr>
              <w:jc w:val="center"/>
            </w:pPr>
            <w:r w:rsidRPr="000B6AAC">
              <w:rPr>
                <w:lang w:val="ru-RU"/>
              </w:rPr>
              <w:t>у</w:t>
            </w:r>
            <w:r w:rsidRPr="000B6AAC">
              <w:t>р</w:t>
            </w:r>
            <w:r w:rsidRPr="000B6AAC">
              <w:rPr>
                <w:lang w:val="ru-RU"/>
              </w:rPr>
              <w:t>о</w:t>
            </w:r>
            <w:r w:rsidRPr="000B6AAC">
              <w:t>в</w:t>
            </w:r>
            <w:r w:rsidRPr="000B6AAC">
              <w:rPr>
                <w:lang w:val="ru-RU"/>
              </w:rPr>
              <w:t>н</w:t>
            </w:r>
            <w:r w:rsidRPr="000B6AAC">
              <w:t>я</w:t>
            </w:r>
            <w:r w:rsidRPr="000B6AAC">
              <w:rPr>
                <w:lang w:val="ru-RU"/>
              </w:rPr>
              <w:t xml:space="preserve"> н</w:t>
            </w:r>
            <w:r w:rsidRPr="000B6AAC">
              <w:t>е возобновлять</w:t>
            </w:r>
          </w:p>
        </w:tc>
      </w:tr>
      <w:tr w:rsidR="00200EBA" w14:paraId="7A9D2E7C" w14:textId="77777777" w:rsidTr="000B6AAC">
        <w:tblPrEx>
          <w:tblLook w:val="04A0" w:firstRow="1" w:lastRow="0" w:firstColumn="1" w:lastColumn="0" w:noHBand="0" w:noVBand="1"/>
        </w:tblPrEx>
        <w:trPr>
          <w:trHeight w:val="508"/>
        </w:trPr>
        <w:tc>
          <w:tcPr>
            <w:tcW w:w="2807" w:type="dxa"/>
            <w:vAlign w:val="center"/>
          </w:tcPr>
          <w:p w14:paraId="1D44B9D7" w14:textId="77777777" w:rsidR="00200EBA" w:rsidRPr="000B6AAC" w:rsidRDefault="00200EBA" w:rsidP="000B6AAC">
            <w:pPr>
              <w:jc w:val="center"/>
            </w:pPr>
            <w:r w:rsidRPr="000B6AAC">
              <w:rPr>
                <w:w w:val="95"/>
              </w:rPr>
              <w:t>Не</w:t>
            </w:r>
            <w:r w:rsidRPr="000B6AAC">
              <w:rPr>
                <w:spacing w:val="-2"/>
              </w:rPr>
              <w:t xml:space="preserve"> гастроинтестинальная</w:t>
            </w:r>
          </w:p>
          <w:p w14:paraId="709A3B41" w14:textId="77777777" w:rsidR="00200EBA" w:rsidRPr="000B6AAC" w:rsidRDefault="00200EBA" w:rsidP="000B6AAC">
            <w:pPr>
              <w:jc w:val="center"/>
            </w:pPr>
            <w:r w:rsidRPr="000B6AAC">
              <w:rPr>
                <w:spacing w:val="-2"/>
              </w:rPr>
              <w:t>фистула</w:t>
            </w:r>
          </w:p>
        </w:tc>
        <w:tc>
          <w:tcPr>
            <w:tcW w:w="2250" w:type="dxa"/>
            <w:vAlign w:val="center"/>
          </w:tcPr>
          <w:p w14:paraId="67E017C2" w14:textId="77777777" w:rsidR="00200EBA" w:rsidRPr="000B6AAC" w:rsidRDefault="00200EBA" w:rsidP="000B6AAC">
            <w:pPr>
              <w:jc w:val="center"/>
            </w:pPr>
            <w:r w:rsidRPr="000B6AAC">
              <w:rPr>
                <w:w w:val="95"/>
              </w:rPr>
              <w:t>Степень</w:t>
            </w:r>
            <w:r w:rsidRPr="000B6AAC">
              <w:rPr>
                <w:spacing w:val="3"/>
              </w:rPr>
              <w:t xml:space="preserve"> </w:t>
            </w:r>
            <w:r w:rsidRPr="000B6AAC">
              <w:rPr>
                <w:color w:val="131313"/>
                <w:spacing w:val="-10"/>
              </w:rPr>
              <w:t>4</w:t>
            </w:r>
          </w:p>
        </w:tc>
        <w:tc>
          <w:tcPr>
            <w:tcW w:w="1420" w:type="dxa"/>
            <w:vAlign w:val="center"/>
          </w:tcPr>
          <w:p w14:paraId="1AFC6417" w14:textId="77777777" w:rsidR="00200EBA" w:rsidRPr="000B6AAC" w:rsidRDefault="00200EBA" w:rsidP="000B6AAC">
            <w:pPr>
              <w:jc w:val="center"/>
            </w:pPr>
            <w:r w:rsidRPr="000B6AAC">
              <w:rPr>
                <w:spacing w:val="-2"/>
              </w:rPr>
              <w:t>Отменить</w:t>
            </w:r>
          </w:p>
        </w:tc>
        <w:tc>
          <w:tcPr>
            <w:tcW w:w="3085" w:type="dxa"/>
            <w:vAlign w:val="center"/>
          </w:tcPr>
          <w:p w14:paraId="5F988E6F" w14:textId="77777777" w:rsidR="00200EBA" w:rsidRPr="000B6AAC" w:rsidRDefault="00200EBA" w:rsidP="000B6AAC">
            <w:pPr>
              <w:jc w:val="center"/>
            </w:pPr>
            <w:r w:rsidRPr="000B6AAC">
              <w:rPr>
                <w:w w:val="95"/>
              </w:rPr>
              <w:t>Не</w:t>
            </w:r>
            <w:r w:rsidRPr="000B6AAC">
              <w:rPr>
                <w:spacing w:val="-1"/>
                <w:w w:val="95"/>
              </w:rPr>
              <w:t xml:space="preserve"> </w:t>
            </w:r>
            <w:r w:rsidRPr="000B6AAC">
              <w:rPr>
                <w:spacing w:val="-2"/>
              </w:rPr>
              <w:t>возобновлять</w:t>
            </w:r>
          </w:p>
        </w:tc>
      </w:tr>
      <w:tr w:rsidR="00200EBA" w14:paraId="6BADF8EF" w14:textId="77777777" w:rsidTr="000B6AAC">
        <w:tblPrEx>
          <w:tblLook w:val="04A0" w:firstRow="1" w:lastRow="0" w:firstColumn="1" w:lastColumn="0" w:noHBand="0" w:noVBand="1"/>
        </w:tblPrEx>
        <w:trPr>
          <w:trHeight w:val="767"/>
        </w:trPr>
        <w:tc>
          <w:tcPr>
            <w:tcW w:w="2807" w:type="dxa"/>
            <w:vAlign w:val="center"/>
          </w:tcPr>
          <w:p w14:paraId="7B0D360B" w14:textId="77777777" w:rsidR="00200EBA" w:rsidRPr="000B6AAC" w:rsidRDefault="00200EBA" w:rsidP="000B6AAC">
            <w:pPr>
              <w:jc w:val="center"/>
            </w:pPr>
            <w:r w:rsidRPr="000B6AAC">
              <w:t>Удлинение интервала QT</w:t>
            </w:r>
          </w:p>
        </w:tc>
        <w:tc>
          <w:tcPr>
            <w:tcW w:w="2250" w:type="dxa"/>
            <w:vAlign w:val="center"/>
          </w:tcPr>
          <w:p w14:paraId="44DF2C85" w14:textId="77777777" w:rsidR="00200EBA" w:rsidRPr="000B6AAC" w:rsidRDefault="00200EBA" w:rsidP="000B6AAC">
            <w:pPr>
              <w:jc w:val="center"/>
            </w:pPr>
            <w:r w:rsidRPr="000B6AAC">
              <w:rPr>
                <w:color w:val="2F2F2F"/>
              </w:rPr>
              <w:t>&gt;</w:t>
            </w:r>
            <w:r w:rsidRPr="000B6AAC">
              <w:rPr>
                <w:color w:val="2F2F2F"/>
                <w:spacing w:val="-15"/>
              </w:rPr>
              <w:t xml:space="preserve"> </w:t>
            </w:r>
            <w:r w:rsidRPr="000B6AAC">
              <w:t>500</w:t>
            </w:r>
            <w:r w:rsidRPr="000B6AAC">
              <w:rPr>
                <w:spacing w:val="-10"/>
              </w:rPr>
              <w:t xml:space="preserve"> </w:t>
            </w:r>
            <w:r w:rsidRPr="000B6AAC">
              <w:rPr>
                <w:spacing w:val="-5"/>
              </w:rPr>
              <w:t>мс</w:t>
            </w:r>
          </w:p>
        </w:tc>
        <w:tc>
          <w:tcPr>
            <w:tcW w:w="1420" w:type="dxa"/>
            <w:vAlign w:val="center"/>
          </w:tcPr>
          <w:p w14:paraId="40BBD324" w14:textId="77777777" w:rsidR="00200EBA" w:rsidRPr="000B6AAC" w:rsidRDefault="00200EBA" w:rsidP="000B6AAC">
            <w:pPr>
              <w:jc w:val="center"/>
            </w:pPr>
            <w:r w:rsidRPr="000B6AAC">
              <w:rPr>
                <w:spacing w:val="-2"/>
              </w:rPr>
              <w:t>Прервать</w:t>
            </w:r>
          </w:p>
        </w:tc>
        <w:tc>
          <w:tcPr>
            <w:tcW w:w="3085" w:type="dxa"/>
            <w:vAlign w:val="center"/>
          </w:tcPr>
          <w:p w14:paraId="009FEA58" w14:textId="77777777" w:rsidR="00200EBA" w:rsidRPr="000B6AAC" w:rsidRDefault="00200EBA" w:rsidP="000B6AAC">
            <w:pPr>
              <w:jc w:val="center"/>
              <w:rPr>
                <w:lang w:val="ru-RU"/>
              </w:rPr>
            </w:pPr>
            <w:r w:rsidRPr="000B6AAC">
              <w:rPr>
                <w:lang w:val="ru-RU"/>
              </w:rPr>
              <w:t>При улучшении до менее 480 мс или первоначального</w:t>
            </w:r>
          </w:p>
          <w:p w14:paraId="11EDD26A" w14:textId="217BE941" w:rsidR="00200EBA" w:rsidRPr="000B6AAC" w:rsidRDefault="00200EBA" w:rsidP="000B6AAC">
            <w:pPr>
              <w:jc w:val="center"/>
            </w:pPr>
            <w:r w:rsidRPr="000B6AAC">
              <w:t>уро</w:t>
            </w:r>
            <w:r w:rsidR="00191284" w:rsidRPr="000B6AAC">
              <w:rPr>
                <w:lang w:val="ru-RU"/>
              </w:rPr>
              <w:t>вн</w:t>
            </w:r>
            <w:r w:rsidRPr="000B6AAC">
              <w:t>я</w:t>
            </w:r>
          </w:p>
        </w:tc>
      </w:tr>
      <w:tr w:rsidR="00200EBA" w14:paraId="30F6FC7C" w14:textId="77777777" w:rsidTr="000B6AAC">
        <w:tblPrEx>
          <w:tblLook w:val="04A0" w:firstRow="1" w:lastRow="0" w:firstColumn="1" w:lastColumn="0" w:noHBand="0" w:noVBand="1"/>
        </w:tblPrEx>
        <w:trPr>
          <w:trHeight w:val="767"/>
        </w:trPr>
        <w:tc>
          <w:tcPr>
            <w:tcW w:w="2807" w:type="dxa"/>
            <w:vMerge w:val="restart"/>
            <w:vAlign w:val="center"/>
          </w:tcPr>
          <w:p w14:paraId="0C33D8A8" w14:textId="77777777" w:rsidR="00200EBA" w:rsidRPr="000B6AAC" w:rsidRDefault="00200EBA" w:rsidP="000B6AAC">
            <w:pPr>
              <w:jc w:val="center"/>
            </w:pPr>
            <w:r w:rsidRPr="000B6AAC">
              <w:rPr>
                <w:spacing w:val="-2"/>
              </w:rPr>
              <w:t>Диарея</w:t>
            </w:r>
          </w:p>
        </w:tc>
        <w:tc>
          <w:tcPr>
            <w:tcW w:w="2250" w:type="dxa"/>
            <w:vAlign w:val="center"/>
          </w:tcPr>
          <w:p w14:paraId="3C0B6F96" w14:textId="77777777" w:rsidR="00200EBA" w:rsidRPr="000B6AAC" w:rsidRDefault="00200EBA" w:rsidP="000B6AAC">
            <w:pPr>
              <w:jc w:val="center"/>
            </w:pPr>
            <w:r w:rsidRPr="000B6AAC">
              <w:t>Степень 3</w:t>
            </w:r>
          </w:p>
        </w:tc>
        <w:tc>
          <w:tcPr>
            <w:tcW w:w="1420" w:type="dxa"/>
            <w:vAlign w:val="center"/>
          </w:tcPr>
          <w:p w14:paraId="1DC49D12" w14:textId="77777777" w:rsidR="00200EBA" w:rsidRPr="000B6AAC" w:rsidRDefault="00200EBA" w:rsidP="000B6AAC">
            <w:pPr>
              <w:jc w:val="center"/>
            </w:pPr>
            <w:r w:rsidRPr="000B6AAC">
              <w:rPr>
                <w:spacing w:val="-2"/>
                <w:w w:val="95"/>
              </w:rPr>
              <w:t>Прервать</w:t>
            </w:r>
          </w:p>
        </w:tc>
        <w:tc>
          <w:tcPr>
            <w:tcW w:w="3085" w:type="dxa"/>
            <w:vAlign w:val="center"/>
          </w:tcPr>
          <w:p w14:paraId="1ACA6B45" w14:textId="29B01F9B" w:rsidR="00200EBA" w:rsidRPr="000B6AAC" w:rsidRDefault="00200EBA" w:rsidP="000B6AAC">
            <w:pPr>
              <w:jc w:val="center"/>
              <w:rPr>
                <w:lang w:val="ru-RU"/>
              </w:rPr>
            </w:pPr>
            <w:r w:rsidRPr="000B6AAC">
              <w:rPr>
                <w:lang w:val="ru-RU"/>
              </w:rPr>
              <w:t>При улучшении до Степени 0-1 или первоначального</w:t>
            </w:r>
          </w:p>
          <w:p w14:paraId="62820497" w14:textId="77777777" w:rsidR="00200EBA" w:rsidRPr="000B6AAC" w:rsidRDefault="00200EBA" w:rsidP="000B6AAC">
            <w:pPr>
              <w:jc w:val="center"/>
            </w:pPr>
            <w:r w:rsidRPr="000B6AAC">
              <w:t>уровня</w:t>
            </w:r>
          </w:p>
        </w:tc>
      </w:tr>
      <w:tr w:rsidR="00200EBA" w14:paraId="601EF9DC" w14:textId="77777777" w:rsidTr="000B6AAC">
        <w:tblPrEx>
          <w:tblLook w:val="04A0" w:firstRow="1" w:lastRow="0" w:firstColumn="1" w:lastColumn="0" w:noHBand="0" w:noVBand="1"/>
        </w:tblPrEx>
        <w:trPr>
          <w:trHeight w:val="1021"/>
        </w:trPr>
        <w:tc>
          <w:tcPr>
            <w:tcW w:w="2807" w:type="dxa"/>
            <w:vMerge/>
            <w:vAlign w:val="center"/>
          </w:tcPr>
          <w:p w14:paraId="0E40DC8B" w14:textId="77777777" w:rsidR="00200EBA" w:rsidRPr="000B6AAC" w:rsidRDefault="00200EBA" w:rsidP="000B6AAC">
            <w:pPr>
              <w:jc w:val="center"/>
            </w:pPr>
          </w:p>
        </w:tc>
        <w:tc>
          <w:tcPr>
            <w:tcW w:w="2250" w:type="dxa"/>
            <w:vAlign w:val="center"/>
          </w:tcPr>
          <w:p w14:paraId="69597C83" w14:textId="77777777" w:rsidR="00200EBA" w:rsidRPr="000B6AAC" w:rsidRDefault="00200EBA" w:rsidP="000B6AAC">
            <w:pPr>
              <w:jc w:val="center"/>
              <w:rPr>
                <w:lang w:val="ru-RU"/>
              </w:rPr>
            </w:pPr>
            <w:r w:rsidRPr="000B6AAC">
              <w:rPr>
                <w:lang w:val="ru-RU"/>
              </w:rPr>
              <w:t>Степень 4 (несмотря</w:t>
            </w:r>
          </w:p>
          <w:p w14:paraId="290A9A63" w14:textId="77777777" w:rsidR="00200EBA" w:rsidRPr="000B6AAC" w:rsidRDefault="00200EBA" w:rsidP="000B6AAC">
            <w:pPr>
              <w:jc w:val="center"/>
              <w:rPr>
                <w:lang w:val="ru-RU"/>
              </w:rPr>
            </w:pPr>
            <w:r w:rsidRPr="000B6AAC">
              <w:rPr>
                <w:lang w:val="ru-RU"/>
              </w:rPr>
              <w:t>на проведение</w:t>
            </w:r>
          </w:p>
          <w:p w14:paraId="16D197EB" w14:textId="77777777" w:rsidR="00200EBA" w:rsidRPr="000B6AAC" w:rsidRDefault="00200EBA" w:rsidP="000B6AAC">
            <w:pPr>
              <w:jc w:val="center"/>
              <w:rPr>
                <w:lang w:val="ru-RU"/>
              </w:rPr>
            </w:pPr>
            <w:r w:rsidRPr="000B6AAC">
              <w:rPr>
                <w:lang w:val="ru-RU"/>
              </w:rPr>
              <w:t>лекарственной терапии)</w:t>
            </w:r>
          </w:p>
        </w:tc>
        <w:tc>
          <w:tcPr>
            <w:tcW w:w="1420" w:type="dxa"/>
            <w:vAlign w:val="center"/>
          </w:tcPr>
          <w:p w14:paraId="01BDBE95" w14:textId="77777777" w:rsidR="00200EBA" w:rsidRPr="000B6AAC" w:rsidRDefault="00200EBA" w:rsidP="000B6AAC">
            <w:pPr>
              <w:jc w:val="center"/>
            </w:pPr>
            <w:r w:rsidRPr="000B6AAC">
              <w:rPr>
                <w:spacing w:val="-2"/>
              </w:rPr>
              <w:t>Отменить</w:t>
            </w:r>
          </w:p>
        </w:tc>
        <w:tc>
          <w:tcPr>
            <w:tcW w:w="3085" w:type="dxa"/>
            <w:vAlign w:val="center"/>
          </w:tcPr>
          <w:p w14:paraId="6745140C" w14:textId="77777777" w:rsidR="00200EBA" w:rsidRPr="000B6AAC" w:rsidRDefault="00200EBA" w:rsidP="000B6AAC">
            <w:pPr>
              <w:jc w:val="center"/>
            </w:pPr>
            <w:r w:rsidRPr="000B6AAC">
              <w:rPr>
                <w:w w:val="95"/>
              </w:rPr>
              <w:t>Не</w:t>
            </w:r>
            <w:r w:rsidRPr="000B6AAC">
              <w:rPr>
                <w:spacing w:val="-1"/>
                <w:w w:val="95"/>
              </w:rPr>
              <w:t xml:space="preserve"> </w:t>
            </w:r>
            <w:r w:rsidRPr="000B6AAC">
              <w:rPr>
                <w:spacing w:val="-2"/>
              </w:rPr>
              <w:t>возобновлять</w:t>
            </w:r>
          </w:p>
        </w:tc>
      </w:tr>
    </w:tbl>
    <w:p w14:paraId="4C3373C9" w14:textId="77777777" w:rsidR="00200EBA" w:rsidRDefault="00200EBA" w:rsidP="00200EBA">
      <w:pPr>
        <w:pStyle w:val="OT"/>
        <w:spacing w:after="0"/>
        <w:rPr>
          <w:rFonts w:eastAsia="Courier New"/>
          <w:sz w:val="24"/>
          <w:szCs w:val="24"/>
          <w:lang w:bidi="ru-RU"/>
        </w:rPr>
      </w:pPr>
    </w:p>
    <w:p w14:paraId="6CEDBCEF" w14:textId="3BFC430A" w:rsidR="00200EBA" w:rsidRPr="00D050C7" w:rsidRDefault="00200EBA" w:rsidP="000B6AAC">
      <w:pPr>
        <w:rPr>
          <w:rFonts w:eastAsia="Courier New"/>
          <w:b/>
          <w:lang w:bidi="ru-RU"/>
        </w:rPr>
      </w:pPr>
      <w:r w:rsidRPr="00D050C7">
        <w:rPr>
          <w:rFonts w:eastAsia="Courier New"/>
          <w:b/>
          <w:lang w:bidi="ru-RU"/>
        </w:rPr>
        <w:t>Т</w:t>
      </w:r>
      <w:r w:rsidRPr="00145F33">
        <w:rPr>
          <w:rFonts w:eastAsia="Courier New"/>
          <w:b/>
          <w:bCs/>
          <w:lang w:bidi="ru-RU"/>
        </w:rPr>
        <w:t>аблица 5-</w:t>
      </w:r>
      <w:r w:rsidR="00150FD3">
        <w:rPr>
          <w:rFonts w:eastAsia="Courier New"/>
          <w:b/>
          <w:bCs/>
          <w:lang w:bidi="ru-RU"/>
        </w:rPr>
        <w:t>3</w:t>
      </w:r>
      <w:r w:rsidRPr="00145F33">
        <w:rPr>
          <w:rFonts w:eastAsia="Courier New"/>
          <w:b/>
          <w:bCs/>
          <w:lang w:bidi="ru-RU"/>
        </w:rPr>
        <w:t xml:space="preserve">. </w:t>
      </w:r>
      <w:r w:rsidRPr="00201AD2">
        <w:rPr>
          <w:rFonts w:eastAsia="Courier New"/>
          <w:bCs/>
          <w:snapToGrid w:val="0"/>
          <w:lang w:eastAsia="ru-RU" w:bidi="ru-RU"/>
        </w:rPr>
        <w:t>Рекомендации по коррекции дозы ленватиниба при возникновении нежелательных реакций</w:t>
      </w:r>
      <w:r w:rsidR="00201AD2">
        <w:rPr>
          <w:rFonts w:eastAsia="Courier New"/>
          <w:bCs/>
          <w:snapToGrid w:val="0"/>
          <w:lang w:eastAsia="ru-RU" w:bidi="ru-RU"/>
        </w:rPr>
        <w:t>.</w:t>
      </w:r>
    </w:p>
    <w:tbl>
      <w:tblPr>
        <w:tblStyle w:val="TableNormal1"/>
        <w:tblpPr w:leftFromText="180" w:rightFromText="180" w:vertAnchor="text" w:horzAnchor="margin" w:tblpY="119"/>
        <w:tblW w:w="9545" w:type="dxa"/>
        <w:tblBorders>
          <w:top w:val="single" w:sz="6" w:space="0" w:color="4B4848"/>
          <w:left w:val="single" w:sz="6" w:space="0" w:color="4B4848"/>
          <w:bottom w:val="single" w:sz="6" w:space="0" w:color="4B4848"/>
          <w:right w:val="single" w:sz="6" w:space="0" w:color="4B4848"/>
          <w:insideH w:val="single" w:sz="6" w:space="0" w:color="4B4848"/>
          <w:insideV w:val="single" w:sz="6" w:space="0" w:color="4B4848"/>
        </w:tblBorders>
        <w:tblLayout w:type="fixed"/>
        <w:tblLook w:val="01E0" w:firstRow="1" w:lastRow="1" w:firstColumn="1" w:lastColumn="1" w:noHBand="0" w:noVBand="0"/>
      </w:tblPr>
      <w:tblGrid>
        <w:gridCol w:w="2512"/>
        <w:gridCol w:w="2337"/>
        <w:gridCol w:w="2342"/>
        <w:gridCol w:w="2354"/>
      </w:tblGrid>
      <w:tr w:rsidR="00200EBA" w:rsidRPr="0092383C" w14:paraId="7BE2AC6A" w14:textId="77777777" w:rsidTr="00201AD2">
        <w:trPr>
          <w:trHeight w:val="522"/>
        </w:trPr>
        <w:tc>
          <w:tcPr>
            <w:tcW w:w="2512" w:type="dxa"/>
            <w:shd w:val="clear" w:color="auto" w:fill="D9D9D9" w:themeFill="background1" w:themeFillShade="D9"/>
            <w:vAlign w:val="center"/>
          </w:tcPr>
          <w:p w14:paraId="777611A2" w14:textId="77777777" w:rsidR="00200EBA" w:rsidRPr="0092383C" w:rsidRDefault="00200EBA" w:rsidP="000B6AAC">
            <w:pPr>
              <w:pStyle w:val="TableParagraph"/>
              <w:ind w:left="131"/>
              <w:jc w:val="center"/>
              <w:rPr>
                <w:rFonts w:ascii="Times New Roman" w:hAnsi="Times New Roman" w:cs="Times New Roman"/>
                <w:b/>
                <w:sz w:val="24"/>
                <w:szCs w:val="24"/>
              </w:rPr>
            </w:pPr>
            <w:r w:rsidRPr="0092383C">
              <w:rPr>
                <w:rFonts w:ascii="Times New Roman" w:hAnsi="Times New Roman" w:cs="Times New Roman"/>
                <w:b/>
                <w:spacing w:val="-2"/>
                <w:sz w:val="24"/>
                <w:szCs w:val="24"/>
              </w:rPr>
              <w:lastRenderedPageBreak/>
              <w:t>Показание</w:t>
            </w:r>
          </w:p>
        </w:tc>
        <w:tc>
          <w:tcPr>
            <w:tcW w:w="2337" w:type="dxa"/>
            <w:shd w:val="clear" w:color="auto" w:fill="D9D9D9" w:themeFill="background1" w:themeFillShade="D9"/>
            <w:vAlign w:val="center"/>
          </w:tcPr>
          <w:p w14:paraId="078F7AF3" w14:textId="77777777" w:rsidR="00200EBA" w:rsidRPr="00D050C7" w:rsidRDefault="00200EBA" w:rsidP="000B6AAC">
            <w:pPr>
              <w:pStyle w:val="TableParagraph"/>
              <w:ind w:left="118"/>
              <w:jc w:val="center"/>
              <w:rPr>
                <w:rFonts w:ascii="Times New Roman" w:hAnsi="Times New Roman" w:cs="Times New Roman"/>
                <w:b/>
                <w:sz w:val="24"/>
                <w:szCs w:val="24"/>
              </w:rPr>
            </w:pPr>
            <w:r w:rsidRPr="0092383C">
              <w:rPr>
                <w:rFonts w:ascii="Times New Roman" w:hAnsi="Times New Roman" w:cs="Times New Roman"/>
                <w:b/>
                <w:color w:val="0F0F0F"/>
                <w:w w:val="95"/>
                <w:sz w:val="24"/>
                <w:szCs w:val="24"/>
              </w:rPr>
              <w:t>1-е</w:t>
            </w:r>
            <w:r w:rsidRPr="0092383C">
              <w:rPr>
                <w:rFonts w:ascii="Times New Roman" w:hAnsi="Times New Roman" w:cs="Times New Roman"/>
                <w:b/>
                <w:color w:val="0F0F0F"/>
                <w:spacing w:val="-8"/>
                <w:w w:val="95"/>
                <w:sz w:val="24"/>
                <w:szCs w:val="24"/>
              </w:rPr>
              <w:t xml:space="preserve"> </w:t>
            </w:r>
            <w:r w:rsidRPr="00566BFF">
              <w:rPr>
                <w:rFonts w:ascii="Times New Roman" w:hAnsi="Times New Roman" w:cs="Times New Roman"/>
                <w:b/>
                <w:w w:val="95"/>
                <w:sz w:val="24"/>
                <w:szCs w:val="24"/>
              </w:rPr>
              <w:t>снижение</w:t>
            </w:r>
            <w:r w:rsidRPr="00566BFF">
              <w:rPr>
                <w:rFonts w:ascii="Times New Roman" w:hAnsi="Times New Roman" w:cs="Times New Roman"/>
                <w:b/>
                <w:spacing w:val="-1"/>
                <w:sz w:val="24"/>
                <w:szCs w:val="24"/>
              </w:rPr>
              <w:t xml:space="preserve"> </w:t>
            </w:r>
            <w:r w:rsidRPr="00D050C7">
              <w:rPr>
                <w:rFonts w:ascii="Times New Roman" w:hAnsi="Times New Roman" w:cs="Times New Roman"/>
                <w:b/>
                <w:spacing w:val="-4"/>
                <w:w w:val="95"/>
                <w:sz w:val="24"/>
                <w:szCs w:val="24"/>
              </w:rPr>
              <w:t>дозы</w:t>
            </w:r>
          </w:p>
        </w:tc>
        <w:tc>
          <w:tcPr>
            <w:tcW w:w="2342" w:type="dxa"/>
            <w:shd w:val="clear" w:color="auto" w:fill="D9D9D9" w:themeFill="background1" w:themeFillShade="D9"/>
            <w:vAlign w:val="center"/>
          </w:tcPr>
          <w:p w14:paraId="266C82F0" w14:textId="77777777" w:rsidR="00200EBA" w:rsidRPr="00D050C7" w:rsidRDefault="00200EBA" w:rsidP="000B6AAC">
            <w:pPr>
              <w:pStyle w:val="TableParagraph"/>
              <w:ind w:left="123"/>
              <w:jc w:val="center"/>
              <w:rPr>
                <w:rFonts w:ascii="Times New Roman" w:hAnsi="Times New Roman" w:cs="Times New Roman"/>
                <w:b/>
                <w:sz w:val="24"/>
                <w:szCs w:val="24"/>
              </w:rPr>
            </w:pPr>
            <w:r w:rsidRPr="0092383C">
              <w:rPr>
                <w:rFonts w:ascii="Times New Roman" w:hAnsi="Times New Roman" w:cs="Times New Roman"/>
                <w:b/>
                <w:w w:val="95"/>
                <w:sz w:val="24"/>
                <w:szCs w:val="24"/>
              </w:rPr>
              <w:t>2-е</w:t>
            </w:r>
            <w:r w:rsidRPr="0092383C">
              <w:rPr>
                <w:rFonts w:ascii="Times New Roman" w:hAnsi="Times New Roman" w:cs="Times New Roman"/>
                <w:b/>
                <w:spacing w:val="-6"/>
                <w:w w:val="95"/>
                <w:sz w:val="24"/>
                <w:szCs w:val="24"/>
              </w:rPr>
              <w:t xml:space="preserve"> </w:t>
            </w:r>
            <w:r w:rsidRPr="0092383C">
              <w:rPr>
                <w:rFonts w:ascii="Times New Roman" w:hAnsi="Times New Roman" w:cs="Times New Roman"/>
                <w:b/>
                <w:w w:val="95"/>
                <w:sz w:val="24"/>
                <w:szCs w:val="24"/>
              </w:rPr>
              <w:t>сннженне</w:t>
            </w:r>
            <w:r w:rsidRPr="0092383C">
              <w:rPr>
                <w:rFonts w:ascii="Times New Roman" w:hAnsi="Times New Roman" w:cs="Times New Roman"/>
                <w:b/>
                <w:spacing w:val="1"/>
                <w:sz w:val="24"/>
                <w:szCs w:val="24"/>
              </w:rPr>
              <w:t xml:space="preserve"> </w:t>
            </w:r>
            <w:r w:rsidRPr="00D050C7">
              <w:rPr>
                <w:rFonts w:ascii="Times New Roman" w:hAnsi="Times New Roman" w:cs="Times New Roman"/>
                <w:b/>
                <w:spacing w:val="-4"/>
                <w:w w:val="95"/>
                <w:sz w:val="24"/>
                <w:szCs w:val="24"/>
              </w:rPr>
              <w:t>дозы</w:t>
            </w:r>
          </w:p>
        </w:tc>
        <w:tc>
          <w:tcPr>
            <w:tcW w:w="2354" w:type="dxa"/>
            <w:shd w:val="clear" w:color="auto" w:fill="D9D9D9" w:themeFill="background1" w:themeFillShade="D9"/>
            <w:vAlign w:val="center"/>
          </w:tcPr>
          <w:p w14:paraId="2BE7EFAE" w14:textId="77777777" w:rsidR="00200EBA" w:rsidRPr="00D050C7" w:rsidRDefault="00200EBA" w:rsidP="000B6AAC">
            <w:pPr>
              <w:pStyle w:val="TableParagraph"/>
              <w:ind w:left="115"/>
              <w:jc w:val="center"/>
              <w:rPr>
                <w:rFonts w:ascii="Times New Roman" w:hAnsi="Times New Roman" w:cs="Times New Roman"/>
                <w:b/>
                <w:sz w:val="24"/>
                <w:szCs w:val="24"/>
              </w:rPr>
            </w:pPr>
            <w:r w:rsidRPr="0092383C">
              <w:rPr>
                <w:rFonts w:ascii="Times New Roman" w:hAnsi="Times New Roman" w:cs="Times New Roman"/>
                <w:b/>
                <w:w w:val="95"/>
                <w:sz w:val="24"/>
                <w:szCs w:val="24"/>
              </w:rPr>
              <w:t>3-e</w:t>
            </w:r>
            <w:r w:rsidRPr="0092383C">
              <w:rPr>
                <w:rFonts w:ascii="Times New Roman" w:hAnsi="Times New Roman" w:cs="Times New Roman"/>
                <w:b/>
                <w:spacing w:val="-6"/>
                <w:w w:val="95"/>
                <w:sz w:val="24"/>
                <w:szCs w:val="24"/>
              </w:rPr>
              <w:t xml:space="preserve"> </w:t>
            </w:r>
            <w:r w:rsidRPr="0092383C">
              <w:rPr>
                <w:rFonts w:ascii="Times New Roman" w:hAnsi="Times New Roman" w:cs="Times New Roman"/>
                <w:b/>
                <w:w w:val="95"/>
                <w:sz w:val="24"/>
                <w:szCs w:val="24"/>
              </w:rPr>
              <w:t>снижение</w:t>
            </w:r>
            <w:r w:rsidRPr="0092383C">
              <w:rPr>
                <w:rFonts w:ascii="Times New Roman" w:hAnsi="Times New Roman" w:cs="Times New Roman"/>
                <w:b/>
                <w:sz w:val="24"/>
                <w:szCs w:val="24"/>
              </w:rPr>
              <w:t xml:space="preserve"> </w:t>
            </w:r>
            <w:r w:rsidRPr="00D050C7">
              <w:rPr>
                <w:rFonts w:ascii="Times New Roman" w:hAnsi="Times New Roman" w:cs="Times New Roman"/>
                <w:b/>
                <w:spacing w:val="-4"/>
                <w:w w:val="95"/>
                <w:sz w:val="24"/>
                <w:szCs w:val="24"/>
              </w:rPr>
              <w:t>дозы</w:t>
            </w:r>
          </w:p>
        </w:tc>
      </w:tr>
      <w:tr w:rsidR="00200EBA" w:rsidRPr="00BE040F" w14:paraId="507ED3A0" w14:textId="77777777" w:rsidTr="000B6AAC">
        <w:trPr>
          <w:trHeight w:val="258"/>
        </w:trPr>
        <w:tc>
          <w:tcPr>
            <w:tcW w:w="2512" w:type="dxa"/>
            <w:vAlign w:val="center"/>
          </w:tcPr>
          <w:p w14:paraId="41FD6647" w14:textId="5B549B5A" w:rsidR="00200EBA" w:rsidRPr="00BE040F" w:rsidRDefault="00200EBA" w:rsidP="000B6AAC">
            <w:pPr>
              <w:pStyle w:val="TableParagraph"/>
              <w:ind w:left="133"/>
              <w:jc w:val="center"/>
              <w:rPr>
                <w:rFonts w:ascii="Times New Roman" w:hAnsi="Times New Roman" w:cs="Times New Roman"/>
                <w:sz w:val="24"/>
                <w:szCs w:val="24"/>
              </w:rPr>
            </w:pPr>
            <w:r w:rsidRPr="00BE040F">
              <w:rPr>
                <w:rFonts w:ascii="Times New Roman" w:hAnsi="Times New Roman" w:cs="Times New Roman"/>
                <w:spacing w:val="-4"/>
                <w:sz w:val="24"/>
                <w:szCs w:val="24"/>
              </w:rPr>
              <w:t>Д</w:t>
            </w:r>
            <w:r w:rsidR="0092383C">
              <w:rPr>
                <w:rFonts w:ascii="Times New Roman" w:hAnsi="Times New Roman" w:cs="Times New Roman"/>
                <w:spacing w:val="-4"/>
                <w:sz w:val="24"/>
                <w:szCs w:val="24"/>
                <w:lang w:val="ru-RU"/>
              </w:rPr>
              <w:t>ифференцированный</w:t>
            </w:r>
            <w:r w:rsidRPr="00BE040F">
              <w:rPr>
                <w:rFonts w:ascii="Times New Roman" w:hAnsi="Times New Roman" w:cs="Times New Roman"/>
                <w:spacing w:val="-4"/>
                <w:sz w:val="24"/>
                <w:szCs w:val="24"/>
              </w:rPr>
              <w:t>РЩЖ</w:t>
            </w:r>
          </w:p>
        </w:tc>
        <w:tc>
          <w:tcPr>
            <w:tcW w:w="2337" w:type="dxa"/>
            <w:vAlign w:val="center"/>
          </w:tcPr>
          <w:p w14:paraId="314990BA" w14:textId="77777777" w:rsidR="00200EBA" w:rsidRPr="00BE040F" w:rsidRDefault="00200EBA" w:rsidP="000B6AAC">
            <w:pPr>
              <w:pStyle w:val="TableParagraph"/>
              <w:ind w:left="119"/>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20 мг один раз в сутки</w:t>
            </w:r>
          </w:p>
        </w:tc>
        <w:tc>
          <w:tcPr>
            <w:tcW w:w="2342" w:type="dxa"/>
            <w:vAlign w:val="center"/>
          </w:tcPr>
          <w:p w14:paraId="6E420EBA" w14:textId="77777777" w:rsidR="00200EBA" w:rsidRPr="00BE040F" w:rsidRDefault="00200EBA" w:rsidP="000B6AAC">
            <w:pPr>
              <w:pStyle w:val="TableParagraph"/>
              <w:ind w:left="121"/>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14 мг один раз в сутки</w:t>
            </w:r>
          </w:p>
        </w:tc>
        <w:tc>
          <w:tcPr>
            <w:tcW w:w="2354" w:type="dxa"/>
            <w:vAlign w:val="center"/>
          </w:tcPr>
          <w:p w14:paraId="773BE9A2" w14:textId="77777777" w:rsidR="00200EBA" w:rsidRPr="00BE040F" w:rsidRDefault="00200EBA" w:rsidP="000B6AAC">
            <w:pPr>
              <w:pStyle w:val="TableParagraph"/>
              <w:ind w:left="116"/>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10 мг один раз в сутки</w:t>
            </w:r>
          </w:p>
        </w:tc>
      </w:tr>
      <w:tr w:rsidR="00200EBA" w:rsidRPr="00BE040F" w14:paraId="6C2269D5" w14:textId="77777777" w:rsidTr="000B6AAC">
        <w:trPr>
          <w:trHeight w:val="248"/>
        </w:trPr>
        <w:tc>
          <w:tcPr>
            <w:tcW w:w="2512" w:type="dxa"/>
            <w:vAlign w:val="center"/>
          </w:tcPr>
          <w:p w14:paraId="2C8990FF" w14:textId="77777777" w:rsidR="00200EBA" w:rsidRPr="00BE040F" w:rsidRDefault="00200EBA" w:rsidP="000B6AAC">
            <w:pPr>
              <w:pStyle w:val="TableParagraph"/>
              <w:ind w:left="132"/>
              <w:jc w:val="center"/>
              <w:rPr>
                <w:rFonts w:ascii="Times New Roman" w:hAnsi="Times New Roman" w:cs="Times New Roman"/>
                <w:sz w:val="24"/>
                <w:szCs w:val="24"/>
              </w:rPr>
            </w:pPr>
            <w:r w:rsidRPr="00BE040F">
              <w:rPr>
                <w:rFonts w:ascii="Times New Roman" w:hAnsi="Times New Roman" w:cs="Times New Roman"/>
                <w:color w:val="111111"/>
                <w:spacing w:val="-5"/>
                <w:sz w:val="24"/>
                <w:szCs w:val="24"/>
              </w:rPr>
              <w:t>ПKP</w:t>
            </w:r>
          </w:p>
        </w:tc>
        <w:tc>
          <w:tcPr>
            <w:tcW w:w="2337" w:type="dxa"/>
            <w:vAlign w:val="center"/>
          </w:tcPr>
          <w:p w14:paraId="348C4162" w14:textId="77777777" w:rsidR="00200EBA" w:rsidRPr="00BE040F" w:rsidRDefault="00200EBA" w:rsidP="000B6AAC">
            <w:pPr>
              <w:pStyle w:val="TableParagraph"/>
              <w:ind w:left="116"/>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14 мг один раз в сутки</w:t>
            </w:r>
          </w:p>
        </w:tc>
        <w:tc>
          <w:tcPr>
            <w:tcW w:w="2342" w:type="dxa"/>
            <w:vAlign w:val="center"/>
          </w:tcPr>
          <w:p w14:paraId="03B50FAB" w14:textId="77777777" w:rsidR="00200EBA" w:rsidRPr="00BE040F" w:rsidRDefault="00200EBA" w:rsidP="000B6AAC">
            <w:pPr>
              <w:pStyle w:val="TableParagraph"/>
              <w:ind w:left="126"/>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10 мг один раз в сутки</w:t>
            </w:r>
          </w:p>
        </w:tc>
        <w:tc>
          <w:tcPr>
            <w:tcW w:w="2354" w:type="dxa"/>
            <w:vAlign w:val="center"/>
          </w:tcPr>
          <w:p w14:paraId="5426B609" w14:textId="77777777" w:rsidR="00200EBA" w:rsidRPr="00BE040F" w:rsidRDefault="00200EBA" w:rsidP="000B6AAC">
            <w:pPr>
              <w:pStyle w:val="TableParagraph"/>
              <w:ind w:left="119"/>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8 мг один раз в сутки</w:t>
            </w:r>
          </w:p>
        </w:tc>
      </w:tr>
      <w:tr w:rsidR="00200EBA" w:rsidRPr="00BE040F" w14:paraId="2BD244F2" w14:textId="77777777" w:rsidTr="000B6AAC">
        <w:trPr>
          <w:trHeight w:val="268"/>
        </w:trPr>
        <w:tc>
          <w:tcPr>
            <w:tcW w:w="2512" w:type="dxa"/>
            <w:vAlign w:val="center"/>
          </w:tcPr>
          <w:p w14:paraId="7F43062A" w14:textId="77777777" w:rsidR="00200EBA" w:rsidRPr="00BE040F" w:rsidRDefault="00200EBA" w:rsidP="000B6AAC">
            <w:pPr>
              <w:pStyle w:val="TableParagraph"/>
              <w:ind w:left="137"/>
              <w:jc w:val="center"/>
              <w:rPr>
                <w:rFonts w:ascii="Times New Roman" w:hAnsi="Times New Roman" w:cs="Times New Roman"/>
                <w:sz w:val="24"/>
                <w:szCs w:val="24"/>
              </w:rPr>
            </w:pPr>
            <w:r w:rsidRPr="00BE040F">
              <w:rPr>
                <w:rFonts w:ascii="Times New Roman" w:hAnsi="Times New Roman" w:cs="Times New Roman"/>
                <w:color w:val="1D1D1D"/>
                <w:spacing w:val="-5"/>
                <w:sz w:val="24"/>
                <w:szCs w:val="24"/>
              </w:rPr>
              <w:t>РЭ</w:t>
            </w:r>
          </w:p>
        </w:tc>
        <w:tc>
          <w:tcPr>
            <w:tcW w:w="2337" w:type="dxa"/>
            <w:vAlign w:val="center"/>
          </w:tcPr>
          <w:p w14:paraId="495067C7" w14:textId="77777777" w:rsidR="00200EBA" w:rsidRPr="00BE040F" w:rsidRDefault="00200EBA" w:rsidP="000B6AAC">
            <w:pPr>
              <w:pStyle w:val="TableParagraph"/>
              <w:ind w:left="116"/>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14 мг один раз в сутки</w:t>
            </w:r>
          </w:p>
        </w:tc>
        <w:tc>
          <w:tcPr>
            <w:tcW w:w="2342" w:type="dxa"/>
            <w:vAlign w:val="center"/>
          </w:tcPr>
          <w:p w14:paraId="2CAA1423" w14:textId="77777777" w:rsidR="00200EBA" w:rsidRPr="00BE040F" w:rsidRDefault="00200EBA" w:rsidP="000B6AAC">
            <w:pPr>
              <w:pStyle w:val="TableParagraph"/>
              <w:ind w:left="126"/>
              <w:jc w:val="center"/>
              <w:rPr>
                <w:rFonts w:ascii="Times New Roman" w:hAnsi="Times New Roman" w:cs="Times New Roman"/>
                <w:sz w:val="24"/>
                <w:szCs w:val="24"/>
                <w:lang w:val="ru-RU"/>
              </w:rPr>
            </w:pPr>
            <w:r w:rsidRPr="00BE040F">
              <w:rPr>
                <w:rFonts w:ascii="Times New Roman" w:hAnsi="Times New Roman" w:cs="Times New Roman"/>
                <w:sz w:val="24"/>
                <w:szCs w:val="24"/>
                <w:lang w:val="ru-RU"/>
              </w:rPr>
              <w:t>10 мг один раз в сутки</w:t>
            </w:r>
          </w:p>
        </w:tc>
        <w:tc>
          <w:tcPr>
            <w:tcW w:w="2354" w:type="dxa"/>
            <w:vAlign w:val="center"/>
          </w:tcPr>
          <w:p w14:paraId="13D34A33" w14:textId="01664F6F" w:rsidR="00200EBA" w:rsidRPr="006D6682" w:rsidRDefault="00200EBA" w:rsidP="000B6AAC">
            <w:pPr>
              <w:pStyle w:val="TableParagraph"/>
              <w:tabs>
                <w:tab w:val="left" w:pos="2327"/>
              </w:tabs>
              <w:ind w:left="119"/>
              <w:jc w:val="center"/>
              <w:rPr>
                <w:rFonts w:ascii="Times New Roman" w:hAnsi="Times New Roman" w:cs="Times New Roman"/>
                <w:sz w:val="24"/>
                <w:szCs w:val="24"/>
                <w:lang w:val="ru-RU"/>
              </w:rPr>
            </w:pPr>
            <w:r w:rsidRPr="006D6682">
              <w:rPr>
                <w:rFonts w:ascii="Times New Roman" w:hAnsi="Times New Roman" w:cs="Times New Roman"/>
                <w:sz w:val="24"/>
                <w:szCs w:val="24"/>
                <w:lang w:val="ru-RU"/>
              </w:rPr>
              <w:t>8 мг один раз в сутки</w:t>
            </w:r>
          </w:p>
        </w:tc>
      </w:tr>
      <w:tr w:rsidR="00200EBA" w:rsidRPr="00BE040F" w14:paraId="115ADC94" w14:textId="77777777" w:rsidTr="000B6AAC">
        <w:trPr>
          <w:trHeight w:val="541"/>
        </w:trPr>
        <w:tc>
          <w:tcPr>
            <w:tcW w:w="2512" w:type="dxa"/>
            <w:vAlign w:val="center"/>
          </w:tcPr>
          <w:p w14:paraId="49948C45" w14:textId="77777777" w:rsidR="00200EBA" w:rsidRPr="00604262" w:rsidRDefault="00200EBA" w:rsidP="000B6AAC">
            <w:pPr>
              <w:pStyle w:val="TableParagraph"/>
              <w:ind w:left="270" w:right="386"/>
              <w:jc w:val="center"/>
              <w:rPr>
                <w:rFonts w:ascii="Times New Roman" w:hAnsi="Times New Roman" w:cs="Times New Roman"/>
                <w:sz w:val="24"/>
                <w:szCs w:val="24"/>
                <w:lang w:val="ru-RU"/>
              </w:rPr>
            </w:pPr>
            <w:r>
              <w:rPr>
                <w:rFonts w:ascii="Times New Roman" w:hAnsi="Times New Roman" w:cs="Times New Roman"/>
                <w:sz w:val="24"/>
                <w:szCs w:val="24"/>
                <w:lang w:val="ru-RU"/>
              </w:rPr>
              <w:t>Масса тела 60 кг и более</w:t>
            </w:r>
          </w:p>
        </w:tc>
        <w:tc>
          <w:tcPr>
            <w:tcW w:w="2337" w:type="dxa"/>
            <w:vAlign w:val="center"/>
          </w:tcPr>
          <w:p w14:paraId="62D618E4" w14:textId="77777777" w:rsidR="00200EBA" w:rsidRPr="00BE040F" w:rsidRDefault="00200EBA" w:rsidP="000B6AAC">
            <w:pPr>
              <w:pStyle w:val="TableParagraph"/>
              <w:ind w:left="121"/>
              <w:jc w:val="center"/>
              <w:rPr>
                <w:rFonts w:ascii="Times New Roman" w:hAnsi="Times New Roman" w:cs="Times New Roman"/>
                <w:sz w:val="24"/>
                <w:szCs w:val="24"/>
                <w:lang w:val="ru-RU"/>
              </w:rPr>
            </w:pPr>
            <w:r w:rsidRPr="00604262">
              <w:rPr>
                <w:rFonts w:ascii="Times New Roman" w:hAnsi="Times New Roman" w:cs="Times New Roman"/>
                <w:sz w:val="24"/>
                <w:szCs w:val="24"/>
                <w:lang w:val="ru-RU"/>
              </w:rPr>
              <w:t>8 мг один раз в сутки</w:t>
            </w:r>
          </w:p>
        </w:tc>
        <w:tc>
          <w:tcPr>
            <w:tcW w:w="2342" w:type="dxa"/>
            <w:vAlign w:val="center"/>
          </w:tcPr>
          <w:p w14:paraId="4A85DD43" w14:textId="77777777" w:rsidR="00200EBA" w:rsidRPr="00BE040F" w:rsidRDefault="00200EBA" w:rsidP="000B6AAC">
            <w:pPr>
              <w:pStyle w:val="TableParagraph"/>
              <w:ind w:left="130"/>
              <w:jc w:val="center"/>
              <w:rPr>
                <w:rFonts w:ascii="Times New Roman" w:hAnsi="Times New Roman" w:cs="Times New Roman"/>
                <w:sz w:val="24"/>
                <w:szCs w:val="24"/>
                <w:lang w:val="ru-RU"/>
              </w:rPr>
            </w:pPr>
            <w:r w:rsidRPr="00BE040F">
              <w:rPr>
                <w:rFonts w:ascii="Times New Roman" w:hAnsi="Times New Roman" w:cs="Times New Roman"/>
                <w:color w:val="161616"/>
                <w:sz w:val="24"/>
                <w:szCs w:val="24"/>
                <w:lang w:val="ru-RU"/>
              </w:rPr>
              <w:t>4</w:t>
            </w:r>
            <w:r w:rsidRPr="00BE040F">
              <w:rPr>
                <w:rFonts w:ascii="Times New Roman" w:hAnsi="Times New Roman" w:cs="Times New Roman"/>
                <w:color w:val="161616"/>
                <w:spacing w:val="10"/>
                <w:sz w:val="24"/>
                <w:szCs w:val="24"/>
                <w:lang w:val="ru-RU"/>
              </w:rPr>
              <w:t xml:space="preserve"> </w:t>
            </w:r>
            <w:r w:rsidRPr="00BE040F">
              <w:rPr>
                <w:rFonts w:ascii="Times New Roman" w:hAnsi="Times New Roman" w:cs="Times New Roman"/>
                <w:color w:val="161616"/>
                <w:sz w:val="24"/>
                <w:szCs w:val="24"/>
                <w:lang w:val="ru-RU"/>
              </w:rPr>
              <w:t>мг</w:t>
            </w:r>
            <w:r w:rsidRPr="00BE040F">
              <w:rPr>
                <w:rFonts w:ascii="Times New Roman" w:hAnsi="Times New Roman" w:cs="Times New Roman"/>
                <w:color w:val="161616"/>
                <w:spacing w:val="2"/>
                <w:sz w:val="24"/>
                <w:szCs w:val="24"/>
                <w:lang w:val="ru-RU"/>
              </w:rPr>
              <w:t xml:space="preserve"> </w:t>
            </w:r>
            <w:r w:rsidRPr="00BE040F">
              <w:rPr>
                <w:rFonts w:ascii="Times New Roman" w:hAnsi="Times New Roman" w:cs="Times New Roman"/>
                <w:sz w:val="24"/>
                <w:szCs w:val="24"/>
                <w:lang w:val="ru-RU"/>
              </w:rPr>
              <w:t>один</w:t>
            </w:r>
            <w:r w:rsidRPr="00BE040F">
              <w:rPr>
                <w:rFonts w:ascii="Times New Roman" w:hAnsi="Times New Roman" w:cs="Times New Roman"/>
                <w:spacing w:val="28"/>
                <w:sz w:val="24"/>
                <w:szCs w:val="24"/>
                <w:lang w:val="ru-RU"/>
              </w:rPr>
              <w:t xml:space="preserve"> </w:t>
            </w:r>
            <w:r w:rsidRPr="00BE040F">
              <w:rPr>
                <w:rFonts w:ascii="Times New Roman" w:hAnsi="Times New Roman" w:cs="Times New Roman"/>
                <w:sz w:val="24"/>
                <w:szCs w:val="24"/>
                <w:lang w:val="ru-RU"/>
              </w:rPr>
              <w:t>раз</w:t>
            </w:r>
            <w:r w:rsidRPr="00BE040F">
              <w:rPr>
                <w:rFonts w:ascii="Times New Roman" w:hAnsi="Times New Roman" w:cs="Times New Roman"/>
                <w:spacing w:val="13"/>
                <w:sz w:val="24"/>
                <w:szCs w:val="24"/>
                <w:lang w:val="ru-RU"/>
              </w:rPr>
              <w:t xml:space="preserve"> </w:t>
            </w:r>
            <w:r w:rsidRPr="00BE040F">
              <w:rPr>
                <w:rFonts w:ascii="Times New Roman" w:hAnsi="Times New Roman" w:cs="Times New Roman"/>
                <w:color w:val="0E0E0E"/>
                <w:sz w:val="24"/>
                <w:szCs w:val="24"/>
                <w:lang w:val="ru-RU"/>
              </w:rPr>
              <w:t>в</w:t>
            </w:r>
            <w:r w:rsidRPr="00BE040F">
              <w:rPr>
                <w:rFonts w:ascii="Times New Roman" w:hAnsi="Times New Roman" w:cs="Times New Roman"/>
                <w:color w:val="0E0E0E"/>
                <w:spacing w:val="5"/>
                <w:sz w:val="24"/>
                <w:szCs w:val="24"/>
                <w:lang w:val="ru-RU"/>
              </w:rPr>
              <w:t xml:space="preserve"> </w:t>
            </w:r>
            <w:r w:rsidRPr="00BE040F">
              <w:rPr>
                <w:rFonts w:ascii="Times New Roman" w:hAnsi="Times New Roman" w:cs="Times New Roman"/>
                <w:spacing w:val="-2"/>
                <w:sz w:val="24"/>
                <w:szCs w:val="24"/>
                <w:lang w:val="ru-RU"/>
              </w:rPr>
              <w:t>сутки</w:t>
            </w:r>
          </w:p>
        </w:tc>
        <w:tc>
          <w:tcPr>
            <w:tcW w:w="2354" w:type="dxa"/>
            <w:vAlign w:val="center"/>
          </w:tcPr>
          <w:p w14:paraId="0C86258A" w14:textId="77777777" w:rsidR="00200EBA" w:rsidRPr="00BE040F" w:rsidRDefault="00200EBA" w:rsidP="000B6AAC">
            <w:pPr>
              <w:pStyle w:val="TableParagraph"/>
              <w:ind w:left="125"/>
              <w:jc w:val="center"/>
              <w:rPr>
                <w:rFonts w:ascii="Times New Roman" w:hAnsi="Times New Roman" w:cs="Times New Roman"/>
                <w:sz w:val="24"/>
                <w:szCs w:val="24"/>
              </w:rPr>
            </w:pPr>
            <w:r w:rsidRPr="00BE040F">
              <w:rPr>
                <w:rFonts w:ascii="Times New Roman" w:hAnsi="Times New Roman" w:cs="Times New Roman"/>
                <w:sz w:val="24"/>
                <w:szCs w:val="24"/>
              </w:rPr>
              <w:t>4</w:t>
            </w:r>
            <w:r w:rsidRPr="00BE040F">
              <w:rPr>
                <w:rFonts w:ascii="Times New Roman" w:hAnsi="Times New Roman" w:cs="Times New Roman"/>
                <w:spacing w:val="10"/>
                <w:sz w:val="24"/>
                <w:szCs w:val="24"/>
              </w:rPr>
              <w:t xml:space="preserve"> </w:t>
            </w:r>
            <w:r w:rsidRPr="00BE040F">
              <w:rPr>
                <w:rFonts w:ascii="Times New Roman" w:hAnsi="Times New Roman" w:cs="Times New Roman"/>
                <w:sz w:val="24"/>
                <w:szCs w:val="24"/>
              </w:rPr>
              <w:t>мг</w:t>
            </w:r>
            <w:r w:rsidRPr="00BE040F">
              <w:rPr>
                <w:rFonts w:ascii="Times New Roman" w:hAnsi="Times New Roman" w:cs="Times New Roman"/>
                <w:spacing w:val="15"/>
                <w:sz w:val="24"/>
                <w:szCs w:val="24"/>
              </w:rPr>
              <w:t xml:space="preserve"> </w:t>
            </w:r>
            <w:r w:rsidRPr="00BE040F">
              <w:rPr>
                <w:rFonts w:ascii="Times New Roman" w:hAnsi="Times New Roman" w:cs="Times New Roman"/>
                <w:sz w:val="24"/>
                <w:szCs w:val="24"/>
              </w:rPr>
              <w:t>через</w:t>
            </w:r>
            <w:r w:rsidRPr="00BE040F">
              <w:rPr>
                <w:rFonts w:ascii="Times New Roman" w:hAnsi="Times New Roman" w:cs="Times New Roman"/>
                <w:spacing w:val="7"/>
                <w:sz w:val="24"/>
                <w:szCs w:val="24"/>
              </w:rPr>
              <w:t xml:space="preserve"> </w:t>
            </w:r>
            <w:r w:rsidRPr="00BE040F">
              <w:rPr>
                <w:rFonts w:ascii="Times New Roman" w:hAnsi="Times New Roman" w:cs="Times New Roman"/>
                <w:spacing w:val="-4"/>
                <w:sz w:val="24"/>
                <w:szCs w:val="24"/>
              </w:rPr>
              <w:t>день</w:t>
            </w:r>
          </w:p>
        </w:tc>
      </w:tr>
      <w:tr w:rsidR="00200EBA" w:rsidRPr="00BE040F" w14:paraId="004721DC" w14:textId="77777777" w:rsidTr="000B6AAC">
        <w:trPr>
          <w:trHeight w:val="522"/>
        </w:trPr>
        <w:tc>
          <w:tcPr>
            <w:tcW w:w="2512" w:type="dxa"/>
            <w:vAlign w:val="center"/>
          </w:tcPr>
          <w:p w14:paraId="65CCCB24" w14:textId="77777777" w:rsidR="00200EBA" w:rsidRPr="00680509" w:rsidRDefault="00200EBA" w:rsidP="000B6AAC">
            <w:pPr>
              <w:pStyle w:val="TableParagraph"/>
              <w:ind w:right="571"/>
              <w:jc w:val="center"/>
              <w:rPr>
                <w:rFonts w:ascii="Times New Roman" w:hAnsi="Times New Roman" w:cs="Times New Roman"/>
                <w:sz w:val="24"/>
                <w:szCs w:val="24"/>
                <w:lang w:val="ru-RU"/>
              </w:rPr>
            </w:pPr>
            <w:r>
              <w:rPr>
                <w:rFonts w:ascii="Times New Roman" w:hAnsi="Times New Roman" w:cs="Times New Roman"/>
                <w:sz w:val="24"/>
                <w:szCs w:val="24"/>
                <w:lang w:val="ru-RU"/>
              </w:rPr>
              <w:t>Масса тела менне 60 кг и более</w:t>
            </w:r>
          </w:p>
        </w:tc>
        <w:tc>
          <w:tcPr>
            <w:tcW w:w="2337" w:type="dxa"/>
            <w:vAlign w:val="center"/>
          </w:tcPr>
          <w:p w14:paraId="7C9A18D0" w14:textId="77777777" w:rsidR="00200EBA" w:rsidRPr="00BE040F" w:rsidRDefault="00200EBA" w:rsidP="000B6AAC">
            <w:pPr>
              <w:pStyle w:val="TableParagraph"/>
              <w:ind w:left="125"/>
              <w:jc w:val="center"/>
              <w:rPr>
                <w:rFonts w:ascii="Times New Roman" w:hAnsi="Times New Roman" w:cs="Times New Roman"/>
                <w:sz w:val="24"/>
                <w:szCs w:val="24"/>
                <w:lang w:val="ru-RU"/>
              </w:rPr>
            </w:pPr>
            <w:r w:rsidRPr="00604262">
              <w:rPr>
                <w:rFonts w:ascii="Times New Roman" w:hAnsi="Times New Roman" w:cs="Times New Roman"/>
                <w:sz w:val="24"/>
                <w:szCs w:val="24"/>
                <w:lang w:val="ru-RU"/>
              </w:rPr>
              <w:t>4 мг один раз в сутки</w:t>
            </w:r>
          </w:p>
        </w:tc>
        <w:tc>
          <w:tcPr>
            <w:tcW w:w="2342" w:type="dxa"/>
            <w:vAlign w:val="center"/>
          </w:tcPr>
          <w:p w14:paraId="3EB6E39E" w14:textId="77777777" w:rsidR="00200EBA" w:rsidRPr="00BE040F" w:rsidRDefault="00200EBA" w:rsidP="000B6AAC">
            <w:pPr>
              <w:pStyle w:val="TableParagraph"/>
              <w:ind w:left="130"/>
              <w:jc w:val="center"/>
              <w:rPr>
                <w:rFonts w:ascii="Times New Roman" w:hAnsi="Times New Roman" w:cs="Times New Roman"/>
                <w:sz w:val="24"/>
                <w:szCs w:val="24"/>
              </w:rPr>
            </w:pPr>
            <w:r w:rsidRPr="00604262">
              <w:rPr>
                <w:rFonts w:ascii="Times New Roman" w:hAnsi="Times New Roman" w:cs="Times New Roman"/>
                <w:sz w:val="24"/>
                <w:szCs w:val="24"/>
              </w:rPr>
              <w:t>4 мг через день</w:t>
            </w:r>
          </w:p>
        </w:tc>
        <w:tc>
          <w:tcPr>
            <w:tcW w:w="2354" w:type="dxa"/>
            <w:vAlign w:val="center"/>
          </w:tcPr>
          <w:p w14:paraId="0946E836" w14:textId="77777777" w:rsidR="00200EBA" w:rsidRPr="00BE040F" w:rsidRDefault="00200EBA" w:rsidP="000B6AAC">
            <w:pPr>
              <w:pStyle w:val="TableParagraph"/>
              <w:ind w:left="120"/>
              <w:jc w:val="center"/>
              <w:rPr>
                <w:rFonts w:ascii="Times New Roman" w:hAnsi="Times New Roman" w:cs="Times New Roman"/>
                <w:sz w:val="24"/>
                <w:szCs w:val="24"/>
              </w:rPr>
            </w:pPr>
            <w:r w:rsidRPr="00BE040F">
              <w:rPr>
                <w:rFonts w:ascii="Times New Roman" w:hAnsi="Times New Roman" w:cs="Times New Roman"/>
                <w:spacing w:val="-2"/>
                <w:sz w:val="24"/>
                <w:szCs w:val="24"/>
              </w:rPr>
              <w:t>Отменить</w:t>
            </w:r>
          </w:p>
        </w:tc>
      </w:tr>
    </w:tbl>
    <w:p w14:paraId="43EA97EA" w14:textId="77777777" w:rsidR="00200EBA" w:rsidRDefault="00200EBA" w:rsidP="00200EBA">
      <w:pPr>
        <w:pStyle w:val="OT"/>
        <w:spacing w:after="0"/>
        <w:rPr>
          <w:rFonts w:eastAsia="Courier New"/>
          <w:sz w:val="24"/>
          <w:szCs w:val="24"/>
          <w:lang w:bidi="ru-RU"/>
        </w:rPr>
      </w:pPr>
    </w:p>
    <w:p w14:paraId="19D2BF2F" w14:textId="77777777" w:rsidR="00200EBA" w:rsidRPr="00974984" w:rsidRDefault="00200EBA" w:rsidP="00200EBA">
      <w:pPr>
        <w:pStyle w:val="OT"/>
        <w:rPr>
          <w:rFonts w:eastAsia="Courier New"/>
          <w:b/>
          <w:bCs/>
          <w:sz w:val="24"/>
          <w:szCs w:val="24"/>
          <w:lang w:bidi="ru-RU"/>
        </w:rPr>
      </w:pPr>
      <w:r w:rsidRPr="00974984">
        <w:rPr>
          <w:rFonts w:eastAsia="Courier New"/>
          <w:b/>
          <w:bCs/>
          <w:sz w:val="24"/>
          <w:szCs w:val="24"/>
          <w:lang w:bidi="ru-RU"/>
        </w:rPr>
        <w:t>Особые группы пациентов</w:t>
      </w:r>
    </w:p>
    <w:p w14:paraId="44FD2166"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Данные по применению ленватиниба в комбинации с эверолимусом у большинства</w:t>
      </w:r>
      <w:r>
        <w:rPr>
          <w:rFonts w:eastAsia="Courier New"/>
          <w:sz w:val="24"/>
          <w:szCs w:val="24"/>
          <w:lang w:bidi="ru-RU"/>
        </w:rPr>
        <w:t xml:space="preserve"> </w:t>
      </w:r>
      <w:r w:rsidRPr="00974984">
        <w:rPr>
          <w:rFonts w:eastAsia="Courier New"/>
          <w:sz w:val="24"/>
          <w:szCs w:val="24"/>
          <w:lang w:bidi="ru-RU"/>
        </w:rPr>
        <w:t>особых групп пациентов отсутствуют.</w:t>
      </w:r>
    </w:p>
    <w:p w14:paraId="3DF73027" w14:textId="5A7C4E9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Все пациенты, кроме имеющих печеночную или почечную недостаточность тяжелой степени</w:t>
      </w:r>
      <w:r w:rsidR="00202E76">
        <w:rPr>
          <w:rFonts w:eastAsia="Courier New"/>
          <w:sz w:val="24"/>
          <w:szCs w:val="24"/>
          <w:lang w:bidi="ru-RU"/>
        </w:rPr>
        <w:t>,</w:t>
      </w:r>
      <w:r w:rsidRPr="00974984">
        <w:rPr>
          <w:rFonts w:eastAsia="Courier New"/>
          <w:sz w:val="24"/>
          <w:szCs w:val="24"/>
          <w:lang w:bidi="ru-RU"/>
        </w:rPr>
        <w:t xml:space="preserve"> должны начинать лечение с полной рекомендуемой дозы, после чего доза может быть скорректирована в зависимости от индивидуальной переносимости препарата.</w:t>
      </w:r>
    </w:p>
    <w:p w14:paraId="2DF36AF3" w14:textId="5CC7B26A"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Некоторые субпопуляции пациентов могут иметь худшую переносимость. После начала лечения в рекомендуемой дозе, она может быть скорректирована в зависимости от индивидуальной переносимости препарата.</w:t>
      </w:r>
    </w:p>
    <w:p w14:paraId="6E5ABF12" w14:textId="77777777" w:rsidR="00200EBA" w:rsidRPr="00660CF7" w:rsidRDefault="00200EBA" w:rsidP="006D6682">
      <w:pPr>
        <w:pStyle w:val="OT"/>
        <w:spacing w:after="0"/>
        <w:rPr>
          <w:rFonts w:eastAsia="Courier New"/>
          <w:b/>
          <w:bCs/>
          <w:i/>
          <w:iCs/>
          <w:sz w:val="24"/>
          <w:szCs w:val="24"/>
          <w:lang w:bidi="ru-RU"/>
        </w:rPr>
      </w:pPr>
      <w:r w:rsidRPr="00660CF7">
        <w:rPr>
          <w:rFonts w:eastAsia="Courier New"/>
          <w:b/>
          <w:bCs/>
          <w:i/>
          <w:iCs/>
          <w:sz w:val="24"/>
          <w:szCs w:val="24"/>
          <w:lang w:bidi="ru-RU"/>
        </w:rPr>
        <w:t>Пациенты с артериальной гипертензией</w:t>
      </w:r>
    </w:p>
    <w:p w14:paraId="2A610ABB" w14:textId="347C680C"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Достаточный контроль над АД должен быть достигнут до начала лечения ленватинибом. Во время лечения следует проводить регулярный его мониторинг</w:t>
      </w:r>
      <w:r>
        <w:rPr>
          <w:rFonts w:eastAsia="Courier New"/>
          <w:sz w:val="24"/>
          <w:szCs w:val="24"/>
          <w:lang w:bidi="ru-RU"/>
        </w:rPr>
        <w:t>.</w:t>
      </w:r>
    </w:p>
    <w:p w14:paraId="67E55EB4" w14:textId="0AF67D6B" w:rsidR="00200EBA" w:rsidRPr="00660CF7" w:rsidRDefault="00200EBA" w:rsidP="006D6682">
      <w:pPr>
        <w:pStyle w:val="OT"/>
        <w:spacing w:after="0"/>
        <w:rPr>
          <w:rFonts w:eastAsia="Courier New"/>
          <w:b/>
          <w:bCs/>
          <w:i/>
          <w:iCs/>
          <w:sz w:val="24"/>
          <w:szCs w:val="24"/>
          <w:lang w:bidi="ru-RU"/>
        </w:rPr>
      </w:pPr>
      <w:r w:rsidRPr="00660CF7">
        <w:rPr>
          <w:rFonts w:eastAsia="Courier New"/>
          <w:b/>
          <w:bCs/>
          <w:i/>
          <w:iCs/>
          <w:sz w:val="24"/>
          <w:szCs w:val="24"/>
          <w:lang w:bidi="ru-RU"/>
        </w:rPr>
        <w:t xml:space="preserve">Пациенты с печеночной недостаточностью </w:t>
      </w:r>
      <w:r w:rsidR="00566BFF">
        <w:rPr>
          <w:rFonts w:eastAsia="Courier New"/>
          <w:b/>
          <w:bCs/>
          <w:i/>
          <w:iCs/>
          <w:sz w:val="24"/>
          <w:szCs w:val="24"/>
          <w:lang w:bidi="ru-RU"/>
        </w:rPr>
        <w:t>дифференцированным раком щитовидной железы</w:t>
      </w:r>
      <w:r w:rsidRPr="00660CF7">
        <w:rPr>
          <w:rFonts w:eastAsia="Courier New"/>
          <w:b/>
          <w:bCs/>
          <w:i/>
          <w:iCs/>
          <w:sz w:val="24"/>
          <w:szCs w:val="24"/>
          <w:lang w:bidi="ru-RU"/>
        </w:rPr>
        <w:t xml:space="preserve">, </w:t>
      </w:r>
      <w:r w:rsidR="00566BFF">
        <w:rPr>
          <w:rFonts w:eastAsia="Courier New"/>
          <w:b/>
          <w:bCs/>
          <w:i/>
          <w:iCs/>
          <w:sz w:val="24"/>
          <w:szCs w:val="24"/>
          <w:lang w:bidi="ru-RU"/>
        </w:rPr>
        <w:t>почечно-клеточным раком</w:t>
      </w:r>
      <w:r w:rsidRPr="00660CF7">
        <w:rPr>
          <w:rFonts w:eastAsia="Courier New"/>
          <w:b/>
          <w:bCs/>
          <w:i/>
          <w:iCs/>
          <w:sz w:val="24"/>
          <w:szCs w:val="24"/>
          <w:lang w:bidi="ru-RU"/>
        </w:rPr>
        <w:t xml:space="preserve"> и </w:t>
      </w:r>
      <w:r w:rsidR="00566BFF">
        <w:rPr>
          <w:rFonts w:eastAsia="Courier New"/>
          <w:b/>
          <w:bCs/>
          <w:i/>
          <w:iCs/>
          <w:sz w:val="24"/>
          <w:szCs w:val="24"/>
          <w:lang w:bidi="ru-RU"/>
        </w:rPr>
        <w:t>раком эндометрия</w:t>
      </w:r>
    </w:p>
    <w:p w14:paraId="656F1720"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Данные о применении комбинации ленватиниба с пембролизумабом у пациентов с печеночной недостаточностью ограничены. Данные о применении комбинации ленватиниба с эверолимусом у пациентов с печеночной недостаточностью отсутствуют.</w:t>
      </w:r>
    </w:p>
    <w:p w14:paraId="71D70A80" w14:textId="2D36341C"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У пациентов с легкой или средней (класс А или В по шкале Чайлд</w:t>
      </w:r>
      <w:r w:rsidR="00176746" w:rsidRPr="00176746">
        <w:rPr>
          <w:rFonts w:eastAsia="Courier New"/>
          <w:sz w:val="24"/>
          <w:szCs w:val="24"/>
          <w:lang w:bidi="ru-RU"/>
        </w:rPr>
        <w:t>‒</w:t>
      </w:r>
      <w:r w:rsidRPr="00974984">
        <w:rPr>
          <w:rFonts w:eastAsia="Courier New"/>
          <w:sz w:val="24"/>
          <w:szCs w:val="24"/>
          <w:lang w:bidi="ru-RU"/>
        </w:rPr>
        <w:t>Пью) степенью печеночной недостаточности коррекция дозы не требуется.</w:t>
      </w:r>
    </w:p>
    <w:p w14:paraId="57A032A8" w14:textId="448C0290" w:rsidR="00200EBA" w:rsidRPr="00974984" w:rsidRDefault="00200EBA" w:rsidP="008F5509">
      <w:pPr>
        <w:pStyle w:val="OT"/>
        <w:spacing w:after="0"/>
        <w:ind w:firstLine="709"/>
        <w:rPr>
          <w:rFonts w:eastAsia="Courier New"/>
          <w:sz w:val="24"/>
          <w:szCs w:val="24"/>
          <w:lang w:bidi="ru-RU"/>
        </w:rPr>
      </w:pPr>
      <w:r w:rsidRPr="00974984">
        <w:rPr>
          <w:rFonts w:eastAsia="Courier New"/>
          <w:sz w:val="24"/>
          <w:szCs w:val="24"/>
          <w:lang w:bidi="ru-RU"/>
        </w:rPr>
        <w:t>Рекомендованная начальная доза ленватиниба у пациентов с тяжелой печеночной недостаточностью (класс С по шкале Чайлд</w:t>
      </w:r>
      <w:r w:rsidR="00176746" w:rsidRPr="00176746">
        <w:rPr>
          <w:rFonts w:eastAsia="Courier New"/>
          <w:sz w:val="24"/>
          <w:szCs w:val="24"/>
          <w:lang w:bidi="ru-RU"/>
        </w:rPr>
        <w:t>‒</w:t>
      </w:r>
      <w:r w:rsidR="008F5509">
        <w:rPr>
          <w:rFonts w:eastAsia="Courier New"/>
          <w:sz w:val="24"/>
          <w:szCs w:val="24"/>
          <w:lang w:bidi="ru-RU"/>
        </w:rPr>
        <w:t>Пью) составляет:</w:t>
      </w:r>
    </w:p>
    <w:p w14:paraId="37C43119" w14:textId="7AA315B7" w:rsidR="00200EBA" w:rsidRPr="00974984" w:rsidRDefault="00200EBA" w:rsidP="006D6682">
      <w:pPr>
        <w:pStyle w:val="OT"/>
        <w:numPr>
          <w:ilvl w:val="0"/>
          <w:numId w:val="34"/>
        </w:numPr>
        <w:spacing w:after="0"/>
        <w:ind w:firstLine="709"/>
        <w:rPr>
          <w:rFonts w:eastAsia="Courier New"/>
          <w:sz w:val="24"/>
          <w:szCs w:val="24"/>
          <w:lang w:bidi="ru-RU"/>
        </w:rPr>
      </w:pPr>
      <w:r w:rsidRPr="00E21549">
        <w:rPr>
          <w:rFonts w:eastAsia="Courier New"/>
          <w:sz w:val="24"/>
          <w:szCs w:val="24"/>
          <w:lang w:bidi="ru-RU"/>
        </w:rPr>
        <w:t>Д</w:t>
      </w:r>
      <w:r w:rsidR="00176746">
        <w:rPr>
          <w:rFonts w:eastAsia="Courier New"/>
          <w:sz w:val="24"/>
          <w:szCs w:val="24"/>
          <w:lang w:bidi="ru-RU"/>
        </w:rPr>
        <w:t xml:space="preserve">ифференцированный </w:t>
      </w:r>
      <w:r w:rsidRPr="00E21549">
        <w:rPr>
          <w:rFonts w:eastAsia="Courier New"/>
          <w:sz w:val="24"/>
          <w:szCs w:val="24"/>
          <w:lang w:bidi="ru-RU"/>
        </w:rPr>
        <w:t>РЩЖ</w:t>
      </w:r>
      <w:r w:rsidRPr="00974984">
        <w:rPr>
          <w:rFonts w:eastAsia="Courier New"/>
          <w:sz w:val="24"/>
          <w:szCs w:val="24"/>
          <w:lang w:bidi="ru-RU"/>
        </w:rPr>
        <w:t xml:space="preserve">: </w:t>
      </w:r>
      <w:r>
        <w:rPr>
          <w:rFonts w:eastAsia="Courier New"/>
          <w:sz w:val="24"/>
          <w:szCs w:val="24"/>
          <w:lang w:bidi="ru-RU"/>
        </w:rPr>
        <w:t>14 мг один раз в сутки.</w:t>
      </w:r>
    </w:p>
    <w:p w14:paraId="7C9C4C4B" w14:textId="77777777" w:rsidR="00200EBA" w:rsidRDefault="00200EBA" w:rsidP="006D6682">
      <w:pPr>
        <w:pStyle w:val="OT"/>
        <w:numPr>
          <w:ilvl w:val="0"/>
          <w:numId w:val="34"/>
        </w:numPr>
        <w:spacing w:after="0"/>
        <w:ind w:firstLine="709"/>
        <w:rPr>
          <w:rFonts w:eastAsia="Courier New"/>
          <w:sz w:val="24"/>
          <w:szCs w:val="24"/>
          <w:lang w:bidi="ru-RU"/>
        </w:rPr>
      </w:pPr>
      <w:r>
        <w:rPr>
          <w:rFonts w:eastAsia="Courier New"/>
          <w:sz w:val="24"/>
          <w:szCs w:val="24"/>
          <w:lang w:bidi="ru-RU"/>
        </w:rPr>
        <w:t xml:space="preserve">РЭ: 14 мг один раз в сутки. </w:t>
      </w:r>
      <w:r w:rsidRPr="00974984">
        <w:rPr>
          <w:rFonts w:eastAsia="Courier New"/>
          <w:sz w:val="24"/>
          <w:szCs w:val="24"/>
          <w:lang w:bidi="ru-RU"/>
        </w:rPr>
        <w:t>Дальнейшие корректировки дозы могут потребоваться в зависимости от индивидуальной переносимости.</w:t>
      </w:r>
    </w:p>
    <w:p w14:paraId="1327CCA4" w14:textId="77777777" w:rsidR="00200EBA" w:rsidRPr="00974984" w:rsidRDefault="00200EBA" w:rsidP="006D6682">
      <w:pPr>
        <w:pStyle w:val="OT"/>
        <w:spacing w:after="0"/>
        <w:ind w:firstLine="709"/>
        <w:rPr>
          <w:rFonts w:eastAsia="Courier New"/>
          <w:sz w:val="24"/>
          <w:szCs w:val="24"/>
          <w:lang w:bidi="ru-RU"/>
        </w:rPr>
      </w:pPr>
    </w:p>
    <w:p w14:paraId="78E25890"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Комбинированное лечение у пациентов с тяжелой печеночной недостаточностью должно применяться только при условии, что ожидаемая польза превышает возможный риск</w:t>
      </w:r>
      <w:r>
        <w:rPr>
          <w:rFonts w:eastAsia="Courier New"/>
          <w:sz w:val="24"/>
          <w:szCs w:val="24"/>
          <w:lang w:bidi="ru-RU"/>
        </w:rPr>
        <w:t>.</w:t>
      </w:r>
      <w:r w:rsidRPr="00974984">
        <w:rPr>
          <w:rFonts w:eastAsia="Courier New"/>
          <w:sz w:val="24"/>
          <w:szCs w:val="24"/>
          <w:lang w:bidi="ru-RU"/>
        </w:rPr>
        <w:t xml:space="preserve"> </w:t>
      </w:r>
    </w:p>
    <w:p w14:paraId="1E6C73DE"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 xml:space="preserve">Имеются ограниченные данные о комбинации ленватиниба с пембролизумабом или эверолимусом у пациентов с нарушением функции печени. </w:t>
      </w:r>
    </w:p>
    <w:p w14:paraId="41A5C053" w14:textId="4581113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У пациентов с ГЦР и легкой (класс А по шкале Чайлд</w:t>
      </w:r>
      <w:r w:rsidR="00176746" w:rsidRPr="00176746">
        <w:rPr>
          <w:rFonts w:eastAsia="Courier New"/>
          <w:sz w:val="24"/>
          <w:szCs w:val="24"/>
          <w:lang w:bidi="ru-RU"/>
        </w:rPr>
        <w:t>‒</w:t>
      </w:r>
      <w:r w:rsidRPr="00974984">
        <w:rPr>
          <w:rFonts w:eastAsia="Courier New"/>
          <w:sz w:val="24"/>
          <w:szCs w:val="24"/>
          <w:lang w:bidi="ru-RU"/>
        </w:rPr>
        <w:t>Пью) степенью печеночной недостаточности коррекция дозы не требуется.</w:t>
      </w:r>
    </w:p>
    <w:p w14:paraId="0ECFFE3B" w14:textId="037E364A"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Имеющиеся данные не позволяют дать рекомендации по дозированию препарата пациентам с ГЦР и средней (класс В по шкале Чайлд</w:t>
      </w:r>
      <w:r w:rsidR="00176746" w:rsidRPr="00176746">
        <w:rPr>
          <w:rFonts w:eastAsia="Courier New"/>
          <w:sz w:val="24"/>
          <w:szCs w:val="24"/>
          <w:lang w:bidi="ru-RU"/>
        </w:rPr>
        <w:t>‒</w:t>
      </w:r>
      <w:r w:rsidRPr="00974984">
        <w:rPr>
          <w:rFonts w:eastAsia="Courier New"/>
          <w:sz w:val="24"/>
          <w:szCs w:val="24"/>
          <w:lang w:bidi="ru-RU"/>
        </w:rPr>
        <w:t xml:space="preserve">Пью) степенью печеночной </w:t>
      </w:r>
      <w:r w:rsidRPr="00974984">
        <w:rPr>
          <w:rFonts w:eastAsia="Courier New"/>
          <w:sz w:val="24"/>
          <w:szCs w:val="24"/>
          <w:lang w:bidi="ru-RU"/>
        </w:rPr>
        <w:lastRenderedPageBreak/>
        <w:t>недостаточности. Таким пациентам рекомендуется тщательный контроль общей переносимости (см. разделы «Особые указания» и «Фармакокинетика»).</w:t>
      </w:r>
    </w:p>
    <w:p w14:paraId="5C58DB3F" w14:textId="1BF5570D"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Ленватиниб не изучался у пациентов с тяжелой степенью печеночной недостаточности (класс С по шкале Чайлд</w:t>
      </w:r>
      <w:r w:rsidR="00176746" w:rsidRPr="00176746">
        <w:rPr>
          <w:rFonts w:eastAsia="Courier New"/>
          <w:sz w:val="24"/>
          <w:szCs w:val="24"/>
          <w:lang w:bidi="ru-RU"/>
        </w:rPr>
        <w:t>‒</w:t>
      </w:r>
      <w:r w:rsidRPr="00974984">
        <w:rPr>
          <w:rFonts w:eastAsia="Courier New"/>
          <w:sz w:val="24"/>
          <w:szCs w:val="24"/>
          <w:lang w:bidi="ru-RU"/>
        </w:rPr>
        <w:t>Пью) и не рекомендуется для таких пациентов.</w:t>
      </w:r>
    </w:p>
    <w:p w14:paraId="57DFFA78" w14:textId="2E1960F8"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 xml:space="preserve">Пациенты с почечной недостаточностью </w:t>
      </w:r>
      <w:r w:rsidR="00176746">
        <w:rPr>
          <w:rFonts w:eastAsia="Courier New"/>
          <w:sz w:val="24"/>
          <w:szCs w:val="24"/>
          <w:lang w:bidi="ru-RU"/>
        </w:rPr>
        <w:t>дифференцированным</w:t>
      </w:r>
      <w:r w:rsidR="00176746" w:rsidRPr="00E21549" w:rsidDel="00176746">
        <w:rPr>
          <w:rFonts w:eastAsia="Courier New"/>
          <w:sz w:val="24"/>
          <w:szCs w:val="24"/>
          <w:lang w:bidi="ru-RU"/>
        </w:rPr>
        <w:t xml:space="preserve"> </w:t>
      </w:r>
      <w:r w:rsidRPr="00E21549">
        <w:rPr>
          <w:rFonts w:eastAsia="Courier New"/>
          <w:sz w:val="24"/>
          <w:szCs w:val="24"/>
          <w:lang w:bidi="ru-RU"/>
        </w:rPr>
        <w:t>РЩЖ</w:t>
      </w:r>
      <w:r w:rsidRPr="00974984">
        <w:rPr>
          <w:rFonts w:eastAsia="Courier New"/>
          <w:sz w:val="24"/>
          <w:szCs w:val="24"/>
          <w:lang w:bidi="ru-RU"/>
        </w:rPr>
        <w:t>, ПKP и РЭ</w:t>
      </w:r>
    </w:p>
    <w:p w14:paraId="4698ADBA" w14:textId="7577C68E"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У пациентов с легкой (CrCL 60</w:t>
      </w:r>
      <w:r w:rsidR="00176746" w:rsidRPr="00176746">
        <w:rPr>
          <w:rFonts w:eastAsia="Courier New"/>
          <w:sz w:val="24"/>
          <w:szCs w:val="24"/>
          <w:lang w:bidi="ru-RU"/>
        </w:rPr>
        <w:t>‒</w:t>
      </w:r>
      <w:r w:rsidRPr="00974984">
        <w:rPr>
          <w:rFonts w:eastAsia="Courier New"/>
          <w:sz w:val="24"/>
          <w:szCs w:val="24"/>
          <w:lang w:bidi="ru-RU"/>
        </w:rPr>
        <w:t>89 мл/мин) или средней (CrCL 30</w:t>
      </w:r>
      <w:r w:rsidR="00176746" w:rsidRPr="00176746">
        <w:rPr>
          <w:rFonts w:eastAsia="Courier New"/>
          <w:sz w:val="24"/>
          <w:szCs w:val="24"/>
          <w:lang w:bidi="ru-RU"/>
        </w:rPr>
        <w:t>‒</w:t>
      </w:r>
      <w:r w:rsidRPr="00974984">
        <w:rPr>
          <w:rFonts w:eastAsia="Courier New"/>
          <w:sz w:val="24"/>
          <w:szCs w:val="24"/>
          <w:lang w:bidi="ru-RU"/>
        </w:rPr>
        <w:t>59 мл/мин) степенью почечной недостаточности коррекция начальной дозы препарата в зависимости от состояния функции почек не требуется.</w:t>
      </w:r>
    </w:p>
    <w:p w14:paraId="6A4D9421"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У пациентов с тяжелой почечной недостаточностью (CrCL &lt;30 мл/мин) рекомендованная начальная доза ленватиниба составляет:</w:t>
      </w:r>
    </w:p>
    <w:p w14:paraId="3D38B4D8" w14:textId="0F092F93" w:rsidR="00200EBA" w:rsidRPr="00974984" w:rsidRDefault="00176746" w:rsidP="006D6682">
      <w:pPr>
        <w:pStyle w:val="OT"/>
        <w:numPr>
          <w:ilvl w:val="0"/>
          <w:numId w:val="35"/>
        </w:numPr>
        <w:spacing w:after="0"/>
        <w:ind w:firstLine="709"/>
        <w:rPr>
          <w:rFonts w:eastAsia="Courier New"/>
          <w:sz w:val="24"/>
          <w:szCs w:val="24"/>
          <w:lang w:bidi="ru-RU"/>
        </w:rPr>
      </w:pPr>
      <w:r w:rsidRPr="00E21549">
        <w:rPr>
          <w:rFonts w:eastAsia="Courier New"/>
          <w:sz w:val="24"/>
          <w:szCs w:val="24"/>
          <w:lang w:bidi="ru-RU"/>
        </w:rPr>
        <w:t>Д</w:t>
      </w:r>
      <w:r>
        <w:rPr>
          <w:rFonts w:eastAsia="Courier New"/>
          <w:sz w:val="24"/>
          <w:szCs w:val="24"/>
          <w:lang w:bidi="ru-RU"/>
        </w:rPr>
        <w:t>ифференцированный</w:t>
      </w:r>
      <w:r w:rsidRPr="00E21549" w:rsidDel="00176746">
        <w:rPr>
          <w:rFonts w:eastAsia="Courier New"/>
          <w:sz w:val="24"/>
          <w:szCs w:val="24"/>
          <w:lang w:bidi="ru-RU"/>
        </w:rPr>
        <w:t xml:space="preserve"> </w:t>
      </w:r>
      <w:r w:rsidR="00200EBA" w:rsidRPr="00E21549">
        <w:rPr>
          <w:rFonts w:eastAsia="Courier New"/>
          <w:sz w:val="24"/>
          <w:szCs w:val="24"/>
          <w:lang w:bidi="ru-RU"/>
        </w:rPr>
        <w:t>РЩЖ</w:t>
      </w:r>
      <w:r w:rsidR="00200EBA" w:rsidRPr="00974984">
        <w:rPr>
          <w:rFonts w:eastAsia="Courier New"/>
          <w:sz w:val="24"/>
          <w:szCs w:val="24"/>
          <w:lang w:bidi="ru-RU"/>
        </w:rPr>
        <w:t xml:space="preserve">: </w:t>
      </w:r>
      <w:r w:rsidR="00200EBA">
        <w:rPr>
          <w:rFonts w:eastAsia="Courier New"/>
          <w:sz w:val="24"/>
          <w:szCs w:val="24"/>
          <w:lang w:bidi="ru-RU"/>
        </w:rPr>
        <w:t>10 мг один раз в сутки.</w:t>
      </w:r>
    </w:p>
    <w:p w14:paraId="437E89CD" w14:textId="77777777" w:rsidR="00200EBA" w:rsidRPr="00974984" w:rsidRDefault="00200EBA" w:rsidP="006D6682">
      <w:pPr>
        <w:pStyle w:val="OT"/>
        <w:numPr>
          <w:ilvl w:val="0"/>
          <w:numId w:val="35"/>
        </w:numPr>
        <w:spacing w:after="0"/>
        <w:ind w:firstLine="709"/>
        <w:rPr>
          <w:rFonts w:eastAsia="Courier New"/>
          <w:sz w:val="24"/>
          <w:szCs w:val="24"/>
          <w:lang w:bidi="ru-RU"/>
        </w:rPr>
      </w:pPr>
      <w:r w:rsidRPr="00974984">
        <w:rPr>
          <w:rFonts w:eastAsia="Courier New"/>
          <w:sz w:val="24"/>
          <w:szCs w:val="24"/>
          <w:lang w:bidi="ru-RU"/>
        </w:rPr>
        <w:t xml:space="preserve">ПKP: </w:t>
      </w:r>
      <w:r>
        <w:rPr>
          <w:rFonts w:eastAsia="Courier New"/>
          <w:sz w:val="24"/>
          <w:szCs w:val="24"/>
          <w:lang w:bidi="ru-RU"/>
        </w:rPr>
        <w:t>10 мг один раз в сутки.</w:t>
      </w:r>
    </w:p>
    <w:p w14:paraId="68795450" w14:textId="77777777" w:rsidR="00200EBA" w:rsidRPr="00974984" w:rsidRDefault="00200EBA" w:rsidP="006D6682">
      <w:pPr>
        <w:pStyle w:val="OT"/>
        <w:numPr>
          <w:ilvl w:val="0"/>
          <w:numId w:val="35"/>
        </w:numPr>
        <w:spacing w:after="0"/>
        <w:ind w:firstLine="709"/>
        <w:rPr>
          <w:rFonts w:eastAsia="Courier New"/>
          <w:sz w:val="24"/>
          <w:szCs w:val="24"/>
          <w:lang w:bidi="ru-RU"/>
        </w:rPr>
      </w:pPr>
      <w:r w:rsidRPr="00974984">
        <w:rPr>
          <w:rFonts w:eastAsia="Courier New"/>
          <w:sz w:val="24"/>
          <w:szCs w:val="24"/>
          <w:lang w:bidi="ru-RU"/>
        </w:rPr>
        <w:t xml:space="preserve">РЭ: </w:t>
      </w:r>
      <w:r>
        <w:rPr>
          <w:rFonts w:eastAsia="Courier New"/>
          <w:sz w:val="24"/>
          <w:szCs w:val="24"/>
          <w:lang w:bidi="ru-RU"/>
        </w:rPr>
        <w:t>10 мг один раз в сутки.</w:t>
      </w:r>
    </w:p>
    <w:p w14:paraId="11A46EE9"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Может потребоваться дополнительная коррекция дозы препарата в зависимости от индивидуальной переносимости. Исследования у пациентов с хроническими заболеваниями почек в терминальной стадии не проводились, в связи с чем, применение ленватиниба у данной категории пациентов не рекомендуется</w:t>
      </w:r>
      <w:r>
        <w:rPr>
          <w:rFonts w:eastAsia="Courier New"/>
          <w:sz w:val="24"/>
          <w:szCs w:val="24"/>
          <w:lang w:bidi="ru-RU"/>
        </w:rPr>
        <w:t>.</w:t>
      </w:r>
      <w:r w:rsidRPr="00974984">
        <w:rPr>
          <w:rFonts w:eastAsia="Courier New"/>
          <w:sz w:val="24"/>
          <w:szCs w:val="24"/>
          <w:lang w:bidi="ru-RU"/>
        </w:rPr>
        <w:t xml:space="preserve"> </w:t>
      </w:r>
    </w:p>
    <w:p w14:paraId="6C3F9F0F"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 xml:space="preserve">Имеются ограниченные данные о комбинации ленватиниба с пембролизумабом или эверолимусом у пациентов с нарушением функции почек. </w:t>
      </w:r>
    </w:p>
    <w:p w14:paraId="5FC5E80D"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У пациентов с легкой или средней степенью почечной недостаточности коррекция начальной дозы препарата в зависимости от состояния функции почек не требуется.</w:t>
      </w:r>
    </w:p>
    <w:p w14:paraId="50907C8D" w14:textId="3124C00D" w:rsidR="009470CB"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Имеющиеся данные не позволяют дать рекомендации по дозированию пациентам с ГЦР, имеющим тяжелую почечную недостаточность.</w:t>
      </w:r>
    </w:p>
    <w:p w14:paraId="0A3615D0" w14:textId="77777777" w:rsidR="00200EBA" w:rsidRPr="008C54BF" w:rsidRDefault="00200EBA" w:rsidP="006D6682">
      <w:pPr>
        <w:pStyle w:val="OT"/>
        <w:spacing w:after="0"/>
        <w:rPr>
          <w:rFonts w:eastAsia="Courier New"/>
          <w:b/>
          <w:bCs/>
          <w:i/>
          <w:iCs/>
          <w:sz w:val="24"/>
          <w:szCs w:val="24"/>
          <w:lang w:bidi="ru-RU"/>
        </w:rPr>
      </w:pPr>
      <w:r w:rsidRPr="008C54BF">
        <w:rPr>
          <w:rFonts w:eastAsia="Courier New"/>
          <w:b/>
          <w:bCs/>
          <w:i/>
          <w:iCs/>
          <w:sz w:val="24"/>
          <w:szCs w:val="24"/>
          <w:lang w:bidi="ru-RU"/>
        </w:rPr>
        <w:t>Пациенты пожилого возраста</w:t>
      </w:r>
    </w:p>
    <w:p w14:paraId="57EF88E1" w14:textId="6E72C2C9"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Коррекци</w:t>
      </w:r>
      <w:r w:rsidR="00176746">
        <w:rPr>
          <w:rFonts w:eastAsia="Courier New"/>
          <w:sz w:val="24"/>
          <w:szCs w:val="24"/>
          <w:lang w:bidi="ru-RU"/>
        </w:rPr>
        <w:t>и</w:t>
      </w:r>
      <w:r w:rsidRPr="00974984">
        <w:rPr>
          <w:rFonts w:eastAsia="Courier New"/>
          <w:sz w:val="24"/>
          <w:szCs w:val="24"/>
          <w:lang w:bidi="ru-RU"/>
        </w:rPr>
        <w:t xml:space="preserve"> начальной дозы препарата в зависимости от возраста не требуется. Данные по применению у пациентов 75 лет и старше ограничены</w:t>
      </w:r>
      <w:r>
        <w:rPr>
          <w:rFonts w:eastAsia="Courier New"/>
          <w:sz w:val="24"/>
          <w:szCs w:val="24"/>
          <w:lang w:bidi="ru-RU"/>
        </w:rPr>
        <w:t>.</w:t>
      </w:r>
    </w:p>
    <w:p w14:paraId="1B63020C" w14:textId="77777777" w:rsidR="00200EBA" w:rsidRPr="008C54BF" w:rsidRDefault="00200EBA" w:rsidP="006D6682">
      <w:pPr>
        <w:pStyle w:val="OT"/>
        <w:spacing w:after="0"/>
        <w:rPr>
          <w:rFonts w:eastAsia="Courier New"/>
          <w:b/>
          <w:bCs/>
          <w:i/>
          <w:iCs/>
          <w:sz w:val="24"/>
          <w:szCs w:val="24"/>
          <w:lang w:bidi="ru-RU"/>
        </w:rPr>
      </w:pPr>
      <w:r w:rsidRPr="008C54BF">
        <w:rPr>
          <w:rFonts w:eastAsia="Courier New"/>
          <w:b/>
          <w:bCs/>
          <w:i/>
          <w:iCs/>
          <w:sz w:val="24"/>
          <w:szCs w:val="24"/>
          <w:lang w:bidi="ru-RU"/>
        </w:rPr>
        <w:t>Расовая принадлежность</w:t>
      </w:r>
    </w:p>
    <w:p w14:paraId="405245D3" w14:textId="43A7958D"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Коррекци</w:t>
      </w:r>
      <w:r w:rsidR="00176746">
        <w:rPr>
          <w:rFonts w:eastAsia="Courier New"/>
          <w:sz w:val="24"/>
          <w:szCs w:val="24"/>
          <w:lang w:bidi="ru-RU"/>
        </w:rPr>
        <w:t>и</w:t>
      </w:r>
      <w:r w:rsidRPr="00974984">
        <w:rPr>
          <w:rFonts w:eastAsia="Courier New"/>
          <w:sz w:val="24"/>
          <w:szCs w:val="24"/>
          <w:lang w:bidi="ru-RU"/>
        </w:rPr>
        <w:t xml:space="preserve"> дозы препарата в зависимости от расовой принадлежности пациента не требуется</w:t>
      </w:r>
      <w:r>
        <w:rPr>
          <w:rFonts w:eastAsia="Courier New"/>
          <w:sz w:val="24"/>
          <w:szCs w:val="24"/>
          <w:lang w:bidi="ru-RU"/>
        </w:rPr>
        <w:t xml:space="preserve">. </w:t>
      </w:r>
      <w:r w:rsidRPr="00974984">
        <w:rPr>
          <w:rFonts w:eastAsia="Courier New"/>
          <w:sz w:val="24"/>
          <w:szCs w:val="24"/>
          <w:lang w:bidi="ru-RU"/>
        </w:rPr>
        <w:t>Данные по применению у пациентов с расовой принадлежностью, отличной от европеоидной и азиатской, ограничены</w:t>
      </w:r>
      <w:r>
        <w:rPr>
          <w:rFonts w:eastAsia="Courier New"/>
          <w:sz w:val="24"/>
          <w:szCs w:val="24"/>
          <w:lang w:bidi="ru-RU"/>
        </w:rPr>
        <w:t>.</w:t>
      </w:r>
    </w:p>
    <w:p w14:paraId="2F4D83B9" w14:textId="77777777" w:rsidR="00200EBA" w:rsidRPr="008C54BF" w:rsidRDefault="00200EBA" w:rsidP="006D6682">
      <w:pPr>
        <w:pStyle w:val="OT"/>
        <w:spacing w:after="0"/>
        <w:rPr>
          <w:rFonts w:eastAsia="Courier New"/>
          <w:b/>
          <w:bCs/>
          <w:i/>
          <w:iCs/>
          <w:sz w:val="24"/>
          <w:szCs w:val="24"/>
          <w:lang w:bidi="ru-RU"/>
        </w:rPr>
      </w:pPr>
      <w:r w:rsidRPr="008C54BF">
        <w:rPr>
          <w:rFonts w:eastAsia="Courier New"/>
          <w:b/>
          <w:bCs/>
          <w:i/>
          <w:iCs/>
          <w:sz w:val="24"/>
          <w:szCs w:val="24"/>
          <w:lang w:bidi="ru-RU"/>
        </w:rPr>
        <w:t>Состояние пациента</w:t>
      </w:r>
    </w:p>
    <w:p w14:paraId="4BC32267"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Пациенты со статусом общего состояния по шкале ECOG (восточной объединённой группы онкологов) 2 и выше были исключены из исследования 205</w:t>
      </w:r>
      <w:r>
        <w:rPr>
          <w:rFonts w:eastAsia="Courier New"/>
          <w:sz w:val="24"/>
          <w:szCs w:val="24"/>
          <w:lang w:bidi="ru-RU"/>
        </w:rPr>
        <w:t xml:space="preserve"> </w:t>
      </w:r>
      <w:r w:rsidRPr="00974984">
        <w:rPr>
          <w:rFonts w:eastAsia="Courier New"/>
          <w:sz w:val="24"/>
          <w:szCs w:val="24"/>
          <w:lang w:bidi="ru-RU"/>
        </w:rPr>
        <w:t>ПKP.</w:t>
      </w:r>
    </w:p>
    <w:p w14:paraId="180BAD3A"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Пациенты со статусом общего состояния по шкале Карновского &lt;70 были исключены из исследования 307</w:t>
      </w:r>
      <w:r>
        <w:rPr>
          <w:rFonts w:eastAsia="Courier New"/>
          <w:sz w:val="24"/>
          <w:szCs w:val="24"/>
          <w:lang w:bidi="ru-RU"/>
        </w:rPr>
        <w:t xml:space="preserve"> </w:t>
      </w:r>
      <w:r w:rsidRPr="00974984">
        <w:rPr>
          <w:rFonts w:eastAsia="Courier New"/>
          <w:sz w:val="24"/>
          <w:szCs w:val="24"/>
          <w:lang w:bidi="ru-RU"/>
        </w:rPr>
        <w:t>ПKP. Оценка пользы и риска у этих пациентов не проводилась.</w:t>
      </w:r>
    </w:p>
    <w:p w14:paraId="13013B73" w14:textId="0F2117DE" w:rsidR="00200EBA" w:rsidRPr="008C54BF" w:rsidRDefault="00200EBA" w:rsidP="006D6682">
      <w:pPr>
        <w:pStyle w:val="OT"/>
        <w:spacing w:after="0"/>
        <w:rPr>
          <w:rFonts w:eastAsia="Courier New"/>
          <w:b/>
          <w:bCs/>
          <w:i/>
          <w:iCs/>
          <w:sz w:val="24"/>
          <w:szCs w:val="24"/>
          <w:lang w:bidi="ru-RU"/>
        </w:rPr>
      </w:pPr>
      <w:r w:rsidRPr="008C54BF">
        <w:rPr>
          <w:rFonts w:eastAsia="Courier New"/>
          <w:b/>
          <w:bCs/>
          <w:i/>
          <w:iCs/>
          <w:sz w:val="24"/>
          <w:szCs w:val="24"/>
          <w:lang w:bidi="ru-RU"/>
        </w:rPr>
        <w:t xml:space="preserve">Пациенты с массой тела менее 60 кг </w:t>
      </w:r>
      <w:r w:rsidR="00D51878">
        <w:rPr>
          <w:rFonts w:eastAsia="Courier New"/>
          <w:b/>
          <w:bCs/>
          <w:i/>
          <w:iCs/>
          <w:sz w:val="24"/>
          <w:szCs w:val="24"/>
          <w:lang w:bidi="ru-RU"/>
        </w:rPr>
        <w:t>дифференцированным раком щитовидной железы</w:t>
      </w:r>
      <w:r w:rsidR="00D51878" w:rsidRPr="00660CF7">
        <w:rPr>
          <w:rFonts w:eastAsia="Courier New"/>
          <w:b/>
          <w:bCs/>
          <w:i/>
          <w:iCs/>
          <w:sz w:val="24"/>
          <w:szCs w:val="24"/>
          <w:lang w:bidi="ru-RU"/>
        </w:rPr>
        <w:t xml:space="preserve">, </w:t>
      </w:r>
      <w:r w:rsidR="00D51878">
        <w:rPr>
          <w:rFonts w:eastAsia="Courier New"/>
          <w:b/>
          <w:bCs/>
          <w:i/>
          <w:iCs/>
          <w:sz w:val="24"/>
          <w:szCs w:val="24"/>
          <w:lang w:bidi="ru-RU"/>
        </w:rPr>
        <w:t>почечно-клеточным раком</w:t>
      </w:r>
      <w:r w:rsidR="00D51878" w:rsidRPr="00660CF7">
        <w:rPr>
          <w:rFonts w:eastAsia="Courier New"/>
          <w:b/>
          <w:bCs/>
          <w:i/>
          <w:iCs/>
          <w:sz w:val="24"/>
          <w:szCs w:val="24"/>
          <w:lang w:bidi="ru-RU"/>
        </w:rPr>
        <w:t xml:space="preserve"> и </w:t>
      </w:r>
      <w:r w:rsidR="00D51878">
        <w:rPr>
          <w:rFonts w:eastAsia="Courier New"/>
          <w:b/>
          <w:bCs/>
          <w:i/>
          <w:iCs/>
          <w:sz w:val="24"/>
          <w:szCs w:val="24"/>
          <w:lang w:bidi="ru-RU"/>
        </w:rPr>
        <w:t>раком эндометрия</w:t>
      </w:r>
    </w:p>
    <w:p w14:paraId="31527927" w14:textId="77777777" w:rsidR="00200EBA" w:rsidRPr="00974984" w:rsidRDefault="00200EBA" w:rsidP="006D6682">
      <w:pPr>
        <w:pStyle w:val="OT"/>
        <w:spacing w:after="0"/>
        <w:ind w:firstLine="709"/>
        <w:rPr>
          <w:rFonts w:eastAsia="Courier New"/>
          <w:sz w:val="24"/>
          <w:szCs w:val="24"/>
          <w:lang w:bidi="ru-RU"/>
        </w:rPr>
      </w:pPr>
      <w:r w:rsidRPr="00974984">
        <w:rPr>
          <w:rFonts w:eastAsia="Courier New"/>
          <w:sz w:val="24"/>
          <w:szCs w:val="24"/>
          <w:lang w:bidi="ru-RU"/>
        </w:rPr>
        <w:t>Коррекция начальной дозы препарата в зависимости от массы тела не требуется. Данные по применению у пациентов с ПKP и РЭ с массой тела менее 60 кг ограничены</w:t>
      </w:r>
      <w:r>
        <w:rPr>
          <w:rFonts w:eastAsia="Courier New"/>
          <w:sz w:val="24"/>
          <w:szCs w:val="24"/>
          <w:lang w:bidi="ru-RU"/>
        </w:rPr>
        <w:t>.</w:t>
      </w:r>
    </w:p>
    <w:p w14:paraId="43FEA6DB" w14:textId="77777777" w:rsidR="00200EBA" w:rsidRPr="00974984" w:rsidRDefault="00200EBA" w:rsidP="006D6682">
      <w:pPr>
        <w:ind w:firstLine="709"/>
        <w:rPr>
          <w:lang w:bidi="ru-RU"/>
        </w:rPr>
      </w:pPr>
      <w:r w:rsidRPr="00974984">
        <w:rPr>
          <w:lang w:bidi="ru-RU"/>
        </w:rPr>
        <w:t xml:space="preserve">Экспозиция ленватиниба при ГЦР в исследовании REFLECT была сопоставима у пациентов с массой тела менее 60 кг, получавших начальную дозу 8 мг, и пациентов с массой тела 60 кг и более, получавших начальную дозу 12 мг </w:t>
      </w:r>
    </w:p>
    <w:p w14:paraId="1B5409A9" w14:textId="039D6ABB" w:rsidR="00200EBA" w:rsidRDefault="00200EBA" w:rsidP="006D6682">
      <w:pPr>
        <w:ind w:firstLine="709"/>
        <w:rPr>
          <w:lang w:bidi="ru-RU"/>
        </w:rPr>
      </w:pPr>
      <w:r w:rsidRPr="00974984">
        <w:rPr>
          <w:lang w:bidi="ru-RU"/>
        </w:rPr>
        <w:t xml:space="preserve">Пациенты с ГЦР массой тела менее 60 кг, кроме имеющих среднюю или тяжелую степень печеночной недостаточности, либо тяжелую степень почечной недостаточности, должны начинать лечение с рекомендуемой начальной дозы 8 мг (две капсулы по 4 мг), после чего доза может быть скорректирована на основании индивидуальной переносимости.Имеющиеся данные не позволяют сделать рекомендации по дозированию </w:t>
      </w:r>
      <w:r w:rsidRPr="00974984">
        <w:rPr>
          <w:lang w:bidi="ru-RU"/>
        </w:rPr>
        <w:lastRenderedPageBreak/>
        <w:t>для пациентов с ГЦР и средней печеночной недостаточностью (категория В по Чайлд-Пью).Имеющиеся данные не позволяют сделать рекомендации по дозированию для пациентов с ГЦР и тяжелой печеночной недостаточностью (категория С по Чайлд</w:t>
      </w:r>
      <w:r w:rsidR="00DA03A1" w:rsidRPr="00DA03A1">
        <w:rPr>
          <w:lang w:bidi="ru-RU"/>
        </w:rPr>
        <w:t>‒</w:t>
      </w:r>
      <w:r w:rsidRPr="00974984">
        <w:rPr>
          <w:lang w:bidi="ru-RU"/>
        </w:rPr>
        <w:t>Пью) независимо от массы тела, использование препарата в данной группе не рекомендуется.Имеющиеся данные не позволяют сделать рекомендации по дозированию для пациентов с ГЦР и тяжелой почечной недостаточностью независимо от массы тела, использование препарата в данной гpyппe не рекомендуется.</w:t>
      </w:r>
    </w:p>
    <w:p w14:paraId="020353AB" w14:textId="77777777" w:rsidR="00200EBA" w:rsidRPr="007B1E38" w:rsidRDefault="00200EBA" w:rsidP="006D6682">
      <w:pPr>
        <w:pStyle w:val="OT"/>
        <w:spacing w:before="120"/>
        <w:rPr>
          <w:rFonts w:eastAsia="Courier New"/>
          <w:b/>
          <w:bCs/>
          <w:sz w:val="24"/>
          <w:szCs w:val="24"/>
          <w:lang w:bidi="ru-RU"/>
        </w:rPr>
      </w:pPr>
      <w:r w:rsidRPr="007B1E38">
        <w:rPr>
          <w:rFonts w:eastAsia="Courier New"/>
          <w:b/>
          <w:bCs/>
          <w:sz w:val="24"/>
          <w:szCs w:val="24"/>
          <w:lang w:bidi="ru-RU"/>
        </w:rPr>
        <w:t>Применение у особых групп пациентов</w:t>
      </w:r>
    </w:p>
    <w:p w14:paraId="54AD6E3C" w14:textId="77777777" w:rsidR="00200EBA" w:rsidRPr="00BA2D96" w:rsidRDefault="00200EBA" w:rsidP="006D6682">
      <w:pPr>
        <w:pStyle w:val="ab"/>
        <w:widowControl w:val="0"/>
        <w:shd w:val="clear" w:color="auto" w:fill="FFFFFF"/>
        <w:tabs>
          <w:tab w:val="left" w:pos="8647"/>
        </w:tabs>
        <w:autoSpaceDE w:val="0"/>
        <w:autoSpaceDN w:val="0"/>
        <w:adjustRightInd w:val="0"/>
        <w:spacing w:before="0" w:beforeAutospacing="0" w:after="0" w:afterAutospacing="0"/>
        <w:jc w:val="both"/>
        <w:rPr>
          <w:b/>
          <w:i/>
          <w:color w:val="000000" w:themeColor="text1"/>
        </w:rPr>
      </w:pPr>
      <w:r w:rsidRPr="00BA2D96">
        <w:rPr>
          <w:b/>
          <w:i/>
          <w:color w:val="000000" w:themeColor="text1"/>
        </w:rPr>
        <w:t>Пациенты с нарушением функции почек</w:t>
      </w:r>
    </w:p>
    <w:p w14:paraId="1C6AC699" w14:textId="77777777" w:rsidR="00200EBA" w:rsidRPr="00934113" w:rsidRDefault="00200EBA" w:rsidP="006D6682">
      <w:pPr>
        <w:pStyle w:val="ab"/>
        <w:shd w:val="clear" w:color="auto" w:fill="FFFFFF"/>
        <w:tabs>
          <w:tab w:val="left" w:pos="8647"/>
        </w:tabs>
        <w:spacing w:before="0" w:beforeAutospacing="0" w:after="0" w:afterAutospacing="0"/>
        <w:ind w:firstLine="709"/>
        <w:jc w:val="both"/>
        <w:rPr>
          <w:bCs/>
          <w:iCs/>
          <w:color w:val="000000" w:themeColor="text1"/>
        </w:rPr>
      </w:pPr>
      <w:r w:rsidRPr="00934113">
        <w:rPr>
          <w:bCs/>
          <w:iCs/>
          <w:color w:val="000000" w:themeColor="text1"/>
        </w:rPr>
        <w:t>У пациентов с функцией почек &lt;60 мл/мин на этапе включения в исследование регистрировалось больше нежелательных явлений, включая летальные и серьезные нежелательные явления, а также явления 3 или 4 степени тяжести, чем у пациентов с нормальной функцией почек. Также у таких пациентов с большей частотой требовалось прерывание, снижение дозы или отмена лечения. Рекомендуется снижение начальной дозы для пациентов с почечной недостаточностью (см. раздел «Способ применения и дозы»), и также тщательный мониторинг во время лечения. Клинический опыт применения ленватиниба у пациентов с тяжелой почечной недостаточностью отсутствует.</w:t>
      </w:r>
    </w:p>
    <w:p w14:paraId="47519B0C" w14:textId="283DBC8F" w:rsidR="00200EBA" w:rsidRPr="00934113" w:rsidRDefault="00200EBA" w:rsidP="006D6682">
      <w:pPr>
        <w:pStyle w:val="ab"/>
        <w:shd w:val="clear" w:color="auto" w:fill="FFFFFF"/>
        <w:tabs>
          <w:tab w:val="left" w:pos="8647"/>
        </w:tabs>
        <w:spacing w:before="0" w:beforeAutospacing="0" w:after="0" w:afterAutospacing="0"/>
        <w:ind w:firstLine="709"/>
        <w:jc w:val="both"/>
        <w:rPr>
          <w:bCs/>
          <w:iCs/>
          <w:color w:val="000000" w:themeColor="text1"/>
        </w:rPr>
      </w:pPr>
      <w:r w:rsidRPr="00934113">
        <w:rPr>
          <w:bCs/>
          <w:iCs/>
          <w:color w:val="000000" w:themeColor="text1"/>
        </w:rPr>
        <w:t>У пациентов, получавших ленватиниб, регистрировалось нарушение функции почек, в том числе случаи почечной недостаточности</w:t>
      </w:r>
      <w:r>
        <w:rPr>
          <w:bCs/>
          <w:iCs/>
          <w:color w:val="000000" w:themeColor="text1"/>
        </w:rPr>
        <w:t xml:space="preserve">. </w:t>
      </w:r>
      <w:r w:rsidRPr="00934113">
        <w:rPr>
          <w:bCs/>
          <w:iCs/>
          <w:color w:val="000000" w:themeColor="text1"/>
        </w:rPr>
        <w:t xml:space="preserve">Первичными идентифицированными факторами риска являлись имеющаяся почечная недостаточность, дегидратация и/или гиповолемия вследствие токсического воздействия на </w:t>
      </w:r>
      <w:r w:rsidR="00DB535B">
        <w:rPr>
          <w:bCs/>
          <w:iCs/>
          <w:color w:val="000000" w:themeColor="text1"/>
        </w:rPr>
        <w:t>ЖКТ</w:t>
      </w:r>
      <w:r>
        <w:rPr>
          <w:bCs/>
          <w:iCs/>
          <w:color w:val="000000" w:themeColor="text1"/>
        </w:rPr>
        <w:t>.</w:t>
      </w:r>
      <w:r w:rsidRPr="00934113">
        <w:rPr>
          <w:bCs/>
          <w:iCs/>
          <w:color w:val="000000" w:themeColor="text1"/>
        </w:rPr>
        <w:t xml:space="preserve"> Следует проявлять осторожность у пациентов, получающих препараты, действующие на ренин-ангиотензин-альдостероновую систему, учитывая потенциально более высокий риск острой почечной недостаточности при комбинированном лечении. Может потребоваться временная приостановка лечения ленватинибом, коррекция дозы препарата или его полная отмена</w:t>
      </w:r>
      <w:r>
        <w:rPr>
          <w:bCs/>
          <w:iCs/>
          <w:color w:val="000000" w:themeColor="text1"/>
        </w:rPr>
        <w:t>.</w:t>
      </w:r>
    </w:p>
    <w:p w14:paraId="7EAF2127" w14:textId="421B2B11" w:rsidR="00200EBA" w:rsidRDefault="00200EBA" w:rsidP="006D6682">
      <w:pPr>
        <w:pStyle w:val="ab"/>
        <w:shd w:val="clear" w:color="auto" w:fill="FFFFFF"/>
        <w:tabs>
          <w:tab w:val="left" w:pos="8647"/>
        </w:tabs>
        <w:spacing w:before="0" w:beforeAutospacing="0" w:after="0" w:afterAutospacing="0"/>
        <w:ind w:firstLine="709"/>
        <w:jc w:val="both"/>
        <w:rPr>
          <w:bCs/>
          <w:iCs/>
          <w:color w:val="000000" w:themeColor="text1"/>
        </w:rPr>
      </w:pPr>
      <w:r w:rsidRPr="00934113">
        <w:rPr>
          <w:bCs/>
          <w:iCs/>
          <w:color w:val="000000" w:themeColor="text1"/>
        </w:rPr>
        <w:t>У пациентов с тяжелой почечной недостаточностью требуется коррекция начальной дозы ленватиниба</w:t>
      </w:r>
      <w:r>
        <w:rPr>
          <w:bCs/>
          <w:iCs/>
          <w:color w:val="000000" w:themeColor="text1"/>
        </w:rPr>
        <w:t>.</w:t>
      </w:r>
      <w:r w:rsidRPr="00934113">
        <w:rPr>
          <w:bCs/>
          <w:iCs/>
          <w:color w:val="000000" w:themeColor="text1"/>
        </w:rPr>
        <w:t xml:space="preserve"> </w:t>
      </w:r>
    </w:p>
    <w:p w14:paraId="205FBDFC" w14:textId="182BB196" w:rsidR="00200EBA" w:rsidRDefault="00200EBA" w:rsidP="006D6682">
      <w:pPr>
        <w:pStyle w:val="ab"/>
        <w:shd w:val="clear" w:color="auto" w:fill="FFFFFF"/>
        <w:tabs>
          <w:tab w:val="left" w:pos="8647"/>
        </w:tabs>
        <w:spacing w:before="0" w:beforeAutospacing="0" w:after="0" w:afterAutospacing="0"/>
        <w:jc w:val="both"/>
        <w:rPr>
          <w:b/>
          <w:i/>
          <w:color w:val="000000" w:themeColor="text1"/>
        </w:rPr>
      </w:pPr>
      <w:r w:rsidRPr="005130C1">
        <w:rPr>
          <w:b/>
          <w:i/>
          <w:color w:val="000000" w:themeColor="text1"/>
        </w:rPr>
        <w:t>Пациенты с нарушением функции печени</w:t>
      </w:r>
    </w:p>
    <w:p w14:paraId="14083AED" w14:textId="20D717B4" w:rsidR="00200EBA" w:rsidRPr="007A48AD" w:rsidRDefault="00200EBA" w:rsidP="006D6682">
      <w:pPr>
        <w:ind w:firstLine="709"/>
      </w:pPr>
      <w:r w:rsidRPr="007A48AD">
        <w:t xml:space="preserve">У пациентов с </w:t>
      </w:r>
      <w:r w:rsidR="001D6DEA">
        <w:t xml:space="preserve">дифференцированным </w:t>
      </w:r>
      <w:r w:rsidRPr="007A48AD">
        <w:t>РЩЖ и ПKP, принимавших ленватиниб, наиболее частьгми нежелательными реакциями со стороны печени являлись повышение активности АЛТ, ACT и концентрации билирубина в крови</w:t>
      </w:r>
      <w:r>
        <w:t xml:space="preserve">. </w:t>
      </w:r>
      <w:r w:rsidRPr="007A48AD">
        <w:t xml:space="preserve">Также у таких пациентов диагностировали печеночную недостаточность и острый гепатит (с частотой менее 1%). В </w:t>
      </w:r>
      <w:r>
        <w:t>большинстве</w:t>
      </w:r>
      <w:r w:rsidRPr="007A48AD">
        <w:t xml:space="preserve"> случаев печеночная недостаточность развивалась у пациентов с прогрессирующим метастатическим поражением печени.</w:t>
      </w:r>
    </w:p>
    <w:p w14:paraId="1AC9496D" w14:textId="76B51F04" w:rsidR="00200EBA" w:rsidRPr="007A48AD" w:rsidRDefault="00200EBA" w:rsidP="006D6682">
      <w:pPr>
        <w:ind w:firstLine="709"/>
      </w:pPr>
      <w:r w:rsidRPr="007A48AD">
        <w:t xml:space="preserve">Нежелательные реакции со стороны печени, включая печеночную энцефалопатию и печеночную недостаточность (в том числе с фатальным исходом), с более высокой частотой сообщались у пациентов с ГЦР, принимавших ленватиниб, в сравнении с пациентами с </w:t>
      </w:r>
      <w:r w:rsidR="001D6DEA">
        <w:t>дифференцированным</w:t>
      </w:r>
      <w:r w:rsidR="001D6DEA" w:rsidRPr="007A48AD" w:rsidDel="001D6DEA">
        <w:t xml:space="preserve"> </w:t>
      </w:r>
      <w:r w:rsidRPr="007A48AD">
        <w:t>РЩЖ и ПKP</w:t>
      </w:r>
      <w:r>
        <w:t xml:space="preserve">. </w:t>
      </w:r>
      <w:r w:rsidRPr="007A48AD">
        <w:t>Пациенты с более тяжелыми нарушениями функций печени и/или большей опухолевой нагрузкой на печень</w:t>
      </w:r>
      <w:r>
        <w:t xml:space="preserve"> </w:t>
      </w:r>
      <w:r w:rsidRPr="007A48AD">
        <w:t>на исходном уровне имели более высокий риск развития печеночной энцефалопатии и печеночной недостаточности. Также с более высокой частотой печеночная энцефалопатия наблюдалась у пациентов в возрасте 75 лет и старше. Приблизительно половина всех случаев печеночной недостаточности отмечалась у пациентов с прогрессированием заболевания.</w:t>
      </w:r>
    </w:p>
    <w:p w14:paraId="37129E55" w14:textId="00667079" w:rsidR="00200EBA" w:rsidRPr="007A48AD" w:rsidRDefault="00200EBA" w:rsidP="006D6682">
      <w:pPr>
        <w:ind w:firstLine="709"/>
      </w:pPr>
      <w:r w:rsidRPr="007A48AD">
        <w:t xml:space="preserve">Исследование показателей функции печени должно проводиться до начала лечения, в течение первых двух месяцев лечения </w:t>
      </w:r>
      <w:r w:rsidR="00DA03A1" w:rsidRPr="00DA03A1">
        <w:t>‒</w:t>
      </w:r>
      <w:r w:rsidRPr="007A48AD">
        <w:t xml:space="preserve"> каждые 2 недели, затем </w:t>
      </w:r>
      <w:r w:rsidR="005C7FDE" w:rsidRPr="005C7FDE">
        <w:t>‒</w:t>
      </w:r>
      <w:r w:rsidRPr="007A48AD">
        <w:t xml:space="preserve"> ежемесячно на протяжении всего периода лечения. У пациентов с ГЦР должен проводиться мониторинг функции печени, включая печеночную энцефалопатию. В случае возникновения признаков </w:t>
      </w:r>
      <w:r w:rsidRPr="007A48AD">
        <w:lastRenderedPageBreak/>
        <w:t>гепатотоксического действия может потребоваться временное прекращение лечения, коррекция дозы препарата или его полная отмена (см. раздел «</w:t>
      </w:r>
      <w:r w:rsidRPr="005C7FDE">
        <w:t>Способ применения и дозы</w:t>
      </w:r>
      <w:r w:rsidRPr="007A48AD">
        <w:t>»).</w:t>
      </w:r>
    </w:p>
    <w:p w14:paraId="60510482" w14:textId="525A6648" w:rsidR="00200EBA" w:rsidRPr="005130C1" w:rsidRDefault="00200EBA" w:rsidP="006D6682">
      <w:pPr>
        <w:ind w:firstLine="709"/>
      </w:pPr>
      <w:r w:rsidRPr="007A48AD">
        <w:t xml:space="preserve">У пациентов с любой степенью печеночной недостаточности необходимо тщательно контролировать наличие побочных реакций, связанных с функцией печени. Для пациентов с </w:t>
      </w:r>
      <w:r w:rsidR="005C7FDE">
        <w:t>дифференцированным</w:t>
      </w:r>
      <w:r w:rsidR="005C7FDE" w:rsidRPr="007A48AD" w:rsidDel="005C7FDE">
        <w:t xml:space="preserve"> </w:t>
      </w:r>
      <w:r w:rsidRPr="007A48AD">
        <w:t>РЩЖ и ПKP с тяжелой степенью печеночной недостаточности следует скорректировать начальную дозу ленватиниба. Имеющиеся данные не позволяют сделать рекомендации по дозированию для пациентов с ГЦР и средней печеночной недостаточностью (категория В по Чайлд</w:t>
      </w:r>
      <w:r w:rsidR="005C7FDE" w:rsidRPr="00DA03A1">
        <w:t>‒</w:t>
      </w:r>
      <w:r w:rsidRPr="007A48AD">
        <w:t>Пью). Ленватиниб не изучался у пациентов с ГЦР и тяжелой печеночной недостаточностью (категория С по Чайлд</w:t>
      </w:r>
      <w:r w:rsidR="005C7FDE" w:rsidRPr="00DA03A1">
        <w:t>‒</w:t>
      </w:r>
      <w:r w:rsidRPr="007A48AD">
        <w:t>Пью), поэтому, использование препарата в данной группе не рекомендуется.</w:t>
      </w:r>
    </w:p>
    <w:p w14:paraId="1F26E311" w14:textId="77777777" w:rsidR="00200EBA" w:rsidRDefault="00200EBA" w:rsidP="006D6682">
      <w:pPr>
        <w:widowControl w:val="0"/>
        <w:tabs>
          <w:tab w:val="left" w:pos="8647"/>
        </w:tabs>
        <w:rPr>
          <w:b/>
          <w:i/>
        </w:rPr>
      </w:pPr>
      <w:r>
        <w:rPr>
          <w:b/>
          <w:i/>
        </w:rPr>
        <w:t>Пожилые пациенты</w:t>
      </w:r>
    </w:p>
    <w:p w14:paraId="31E1D5F9" w14:textId="77777777" w:rsidR="00200EBA" w:rsidRPr="001D62FF" w:rsidRDefault="00200EBA" w:rsidP="006D6682">
      <w:pPr>
        <w:pStyle w:val="ab"/>
        <w:shd w:val="clear" w:color="auto" w:fill="FFFFFF"/>
        <w:tabs>
          <w:tab w:val="left" w:pos="8647"/>
        </w:tabs>
        <w:spacing w:before="0" w:beforeAutospacing="0" w:after="0" w:afterAutospacing="0"/>
        <w:ind w:firstLine="709"/>
        <w:jc w:val="both"/>
        <w:rPr>
          <w:bCs/>
          <w:color w:val="000000" w:themeColor="text1"/>
        </w:rPr>
      </w:pPr>
      <w:r w:rsidRPr="001D62FF">
        <w:rPr>
          <w:bCs/>
          <w:color w:val="000000" w:themeColor="text1"/>
        </w:rPr>
        <w:t>Данные у пациентов в возрасте 75 лет и более ограничены. Ленватиниб следует использовать с осторожностью у таких пациентов, учитывая его сниженную переносимость</w:t>
      </w:r>
      <w:r>
        <w:rPr>
          <w:bCs/>
          <w:color w:val="000000" w:themeColor="text1"/>
        </w:rPr>
        <w:t>.</w:t>
      </w:r>
    </w:p>
    <w:p w14:paraId="4D174647" w14:textId="77777777" w:rsidR="00200EBA" w:rsidRPr="005E6358" w:rsidRDefault="00200EBA" w:rsidP="00200EBA">
      <w:pPr>
        <w:pStyle w:val="3"/>
        <w:tabs>
          <w:tab w:val="left" w:pos="8647"/>
        </w:tabs>
        <w:spacing w:after="240"/>
        <w:rPr>
          <w:rFonts w:ascii="Times New Roman" w:hAnsi="Times New Roman"/>
          <w:color w:val="000000" w:themeColor="text1"/>
        </w:rPr>
      </w:pPr>
      <w:bookmarkStart w:id="271" w:name="_Toc126059775"/>
      <w:r w:rsidRPr="005E6358">
        <w:rPr>
          <w:rFonts w:ascii="Times New Roman" w:hAnsi="Times New Roman"/>
          <w:color w:val="000000" w:themeColor="text1"/>
        </w:rPr>
        <w:t>5.3.5. Побочн</w:t>
      </w:r>
      <w:bookmarkEnd w:id="268"/>
      <w:bookmarkEnd w:id="269"/>
      <w:bookmarkEnd w:id="270"/>
      <w:r w:rsidRPr="005E6358">
        <w:rPr>
          <w:rFonts w:ascii="Times New Roman" w:hAnsi="Times New Roman"/>
          <w:color w:val="000000" w:themeColor="text1"/>
        </w:rPr>
        <w:t>ое действие</w:t>
      </w:r>
      <w:bookmarkEnd w:id="271"/>
    </w:p>
    <w:p w14:paraId="10EFF081" w14:textId="77777777" w:rsidR="00200EBA" w:rsidRDefault="00200EBA" w:rsidP="00200EBA">
      <w:pPr>
        <w:widowControl w:val="0"/>
        <w:tabs>
          <w:tab w:val="left" w:pos="8647"/>
        </w:tabs>
        <w:spacing w:before="120" w:after="120"/>
        <w:rPr>
          <w:rFonts w:eastAsia="Times New Roman"/>
          <w:b/>
          <w:lang w:eastAsia="ru-RU" w:bidi="ru-RU"/>
        </w:rPr>
      </w:pPr>
      <w:bookmarkStart w:id="272" w:name="bookmark4"/>
      <w:r>
        <w:rPr>
          <w:rFonts w:eastAsia="Times New Roman"/>
          <w:b/>
          <w:lang w:eastAsia="ru-RU" w:bidi="ru-RU"/>
        </w:rPr>
        <w:t>Обзор профиля безопасности представлен в разделе 4.3.2.</w:t>
      </w:r>
    </w:p>
    <w:p w14:paraId="5FEA4F1E" w14:textId="19C97E12" w:rsidR="00200EBA" w:rsidRDefault="00200EBA" w:rsidP="00200EBA">
      <w:pPr>
        <w:pStyle w:val="ab"/>
        <w:shd w:val="clear" w:color="auto" w:fill="FFFFFF"/>
        <w:spacing w:before="0" w:beforeAutospacing="0" w:after="0" w:afterAutospacing="0"/>
        <w:ind w:firstLine="709"/>
        <w:jc w:val="both"/>
        <w:rPr>
          <w:rFonts w:eastAsia="MS Mincho"/>
          <w:iCs/>
          <w:lang w:eastAsia="en-US"/>
        </w:rPr>
      </w:pPr>
      <w:r w:rsidRPr="00F94C19">
        <w:rPr>
          <w:rFonts w:eastAsia="MS Mincho"/>
          <w:iCs/>
          <w:lang w:eastAsia="en-US"/>
        </w:rPr>
        <w:t>Нежелательные реакции, зарегистрированные у пациентов, получавших лечение ленватинибом</w:t>
      </w:r>
      <w:r>
        <w:rPr>
          <w:rFonts w:eastAsia="MS Mincho"/>
          <w:iCs/>
          <w:lang w:eastAsia="en-US"/>
        </w:rPr>
        <w:t>,</w:t>
      </w:r>
      <w:r w:rsidRPr="00B46BBC">
        <w:rPr>
          <w:rFonts w:eastAsia="MS Mincho"/>
          <w:iCs/>
          <w:lang w:eastAsia="en-US"/>
        </w:rPr>
        <w:t xml:space="preserve"> представлены в Таблице </w:t>
      </w:r>
      <w:r>
        <w:rPr>
          <w:rFonts w:eastAsia="MS Mincho"/>
          <w:iCs/>
          <w:lang w:eastAsia="en-US"/>
        </w:rPr>
        <w:t>5-</w:t>
      </w:r>
      <w:r w:rsidR="008E655A">
        <w:rPr>
          <w:rFonts w:eastAsia="MS Mincho"/>
          <w:iCs/>
          <w:lang w:eastAsia="en-US"/>
        </w:rPr>
        <w:t>4</w:t>
      </w:r>
      <w:r>
        <w:rPr>
          <w:rFonts w:eastAsia="MS Mincho"/>
          <w:iCs/>
          <w:lang w:eastAsia="en-US"/>
        </w:rPr>
        <w:t>.</w:t>
      </w:r>
      <w:r w:rsidRPr="00B46BBC">
        <w:rPr>
          <w:rFonts w:eastAsia="MS Mincho"/>
          <w:iCs/>
          <w:lang w:eastAsia="en-US"/>
        </w:rPr>
        <w:t xml:space="preserve"> </w:t>
      </w:r>
      <w:r w:rsidR="003F106C" w:rsidRPr="00F94C19">
        <w:rPr>
          <w:rFonts w:eastAsia="MS Mincho"/>
          <w:iCs/>
          <w:lang w:eastAsia="en-US"/>
        </w:rPr>
        <w:t>Нежелательные реакции</w:t>
      </w:r>
      <w:r w:rsidR="003F106C" w:rsidRPr="00B46BBC" w:rsidDel="003F106C">
        <w:rPr>
          <w:rFonts w:eastAsia="MS Mincho"/>
          <w:iCs/>
          <w:lang w:eastAsia="en-US"/>
        </w:rPr>
        <w:t xml:space="preserve"> </w:t>
      </w:r>
      <w:r w:rsidRPr="00B46BBC">
        <w:rPr>
          <w:rFonts w:eastAsia="MS Mincho"/>
          <w:iCs/>
          <w:lang w:eastAsia="en-US"/>
        </w:rPr>
        <w:t xml:space="preserve">перечислены в зависимости от системно-органного класса и частоты. В рамках каждой категории частоты </w:t>
      </w:r>
      <w:r w:rsidR="003F106C">
        <w:rPr>
          <w:rFonts w:eastAsia="MS Mincho"/>
          <w:iCs/>
          <w:lang w:eastAsia="en-US"/>
        </w:rPr>
        <w:t>н</w:t>
      </w:r>
      <w:r w:rsidR="003F106C" w:rsidRPr="00F94C19">
        <w:rPr>
          <w:rFonts w:eastAsia="MS Mincho"/>
          <w:iCs/>
          <w:lang w:eastAsia="en-US"/>
        </w:rPr>
        <w:t>ежелательные реакции</w:t>
      </w:r>
      <w:r w:rsidR="003F106C" w:rsidRPr="00B46BBC" w:rsidDel="003F106C">
        <w:rPr>
          <w:rFonts w:eastAsia="MS Mincho"/>
          <w:iCs/>
          <w:lang w:eastAsia="en-US"/>
        </w:rPr>
        <w:t xml:space="preserve"> </w:t>
      </w:r>
      <w:r w:rsidRPr="00B46BBC">
        <w:rPr>
          <w:rFonts w:eastAsia="MS Mincho"/>
          <w:iCs/>
          <w:lang w:eastAsia="en-US"/>
        </w:rPr>
        <w:t xml:space="preserve">представлены в порядке снижения серьёзности. Частоты возникновения </w:t>
      </w:r>
      <w:r w:rsidR="003F106C">
        <w:rPr>
          <w:rFonts w:eastAsia="MS Mincho"/>
          <w:iCs/>
          <w:lang w:eastAsia="en-US"/>
        </w:rPr>
        <w:t>нежелательных реакций</w:t>
      </w:r>
      <w:r w:rsidRPr="00B46BBC">
        <w:rPr>
          <w:rFonts w:eastAsia="MS Mincho"/>
          <w:iCs/>
          <w:lang w:eastAsia="en-US"/>
        </w:rPr>
        <w:t xml:space="preserve"> определены как очень часто (</w:t>
      </w:r>
      <w:r w:rsidR="00202E76">
        <w:rPr>
          <w:rFonts w:eastAsia="MS Mincho"/>
          <w:iCs/>
          <w:lang w:eastAsia="en-US"/>
        </w:rPr>
        <w:t>≥</w:t>
      </w:r>
      <w:r w:rsidRPr="00B46BBC">
        <w:rPr>
          <w:rFonts w:eastAsia="MS Mincho"/>
          <w:iCs/>
          <w:lang w:eastAsia="en-US"/>
        </w:rPr>
        <w:t>1/10), часто (</w:t>
      </w:r>
      <w:r w:rsidR="00202E76">
        <w:rPr>
          <w:rFonts w:eastAsia="MS Mincho"/>
          <w:iCs/>
          <w:lang w:eastAsia="en-US"/>
        </w:rPr>
        <w:t>≥</w:t>
      </w:r>
      <w:r w:rsidRPr="00B46BBC">
        <w:rPr>
          <w:rFonts w:eastAsia="MS Mincho"/>
          <w:iCs/>
          <w:lang w:eastAsia="en-US"/>
        </w:rPr>
        <w:t xml:space="preserve">1/100 </w:t>
      </w:r>
      <w:r w:rsidR="00140D86" w:rsidRPr="00DA03A1">
        <w:t>‒</w:t>
      </w:r>
      <w:r w:rsidRPr="00B46BBC">
        <w:rPr>
          <w:rFonts w:eastAsia="MS Mincho"/>
          <w:iCs/>
          <w:lang w:eastAsia="en-US"/>
        </w:rPr>
        <w:t xml:space="preserve"> &lt;1/10), нечасто (</w:t>
      </w:r>
      <w:r w:rsidR="00202E76">
        <w:rPr>
          <w:rFonts w:eastAsia="MS Mincho"/>
          <w:iCs/>
          <w:lang w:eastAsia="en-US"/>
        </w:rPr>
        <w:t>≥</w:t>
      </w:r>
      <w:r w:rsidRPr="00B46BBC">
        <w:rPr>
          <w:rFonts w:eastAsia="MS Mincho"/>
          <w:iCs/>
          <w:lang w:eastAsia="en-US"/>
        </w:rPr>
        <w:t xml:space="preserve">1/1000 </w:t>
      </w:r>
      <w:r w:rsidR="00140D86" w:rsidRPr="00DA03A1">
        <w:t>‒</w:t>
      </w:r>
      <w:r w:rsidRPr="00B46BBC">
        <w:rPr>
          <w:rFonts w:eastAsia="MS Mincho"/>
          <w:iCs/>
          <w:lang w:eastAsia="en-US"/>
        </w:rPr>
        <w:t xml:space="preserve"> &lt;1/100), редко (от </w:t>
      </w:r>
      <w:r w:rsidR="00202E76">
        <w:rPr>
          <w:rFonts w:eastAsia="MS Mincho"/>
          <w:iCs/>
          <w:lang w:eastAsia="en-US"/>
        </w:rPr>
        <w:t>≥</w:t>
      </w:r>
      <w:r w:rsidRPr="00B46BBC">
        <w:rPr>
          <w:rFonts w:eastAsia="MS Mincho"/>
          <w:iCs/>
          <w:lang w:eastAsia="en-US"/>
        </w:rPr>
        <w:t xml:space="preserve"> 1/10 000 до &lt; 1/1000) и очень редко (&lt; 1/10 000).</w:t>
      </w:r>
    </w:p>
    <w:p w14:paraId="73C7AB5D" w14:textId="77777777" w:rsidR="0079643E" w:rsidRDefault="0079643E" w:rsidP="00200EBA">
      <w:pPr>
        <w:pStyle w:val="ab"/>
        <w:shd w:val="clear" w:color="auto" w:fill="FFFFFF"/>
        <w:spacing w:before="0" w:beforeAutospacing="0" w:after="0" w:afterAutospacing="0"/>
        <w:ind w:firstLine="709"/>
        <w:jc w:val="both"/>
        <w:rPr>
          <w:rFonts w:eastAsia="MS Mincho"/>
          <w:iCs/>
          <w:lang w:eastAsia="en-US"/>
        </w:rPr>
      </w:pPr>
    </w:p>
    <w:p w14:paraId="195067B3" w14:textId="62A8A4D0" w:rsidR="00200EBA" w:rsidRDefault="00200EBA" w:rsidP="00200EBA">
      <w:pPr>
        <w:pStyle w:val="ab"/>
        <w:shd w:val="clear" w:color="auto" w:fill="FFFFFF"/>
        <w:spacing w:before="0" w:beforeAutospacing="0" w:after="0" w:afterAutospacing="0"/>
        <w:jc w:val="both"/>
        <w:rPr>
          <w:b/>
          <w:bCs/>
          <w:color w:val="000000"/>
        </w:rPr>
      </w:pPr>
      <w:r w:rsidRPr="009E26B1">
        <w:rPr>
          <w:b/>
          <w:bCs/>
        </w:rPr>
        <w:t>Таблица 5-</w:t>
      </w:r>
      <w:r w:rsidR="008E655A">
        <w:rPr>
          <w:b/>
          <w:bCs/>
        </w:rPr>
        <w:t>4</w:t>
      </w:r>
      <w:r w:rsidRPr="009E26B1">
        <w:rPr>
          <w:b/>
          <w:bCs/>
        </w:rPr>
        <w:t xml:space="preserve">. </w:t>
      </w:r>
      <w:bookmarkStart w:id="273" w:name="_Hlk118288361"/>
      <w:r w:rsidRPr="00201AD2">
        <w:rPr>
          <w:bCs/>
          <w:color w:val="000000"/>
        </w:rPr>
        <w:t>Нежелательные реакции, зарегистрированные у пациентов, получавших лечение ленватинибом</w:t>
      </w:r>
      <w:bookmarkEnd w:id="273"/>
      <w:r w:rsidR="00201AD2" w:rsidRPr="00201AD2">
        <w:rPr>
          <w:bCs/>
          <w:color w:val="000000"/>
        </w:rPr>
        <w:t>.</w:t>
      </w:r>
    </w:p>
    <w:tbl>
      <w:tblPr>
        <w:tblStyle w:val="a8"/>
        <w:tblW w:w="0" w:type="auto"/>
        <w:tblLook w:val="04A0" w:firstRow="1" w:lastRow="0" w:firstColumn="1" w:lastColumn="0" w:noHBand="0" w:noVBand="1"/>
      </w:tblPr>
      <w:tblGrid>
        <w:gridCol w:w="2199"/>
        <w:gridCol w:w="3569"/>
        <w:gridCol w:w="3578"/>
      </w:tblGrid>
      <w:tr w:rsidR="00200EBA" w14:paraId="389E4D1E" w14:textId="77777777" w:rsidTr="006D6682">
        <w:trPr>
          <w:tblHeader/>
        </w:trPr>
        <w:tc>
          <w:tcPr>
            <w:tcW w:w="2199" w:type="dxa"/>
            <w:shd w:val="clear" w:color="auto" w:fill="D9D9D9" w:themeFill="background1" w:themeFillShade="D9"/>
            <w:vAlign w:val="center"/>
          </w:tcPr>
          <w:p w14:paraId="3CA6FE2B" w14:textId="77777777" w:rsidR="00200EBA" w:rsidRPr="00201AD2" w:rsidRDefault="00200EBA" w:rsidP="006D6682">
            <w:pPr>
              <w:pStyle w:val="ab"/>
              <w:spacing w:before="0" w:beforeAutospacing="0" w:after="0" w:afterAutospacing="0"/>
              <w:jc w:val="center"/>
              <w:rPr>
                <w:b/>
                <w:bCs/>
                <w:color w:val="000000"/>
              </w:rPr>
            </w:pPr>
            <w:r w:rsidRPr="00201AD2">
              <w:rPr>
                <w:b/>
                <w:bCs/>
              </w:rPr>
              <w:t>Класс систем и органов (согласно классификации MedDRA)</w:t>
            </w:r>
          </w:p>
        </w:tc>
        <w:tc>
          <w:tcPr>
            <w:tcW w:w="3569" w:type="dxa"/>
            <w:shd w:val="clear" w:color="auto" w:fill="D9D9D9" w:themeFill="background1" w:themeFillShade="D9"/>
            <w:vAlign w:val="center"/>
          </w:tcPr>
          <w:p w14:paraId="6D717DAD" w14:textId="203E9DD3" w:rsidR="00200EBA" w:rsidRPr="00201AD2" w:rsidRDefault="00200EBA" w:rsidP="006D6682">
            <w:pPr>
              <w:pStyle w:val="ab"/>
              <w:spacing w:before="0" w:beforeAutospacing="0" w:after="0" w:afterAutospacing="0"/>
              <w:jc w:val="center"/>
              <w:rPr>
                <w:b/>
                <w:bCs/>
                <w:color w:val="000000"/>
              </w:rPr>
            </w:pPr>
            <w:r w:rsidRPr="00201AD2">
              <w:rPr>
                <w:b/>
                <w:bCs/>
                <w:color w:val="000000"/>
              </w:rPr>
              <w:t>Монотерапия (Д</w:t>
            </w:r>
            <w:r w:rsidR="003F106C" w:rsidRPr="00201AD2">
              <w:rPr>
                <w:b/>
              </w:rPr>
              <w:t xml:space="preserve">ифференцированный </w:t>
            </w:r>
            <w:r w:rsidRPr="00201AD2">
              <w:rPr>
                <w:b/>
                <w:bCs/>
                <w:color w:val="000000"/>
              </w:rPr>
              <w:t>РЩЖ и ГЦР)/комбинация с эверолимусом (ПKP)</w:t>
            </w:r>
          </w:p>
        </w:tc>
        <w:tc>
          <w:tcPr>
            <w:tcW w:w="3578" w:type="dxa"/>
            <w:shd w:val="clear" w:color="auto" w:fill="D9D9D9" w:themeFill="background1" w:themeFillShade="D9"/>
            <w:vAlign w:val="center"/>
          </w:tcPr>
          <w:p w14:paraId="35EF4FAF" w14:textId="77777777" w:rsidR="00200EBA" w:rsidRPr="00201AD2" w:rsidRDefault="00200EBA" w:rsidP="006D6682">
            <w:pPr>
              <w:pStyle w:val="ab"/>
              <w:spacing w:before="0" w:beforeAutospacing="0" w:after="0" w:afterAutospacing="0"/>
              <w:jc w:val="center"/>
              <w:rPr>
                <w:b/>
                <w:bCs/>
                <w:color w:val="000000"/>
              </w:rPr>
            </w:pPr>
            <w:r w:rsidRPr="00201AD2">
              <w:rPr>
                <w:b/>
                <w:bCs/>
                <w:color w:val="000000"/>
              </w:rPr>
              <w:t>Комбинация с пембролизумабом</w:t>
            </w:r>
          </w:p>
          <w:p w14:paraId="38D0AD8A" w14:textId="77777777" w:rsidR="00200EBA" w:rsidRPr="00201AD2" w:rsidRDefault="00200EBA" w:rsidP="006D6682">
            <w:pPr>
              <w:pStyle w:val="ab"/>
              <w:spacing w:before="0" w:beforeAutospacing="0" w:after="0" w:afterAutospacing="0"/>
              <w:jc w:val="center"/>
              <w:rPr>
                <w:b/>
                <w:bCs/>
                <w:color w:val="000000"/>
              </w:rPr>
            </w:pPr>
            <w:r w:rsidRPr="00201AD2">
              <w:rPr>
                <w:b/>
                <w:bCs/>
                <w:color w:val="000000"/>
              </w:rPr>
              <w:t>(ПKP и РЭ)</w:t>
            </w:r>
          </w:p>
        </w:tc>
      </w:tr>
      <w:tr w:rsidR="008B465A" w14:paraId="29C6B833" w14:textId="77777777" w:rsidTr="006D6682">
        <w:tc>
          <w:tcPr>
            <w:tcW w:w="9346" w:type="dxa"/>
            <w:gridSpan w:val="3"/>
            <w:vAlign w:val="center"/>
          </w:tcPr>
          <w:p w14:paraId="5C43A2BB" w14:textId="06458771" w:rsidR="008B465A" w:rsidRPr="000D1198" w:rsidRDefault="008B465A" w:rsidP="006D6682">
            <w:pPr>
              <w:pStyle w:val="ab"/>
              <w:jc w:val="center"/>
              <w:rPr>
                <w:b/>
                <w:bCs/>
                <w:color w:val="000000"/>
              </w:rPr>
            </w:pPr>
            <w:r>
              <w:rPr>
                <w:b/>
                <w:bCs/>
              </w:rPr>
              <w:t>Инфекции и инвазии</w:t>
            </w:r>
          </w:p>
        </w:tc>
      </w:tr>
      <w:tr w:rsidR="00200EBA" w14:paraId="50DEF899" w14:textId="77777777" w:rsidTr="006D6682">
        <w:tc>
          <w:tcPr>
            <w:tcW w:w="2199" w:type="dxa"/>
            <w:vAlign w:val="center"/>
          </w:tcPr>
          <w:p w14:paraId="47955551" w14:textId="77777777" w:rsidR="00200EBA" w:rsidRPr="000D1198" w:rsidRDefault="00200EBA" w:rsidP="006D6682">
            <w:pPr>
              <w:pStyle w:val="ab"/>
              <w:spacing w:before="0" w:beforeAutospacing="0" w:after="0" w:afterAutospacing="0"/>
              <w:jc w:val="center"/>
              <w:rPr>
                <w:b/>
                <w:bCs/>
              </w:rPr>
            </w:pPr>
            <w:r>
              <w:t>Очень часто</w:t>
            </w:r>
          </w:p>
        </w:tc>
        <w:tc>
          <w:tcPr>
            <w:tcW w:w="3569" w:type="dxa"/>
            <w:vAlign w:val="center"/>
          </w:tcPr>
          <w:p w14:paraId="46F6E7A1" w14:textId="77777777" w:rsidR="00200EBA" w:rsidRPr="002D2DC7" w:rsidRDefault="00200EBA" w:rsidP="006D6682">
            <w:pPr>
              <w:pStyle w:val="ab"/>
              <w:spacing w:before="0" w:beforeAutospacing="0" w:after="0" w:afterAutospacing="0"/>
              <w:jc w:val="center"/>
              <w:rPr>
                <w:color w:val="000000"/>
              </w:rPr>
            </w:pPr>
            <w:r w:rsidRPr="002D2DC7">
              <w:rPr>
                <w:color w:val="000000"/>
              </w:rPr>
              <w:t>Инфекции мочевыводяших путей</w:t>
            </w:r>
          </w:p>
        </w:tc>
        <w:tc>
          <w:tcPr>
            <w:tcW w:w="3578" w:type="dxa"/>
            <w:vAlign w:val="center"/>
          </w:tcPr>
          <w:p w14:paraId="0920F837" w14:textId="77777777" w:rsidR="00200EBA" w:rsidRPr="002D2DC7" w:rsidRDefault="00200EBA" w:rsidP="006D6682">
            <w:pPr>
              <w:pStyle w:val="ab"/>
              <w:jc w:val="center"/>
              <w:rPr>
                <w:color w:val="000000"/>
              </w:rPr>
            </w:pPr>
            <w:r w:rsidRPr="002D2DC7">
              <w:rPr>
                <w:color w:val="000000"/>
              </w:rPr>
              <w:t>Инфекции мочевыводяших путей</w:t>
            </w:r>
          </w:p>
        </w:tc>
      </w:tr>
      <w:tr w:rsidR="00200EBA" w14:paraId="70FBD031" w14:textId="77777777" w:rsidTr="006D6682">
        <w:tc>
          <w:tcPr>
            <w:tcW w:w="2199" w:type="dxa"/>
            <w:vAlign w:val="center"/>
          </w:tcPr>
          <w:p w14:paraId="14F3DC47" w14:textId="77777777" w:rsidR="00200EBA" w:rsidRPr="002D2DC7" w:rsidRDefault="00200EBA" w:rsidP="006D6682">
            <w:pPr>
              <w:pStyle w:val="ab"/>
              <w:spacing w:before="0" w:beforeAutospacing="0" w:after="0" w:afterAutospacing="0"/>
              <w:jc w:val="center"/>
            </w:pPr>
            <w:r w:rsidRPr="002D2DC7">
              <w:t>Нечасто</w:t>
            </w:r>
          </w:p>
        </w:tc>
        <w:tc>
          <w:tcPr>
            <w:tcW w:w="3569" w:type="dxa"/>
            <w:vAlign w:val="center"/>
          </w:tcPr>
          <w:p w14:paraId="6A564956" w14:textId="77777777" w:rsidR="00200EBA" w:rsidRPr="002D2DC7" w:rsidRDefault="00200EBA" w:rsidP="006D6682">
            <w:pPr>
              <w:pStyle w:val="ab"/>
              <w:spacing w:before="0" w:beforeAutospacing="0" w:after="0" w:afterAutospacing="0"/>
              <w:jc w:val="center"/>
              <w:rPr>
                <w:color w:val="000000"/>
              </w:rPr>
            </w:pPr>
            <w:r w:rsidRPr="002D2DC7">
              <w:rPr>
                <w:color w:val="000000"/>
              </w:rPr>
              <w:t>Перинеальный абсцесс</w:t>
            </w:r>
          </w:p>
        </w:tc>
        <w:tc>
          <w:tcPr>
            <w:tcW w:w="3578" w:type="dxa"/>
            <w:vAlign w:val="center"/>
          </w:tcPr>
          <w:p w14:paraId="0B485544" w14:textId="77777777" w:rsidR="00200EBA" w:rsidRPr="002D2DC7" w:rsidRDefault="00200EBA" w:rsidP="006D6682">
            <w:pPr>
              <w:pStyle w:val="ab"/>
              <w:jc w:val="center"/>
              <w:rPr>
                <w:color w:val="000000"/>
              </w:rPr>
            </w:pPr>
          </w:p>
        </w:tc>
      </w:tr>
      <w:tr w:rsidR="008B465A" w14:paraId="5EB81E92" w14:textId="77777777" w:rsidTr="006D6682">
        <w:tc>
          <w:tcPr>
            <w:tcW w:w="9346" w:type="dxa"/>
            <w:gridSpan w:val="3"/>
            <w:vAlign w:val="center"/>
          </w:tcPr>
          <w:p w14:paraId="27DCDA86" w14:textId="556B2A11" w:rsidR="008B465A" w:rsidRPr="002D2DC7" w:rsidRDefault="008B465A" w:rsidP="006D6682">
            <w:pPr>
              <w:pStyle w:val="ab"/>
              <w:spacing w:before="0" w:beforeAutospacing="0" w:after="0" w:afterAutospacing="0"/>
              <w:jc w:val="center"/>
              <w:rPr>
                <w:color w:val="000000"/>
              </w:rPr>
            </w:pPr>
            <w:r>
              <w:rPr>
                <w:b/>
                <w:bCs/>
              </w:rPr>
              <w:t>Нарушения со стороны крови и лимфатической системы</w:t>
            </w:r>
          </w:p>
        </w:tc>
      </w:tr>
      <w:tr w:rsidR="00200EBA" w14:paraId="60FC5350" w14:textId="77777777" w:rsidTr="006D6682">
        <w:tc>
          <w:tcPr>
            <w:tcW w:w="2199" w:type="dxa"/>
            <w:vAlign w:val="center"/>
          </w:tcPr>
          <w:p w14:paraId="5879A359" w14:textId="77777777" w:rsidR="00200EBA" w:rsidRPr="002D2DC7" w:rsidRDefault="00200EBA" w:rsidP="006D6682">
            <w:pPr>
              <w:pStyle w:val="ab"/>
              <w:spacing w:before="0" w:beforeAutospacing="0" w:after="0" w:afterAutospacing="0"/>
              <w:jc w:val="center"/>
            </w:pPr>
            <w:r w:rsidRPr="002D2DC7">
              <w:t>Очень часто</w:t>
            </w:r>
          </w:p>
        </w:tc>
        <w:tc>
          <w:tcPr>
            <w:tcW w:w="3569" w:type="dxa"/>
            <w:vAlign w:val="center"/>
          </w:tcPr>
          <w:p w14:paraId="4D7C8524" w14:textId="403FBAD0" w:rsidR="00200EBA" w:rsidRPr="002D2DC7" w:rsidRDefault="00200EBA" w:rsidP="006D6682">
            <w:pPr>
              <w:pStyle w:val="ab"/>
              <w:spacing w:before="0" w:beforeAutospacing="0" w:after="0" w:afterAutospacing="0"/>
              <w:jc w:val="center"/>
              <w:rPr>
                <w:color w:val="000000"/>
              </w:rPr>
            </w:pPr>
            <w:r w:rsidRPr="002D2DC7">
              <w:rPr>
                <w:color w:val="000000"/>
              </w:rPr>
              <w:t>Тромбоцитопения</w:t>
            </w:r>
            <w:r w:rsidR="00977A82" w:rsidRPr="00D050C7">
              <w:rPr>
                <w:color w:val="000000"/>
                <w:vertAlign w:val="superscript"/>
              </w:rPr>
              <w:t>а</w:t>
            </w:r>
          </w:p>
          <w:p w14:paraId="3D0CA0ED" w14:textId="419BF064" w:rsidR="00200EBA" w:rsidRPr="002D2DC7" w:rsidRDefault="00200EBA" w:rsidP="006D6682">
            <w:pPr>
              <w:pStyle w:val="ab"/>
              <w:spacing w:before="0" w:beforeAutospacing="0" w:after="0" w:afterAutospacing="0"/>
              <w:jc w:val="center"/>
              <w:rPr>
                <w:color w:val="000000"/>
              </w:rPr>
            </w:pPr>
            <w:r w:rsidRPr="002D2DC7">
              <w:rPr>
                <w:color w:val="000000"/>
              </w:rPr>
              <w:t>Лейкопения</w:t>
            </w:r>
            <w:r w:rsidR="00D0446E" w:rsidRPr="001F02F5">
              <w:rPr>
                <w:color w:val="000000"/>
                <w:vertAlign w:val="superscript"/>
              </w:rPr>
              <w:t>а</w:t>
            </w:r>
          </w:p>
          <w:p w14:paraId="28867EB0" w14:textId="5012C277" w:rsidR="00200EBA" w:rsidRPr="000D1198" w:rsidRDefault="00200EBA" w:rsidP="006D6682">
            <w:pPr>
              <w:pStyle w:val="ab"/>
              <w:spacing w:before="0" w:beforeAutospacing="0" w:after="0" w:afterAutospacing="0"/>
              <w:jc w:val="center"/>
              <w:rPr>
                <w:b/>
                <w:bCs/>
                <w:color w:val="000000"/>
              </w:rPr>
            </w:pPr>
            <w:r w:rsidRPr="002D2DC7">
              <w:rPr>
                <w:color w:val="000000"/>
              </w:rPr>
              <w:t>Heйтpoпeния</w:t>
            </w:r>
            <w:r w:rsidR="00977A82" w:rsidRPr="001F02F5">
              <w:rPr>
                <w:color w:val="000000"/>
                <w:vertAlign w:val="superscript"/>
              </w:rPr>
              <w:t>а</w:t>
            </w:r>
          </w:p>
        </w:tc>
        <w:tc>
          <w:tcPr>
            <w:tcW w:w="3578" w:type="dxa"/>
            <w:vAlign w:val="center"/>
          </w:tcPr>
          <w:p w14:paraId="47E178FD" w14:textId="77777777" w:rsidR="00E617E8" w:rsidRDefault="00200EBA" w:rsidP="006D6682">
            <w:pPr>
              <w:pStyle w:val="ab"/>
              <w:spacing w:before="0" w:beforeAutospacing="0" w:after="0" w:afterAutospacing="0"/>
              <w:jc w:val="center"/>
              <w:rPr>
                <w:color w:val="000000"/>
                <w:vertAlign w:val="superscript"/>
              </w:rPr>
            </w:pPr>
            <w:r w:rsidRPr="002D2DC7">
              <w:rPr>
                <w:color w:val="000000"/>
              </w:rPr>
              <w:t>Тромбоцитопения</w:t>
            </w:r>
            <w:r w:rsidR="00977A82" w:rsidRPr="001F02F5">
              <w:rPr>
                <w:color w:val="000000"/>
                <w:vertAlign w:val="superscript"/>
              </w:rPr>
              <w:t>а</w:t>
            </w:r>
          </w:p>
          <w:p w14:paraId="6737C137" w14:textId="60F23B80" w:rsidR="00200EBA" w:rsidRPr="000D1198" w:rsidRDefault="00200EBA" w:rsidP="006D6682">
            <w:pPr>
              <w:pStyle w:val="ab"/>
              <w:spacing w:before="0" w:beforeAutospacing="0" w:after="0" w:afterAutospacing="0"/>
              <w:jc w:val="center"/>
              <w:rPr>
                <w:b/>
                <w:bCs/>
                <w:color w:val="000000"/>
              </w:rPr>
            </w:pPr>
            <w:r w:rsidRPr="002D2DC7">
              <w:rPr>
                <w:color w:val="000000"/>
              </w:rPr>
              <w:t>Heйтpoпeния</w:t>
            </w:r>
            <w:r w:rsidR="00977A82" w:rsidRPr="001F02F5">
              <w:rPr>
                <w:color w:val="000000"/>
                <w:vertAlign w:val="superscript"/>
              </w:rPr>
              <w:t>а</w:t>
            </w:r>
          </w:p>
        </w:tc>
      </w:tr>
      <w:tr w:rsidR="00200EBA" w14:paraId="30F37257" w14:textId="77777777" w:rsidTr="0054382D">
        <w:trPr>
          <w:trHeight w:val="64"/>
        </w:trPr>
        <w:tc>
          <w:tcPr>
            <w:tcW w:w="2199" w:type="dxa"/>
            <w:vAlign w:val="center"/>
          </w:tcPr>
          <w:p w14:paraId="4B151953" w14:textId="77777777" w:rsidR="00200EBA" w:rsidRPr="002D2DC7" w:rsidRDefault="00200EBA" w:rsidP="006D6682">
            <w:pPr>
              <w:pStyle w:val="ab"/>
              <w:spacing w:before="0" w:beforeAutospacing="0" w:after="0" w:afterAutospacing="0"/>
              <w:jc w:val="center"/>
            </w:pPr>
            <w:r w:rsidRPr="002D2DC7">
              <w:t>Часто</w:t>
            </w:r>
          </w:p>
        </w:tc>
        <w:tc>
          <w:tcPr>
            <w:tcW w:w="3569" w:type="dxa"/>
            <w:vAlign w:val="center"/>
          </w:tcPr>
          <w:p w14:paraId="03796943" w14:textId="262D493B" w:rsidR="00200EBA" w:rsidRPr="000D1198" w:rsidRDefault="00200EBA" w:rsidP="006D6682">
            <w:pPr>
              <w:pStyle w:val="ab"/>
              <w:spacing w:before="0" w:beforeAutospacing="0" w:after="0" w:afterAutospacing="0"/>
              <w:jc w:val="center"/>
              <w:rPr>
                <w:b/>
                <w:bCs/>
                <w:color w:val="000000"/>
              </w:rPr>
            </w:pPr>
            <w:r w:rsidRPr="002D2DC7">
              <w:rPr>
                <w:color w:val="000000"/>
              </w:rPr>
              <w:t>Лимфопения</w:t>
            </w:r>
            <w:r w:rsidR="00977A82" w:rsidRPr="001F02F5">
              <w:rPr>
                <w:color w:val="000000"/>
                <w:vertAlign w:val="superscript"/>
              </w:rPr>
              <w:t>а</w:t>
            </w:r>
          </w:p>
        </w:tc>
        <w:tc>
          <w:tcPr>
            <w:tcW w:w="3578" w:type="dxa"/>
            <w:vAlign w:val="center"/>
          </w:tcPr>
          <w:p w14:paraId="63C7D63A" w14:textId="448CCE58" w:rsidR="00200EBA" w:rsidRPr="002D2DC7" w:rsidRDefault="0082285B" w:rsidP="006D6682">
            <w:pPr>
              <w:pStyle w:val="ab"/>
              <w:spacing w:before="0" w:beforeAutospacing="0" w:after="0" w:afterAutospacing="0"/>
              <w:jc w:val="center"/>
              <w:rPr>
                <w:color w:val="000000"/>
              </w:rPr>
            </w:pPr>
            <w:r>
              <w:rPr>
                <w:color w:val="000000"/>
              </w:rPr>
              <w:t>Лимфо</w:t>
            </w:r>
            <w:r w:rsidRPr="002D2DC7">
              <w:rPr>
                <w:color w:val="000000"/>
              </w:rPr>
              <w:t>пения</w:t>
            </w:r>
            <w:r w:rsidRPr="001F02F5">
              <w:rPr>
                <w:color w:val="000000"/>
                <w:vertAlign w:val="superscript"/>
              </w:rPr>
              <w:t>а</w:t>
            </w:r>
          </w:p>
          <w:p w14:paraId="04725354" w14:textId="439AEDFC" w:rsidR="00200EBA" w:rsidRPr="000D1198" w:rsidRDefault="00200EBA" w:rsidP="006D6682">
            <w:pPr>
              <w:pStyle w:val="ab"/>
              <w:spacing w:before="0" w:beforeAutospacing="0" w:after="0" w:afterAutospacing="0"/>
              <w:jc w:val="center"/>
              <w:rPr>
                <w:b/>
                <w:bCs/>
                <w:color w:val="000000"/>
              </w:rPr>
            </w:pPr>
            <w:r w:rsidRPr="002D2DC7">
              <w:rPr>
                <w:color w:val="000000"/>
              </w:rPr>
              <w:t>Лейкопения</w:t>
            </w:r>
            <w:r w:rsidR="00977A82" w:rsidRPr="001F02F5">
              <w:rPr>
                <w:color w:val="000000"/>
                <w:vertAlign w:val="superscript"/>
              </w:rPr>
              <w:t>а</w:t>
            </w:r>
          </w:p>
        </w:tc>
      </w:tr>
      <w:tr w:rsidR="00200EBA" w14:paraId="6F98E4B4" w14:textId="77777777" w:rsidTr="006D6682">
        <w:tc>
          <w:tcPr>
            <w:tcW w:w="2199" w:type="dxa"/>
            <w:vAlign w:val="center"/>
          </w:tcPr>
          <w:p w14:paraId="06764F9F" w14:textId="77777777" w:rsidR="00200EBA" w:rsidRPr="002D2DC7" w:rsidRDefault="00200EBA" w:rsidP="006D6682">
            <w:pPr>
              <w:pStyle w:val="ab"/>
              <w:spacing w:before="0" w:beforeAutospacing="0" w:after="0" w:afterAutospacing="0"/>
              <w:jc w:val="center"/>
            </w:pPr>
            <w:r w:rsidRPr="002D2DC7">
              <w:t>Нечасто</w:t>
            </w:r>
          </w:p>
        </w:tc>
        <w:tc>
          <w:tcPr>
            <w:tcW w:w="3569" w:type="dxa"/>
            <w:vAlign w:val="center"/>
          </w:tcPr>
          <w:p w14:paraId="03D93C57" w14:textId="77777777" w:rsidR="00200EBA" w:rsidRPr="002D2DC7" w:rsidRDefault="00200EBA" w:rsidP="006D6682">
            <w:pPr>
              <w:pStyle w:val="ab"/>
              <w:spacing w:before="0" w:beforeAutospacing="0" w:after="0" w:afterAutospacing="0"/>
              <w:jc w:val="center"/>
              <w:rPr>
                <w:color w:val="000000"/>
              </w:rPr>
            </w:pPr>
            <w:r w:rsidRPr="002D2DC7">
              <w:rPr>
                <w:color w:val="000000"/>
              </w:rPr>
              <w:t>Инфаркт селезенки</w:t>
            </w:r>
          </w:p>
        </w:tc>
        <w:tc>
          <w:tcPr>
            <w:tcW w:w="3578" w:type="dxa"/>
            <w:vAlign w:val="center"/>
          </w:tcPr>
          <w:p w14:paraId="3FEC8436" w14:textId="77777777" w:rsidR="00200EBA" w:rsidRPr="000D1198" w:rsidRDefault="00200EBA" w:rsidP="006D6682">
            <w:pPr>
              <w:pStyle w:val="ab"/>
              <w:jc w:val="center"/>
              <w:rPr>
                <w:b/>
                <w:bCs/>
                <w:color w:val="000000"/>
              </w:rPr>
            </w:pPr>
          </w:p>
        </w:tc>
      </w:tr>
      <w:tr w:rsidR="008B465A" w14:paraId="5F514C87" w14:textId="77777777" w:rsidTr="006D6682">
        <w:tc>
          <w:tcPr>
            <w:tcW w:w="9346" w:type="dxa"/>
            <w:gridSpan w:val="3"/>
            <w:vAlign w:val="center"/>
          </w:tcPr>
          <w:p w14:paraId="71E0FCDB" w14:textId="64052623" w:rsidR="008B465A" w:rsidRPr="000D1198" w:rsidRDefault="008B465A" w:rsidP="006D6682">
            <w:pPr>
              <w:pStyle w:val="ab"/>
              <w:jc w:val="center"/>
              <w:rPr>
                <w:b/>
                <w:bCs/>
                <w:color w:val="000000"/>
              </w:rPr>
            </w:pPr>
            <w:r>
              <w:rPr>
                <w:b/>
                <w:bCs/>
              </w:rPr>
              <w:t>Эндокринные нарушения</w:t>
            </w:r>
          </w:p>
        </w:tc>
      </w:tr>
      <w:tr w:rsidR="00200EBA" w14:paraId="105DFF5B" w14:textId="77777777" w:rsidTr="006D6682">
        <w:tc>
          <w:tcPr>
            <w:tcW w:w="2199" w:type="dxa"/>
            <w:vAlign w:val="center"/>
          </w:tcPr>
          <w:p w14:paraId="4CF1C842"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729C776C" w14:textId="68D4D3F8" w:rsidR="00200EBA" w:rsidRPr="002D2DC7" w:rsidRDefault="00200EBA" w:rsidP="006D6682">
            <w:pPr>
              <w:pStyle w:val="ab"/>
              <w:spacing w:before="0" w:beforeAutospacing="0" w:after="0" w:afterAutospacing="0"/>
              <w:jc w:val="center"/>
              <w:rPr>
                <w:color w:val="000000"/>
              </w:rPr>
            </w:pPr>
            <w:r w:rsidRPr="002D2DC7">
              <w:rPr>
                <w:color w:val="000000"/>
              </w:rPr>
              <w:t>Гипотиреоз, нарушение уровня ТТГ</w:t>
            </w:r>
          </w:p>
        </w:tc>
        <w:tc>
          <w:tcPr>
            <w:tcW w:w="3578" w:type="dxa"/>
            <w:vAlign w:val="center"/>
          </w:tcPr>
          <w:p w14:paraId="779E5634" w14:textId="47D4AE4E" w:rsidR="00200EBA" w:rsidRPr="002D2DC7" w:rsidRDefault="00200EBA" w:rsidP="006D6682">
            <w:pPr>
              <w:pStyle w:val="ab"/>
              <w:jc w:val="center"/>
              <w:rPr>
                <w:color w:val="000000"/>
              </w:rPr>
            </w:pPr>
            <w:r w:rsidRPr="002D2DC7">
              <w:rPr>
                <w:color w:val="000000"/>
              </w:rPr>
              <w:t>Гипотиреоз, нарушение уровня ТТГ</w:t>
            </w:r>
          </w:p>
        </w:tc>
      </w:tr>
      <w:tr w:rsidR="008B465A" w14:paraId="676160FD" w14:textId="77777777" w:rsidTr="006D6682">
        <w:tc>
          <w:tcPr>
            <w:tcW w:w="9346" w:type="dxa"/>
            <w:gridSpan w:val="3"/>
            <w:vAlign w:val="center"/>
          </w:tcPr>
          <w:p w14:paraId="7F6BD899" w14:textId="3C1F206A" w:rsidR="008B465A" w:rsidRPr="000D1198" w:rsidRDefault="008B465A" w:rsidP="006D6682">
            <w:pPr>
              <w:pStyle w:val="ab"/>
              <w:jc w:val="center"/>
              <w:rPr>
                <w:b/>
                <w:bCs/>
                <w:color w:val="000000"/>
              </w:rPr>
            </w:pPr>
            <w:r>
              <w:rPr>
                <w:b/>
                <w:bCs/>
              </w:rPr>
              <w:t>Нарушения метаболизма и питания</w:t>
            </w:r>
          </w:p>
        </w:tc>
      </w:tr>
      <w:tr w:rsidR="00200EBA" w14:paraId="1AD7CB41" w14:textId="77777777" w:rsidTr="006D6682">
        <w:tc>
          <w:tcPr>
            <w:tcW w:w="2199" w:type="dxa"/>
            <w:vAlign w:val="center"/>
          </w:tcPr>
          <w:p w14:paraId="1DD2AA0C" w14:textId="77777777" w:rsidR="00200EBA" w:rsidRPr="000D1198" w:rsidRDefault="00200EBA" w:rsidP="006D6682">
            <w:pPr>
              <w:pStyle w:val="ab"/>
              <w:spacing w:before="0" w:beforeAutospacing="0" w:after="0" w:afterAutospacing="0"/>
              <w:jc w:val="center"/>
              <w:rPr>
                <w:b/>
                <w:bCs/>
              </w:rPr>
            </w:pPr>
            <w:r w:rsidRPr="002D2DC7">
              <w:lastRenderedPageBreak/>
              <w:t>Очень часто</w:t>
            </w:r>
          </w:p>
        </w:tc>
        <w:tc>
          <w:tcPr>
            <w:tcW w:w="3569" w:type="dxa"/>
            <w:vAlign w:val="center"/>
          </w:tcPr>
          <w:p w14:paraId="35D2438F" w14:textId="452FBEAD" w:rsidR="00200EBA" w:rsidRPr="00DD7555" w:rsidRDefault="00200EBA" w:rsidP="006D6682">
            <w:pPr>
              <w:pStyle w:val="ab"/>
              <w:spacing w:before="0" w:beforeAutospacing="0" w:after="0" w:afterAutospacing="0"/>
              <w:jc w:val="center"/>
              <w:rPr>
                <w:color w:val="000000"/>
              </w:rPr>
            </w:pPr>
            <w:r w:rsidRPr="00DD7555">
              <w:rPr>
                <w:color w:val="000000"/>
              </w:rPr>
              <w:t>Гипокальциемия</w:t>
            </w:r>
          </w:p>
          <w:p w14:paraId="5E769D70" w14:textId="3D5FE06D" w:rsidR="00200EBA" w:rsidRPr="00DD7555" w:rsidRDefault="00200EBA" w:rsidP="006D6682">
            <w:pPr>
              <w:pStyle w:val="ab"/>
              <w:spacing w:before="0" w:beforeAutospacing="0" w:after="0" w:afterAutospacing="0"/>
              <w:jc w:val="center"/>
              <w:rPr>
                <w:color w:val="000000"/>
              </w:rPr>
            </w:pPr>
            <w:r w:rsidRPr="00DD7555">
              <w:rPr>
                <w:color w:val="000000"/>
              </w:rPr>
              <w:t>Гиперхолестеринемия</w:t>
            </w:r>
            <w:r w:rsidR="00977A82" w:rsidRPr="00D050C7">
              <w:rPr>
                <w:color w:val="000000"/>
                <w:vertAlign w:val="superscript"/>
                <w:lang w:val="en-US"/>
              </w:rPr>
              <w:t>b</w:t>
            </w:r>
            <w:r w:rsidRPr="00D050C7">
              <w:rPr>
                <w:color w:val="000000"/>
                <w:vertAlign w:val="superscript"/>
              </w:rPr>
              <w:t xml:space="preserve"> </w:t>
            </w:r>
            <w:r w:rsidRPr="00DD7555">
              <w:rPr>
                <w:color w:val="000000"/>
              </w:rPr>
              <w:t>Гипокалиемия</w:t>
            </w:r>
          </w:p>
          <w:p w14:paraId="0782BF63" w14:textId="77777777" w:rsidR="00200EBA" w:rsidRPr="00DD7555" w:rsidRDefault="00200EBA" w:rsidP="006D6682">
            <w:pPr>
              <w:pStyle w:val="ab"/>
              <w:spacing w:before="0" w:beforeAutospacing="0" w:after="0" w:afterAutospacing="0"/>
              <w:jc w:val="center"/>
              <w:rPr>
                <w:color w:val="000000"/>
              </w:rPr>
            </w:pPr>
            <w:r w:rsidRPr="00DD7555">
              <w:rPr>
                <w:color w:val="000000"/>
              </w:rPr>
              <w:t>Снижение массы тела</w:t>
            </w:r>
          </w:p>
          <w:p w14:paraId="3DF4E972" w14:textId="77777777" w:rsidR="00200EBA" w:rsidRPr="000D1198" w:rsidRDefault="00200EBA" w:rsidP="006D6682">
            <w:pPr>
              <w:pStyle w:val="ab"/>
              <w:spacing w:before="0" w:beforeAutospacing="0" w:after="0" w:afterAutospacing="0"/>
              <w:jc w:val="center"/>
              <w:rPr>
                <w:b/>
                <w:bCs/>
                <w:color w:val="000000"/>
              </w:rPr>
            </w:pPr>
            <w:r w:rsidRPr="00DD7555">
              <w:rPr>
                <w:color w:val="000000"/>
              </w:rPr>
              <w:t>Снижение аппетита</w:t>
            </w:r>
          </w:p>
        </w:tc>
        <w:tc>
          <w:tcPr>
            <w:tcW w:w="3578" w:type="dxa"/>
            <w:vAlign w:val="center"/>
          </w:tcPr>
          <w:p w14:paraId="77AC81E5" w14:textId="22317B0F" w:rsidR="00200EBA" w:rsidRPr="00DD7555" w:rsidRDefault="00200EBA" w:rsidP="006D6682">
            <w:pPr>
              <w:pStyle w:val="ab"/>
              <w:spacing w:before="0" w:beforeAutospacing="0" w:after="0" w:afterAutospacing="0"/>
              <w:jc w:val="center"/>
              <w:rPr>
                <w:color w:val="000000"/>
              </w:rPr>
            </w:pPr>
            <w:r w:rsidRPr="00DD7555">
              <w:rPr>
                <w:color w:val="000000"/>
              </w:rPr>
              <w:t>Гипо</w:t>
            </w:r>
            <w:r w:rsidR="00061F02">
              <w:rPr>
                <w:color w:val="000000"/>
              </w:rPr>
              <w:t>магн</w:t>
            </w:r>
            <w:r w:rsidRPr="00DD7555">
              <w:rPr>
                <w:color w:val="000000"/>
              </w:rPr>
              <w:t>иемия</w:t>
            </w:r>
            <w:r w:rsidR="00061F02" w:rsidRPr="001F02F5">
              <w:rPr>
                <w:color w:val="000000"/>
                <w:vertAlign w:val="superscript"/>
                <w:lang w:val="en-US"/>
              </w:rPr>
              <w:t>b</w:t>
            </w:r>
          </w:p>
          <w:p w14:paraId="300012F9" w14:textId="316F51A3" w:rsidR="00200EBA" w:rsidRPr="00DD7555" w:rsidRDefault="00200EBA" w:rsidP="006D6682">
            <w:pPr>
              <w:pStyle w:val="ab"/>
              <w:spacing w:before="0" w:beforeAutospacing="0" w:after="0" w:afterAutospacing="0"/>
              <w:jc w:val="center"/>
              <w:rPr>
                <w:color w:val="000000"/>
              </w:rPr>
            </w:pPr>
            <w:r w:rsidRPr="00DD7555">
              <w:rPr>
                <w:color w:val="000000"/>
              </w:rPr>
              <w:t>Гиперхолестеринемия</w:t>
            </w:r>
            <w:r w:rsidR="00977A82" w:rsidRPr="001F02F5">
              <w:rPr>
                <w:color w:val="000000"/>
                <w:vertAlign w:val="superscript"/>
                <w:lang w:val="en-US"/>
              </w:rPr>
              <w:t>b</w:t>
            </w:r>
            <w:r w:rsidRPr="00DD7555">
              <w:rPr>
                <w:color w:val="000000"/>
              </w:rPr>
              <w:t xml:space="preserve"> Гипокалиемия</w:t>
            </w:r>
          </w:p>
          <w:p w14:paraId="0DE499C6" w14:textId="77777777" w:rsidR="00200EBA" w:rsidRPr="00DD7555" w:rsidRDefault="00200EBA" w:rsidP="006D6682">
            <w:pPr>
              <w:pStyle w:val="ab"/>
              <w:spacing w:before="0" w:beforeAutospacing="0" w:after="0" w:afterAutospacing="0"/>
              <w:jc w:val="center"/>
              <w:rPr>
                <w:color w:val="000000"/>
              </w:rPr>
            </w:pPr>
            <w:r w:rsidRPr="00DD7555">
              <w:rPr>
                <w:color w:val="000000"/>
              </w:rPr>
              <w:t>Снижение массы тела</w:t>
            </w:r>
          </w:p>
          <w:p w14:paraId="15EC0711" w14:textId="77777777" w:rsidR="00200EBA" w:rsidRPr="000D1198" w:rsidRDefault="00200EBA" w:rsidP="006D6682">
            <w:pPr>
              <w:pStyle w:val="ab"/>
              <w:spacing w:before="0" w:beforeAutospacing="0" w:after="0" w:afterAutospacing="0"/>
              <w:jc w:val="center"/>
              <w:rPr>
                <w:b/>
                <w:bCs/>
                <w:color w:val="000000"/>
              </w:rPr>
            </w:pPr>
            <w:r w:rsidRPr="00DD7555">
              <w:rPr>
                <w:color w:val="000000"/>
              </w:rPr>
              <w:t>Снижение аппетита</w:t>
            </w:r>
          </w:p>
        </w:tc>
      </w:tr>
      <w:tr w:rsidR="00200EBA" w14:paraId="54F683CA" w14:textId="77777777" w:rsidTr="006D6682">
        <w:tc>
          <w:tcPr>
            <w:tcW w:w="2199" w:type="dxa"/>
            <w:vAlign w:val="center"/>
          </w:tcPr>
          <w:p w14:paraId="639D394E"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21AC441F" w14:textId="77777777" w:rsidR="00200EBA" w:rsidRPr="00382EC6" w:rsidRDefault="00200EBA" w:rsidP="006D6682">
            <w:pPr>
              <w:pStyle w:val="ab"/>
              <w:spacing w:before="0" w:beforeAutospacing="0" w:after="0" w:afterAutospacing="0"/>
              <w:jc w:val="center"/>
              <w:rPr>
                <w:color w:val="000000"/>
              </w:rPr>
            </w:pPr>
            <w:r w:rsidRPr="00382EC6">
              <w:rPr>
                <w:color w:val="000000"/>
              </w:rPr>
              <w:t>Обезвоживание</w:t>
            </w:r>
          </w:p>
          <w:p w14:paraId="68BE2A7B" w14:textId="6B348595" w:rsidR="00200EBA" w:rsidRPr="00061F02" w:rsidRDefault="00200EBA" w:rsidP="006D6682">
            <w:pPr>
              <w:pStyle w:val="ab"/>
              <w:spacing w:before="0" w:beforeAutospacing="0" w:after="0" w:afterAutospacing="0"/>
              <w:jc w:val="center"/>
              <w:rPr>
                <w:b/>
                <w:bCs/>
                <w:color w:val="000000"/>
              </w:rPr>
            </w:pPr>
            <w:r w:rsidRPr="00382EC6">
              <w:rPr>
                <w:color w:val="000000"/>
              </w:rPr>
              <w:t>Гипомагниемия</w:t>
            </w:r>
            <w:r w:rsidR="00061F02" w:rsidRPr="00D050C7">
              <w:rPr>
                <w:color w:val="000000"/>
                <w:vertAlign w:val="superscript"/>
                <w:lang w:val="en-US"/>
              </w:rPr>
              <w:t>b</w:t>
            </w:r>
          </w:p>
        </w:tc>
        <w:tc>
          <w:tcPr>
            <w:tcW w:w="3578" w:type="dxa"/>
            <w:vAlign w:val="center"/>
          </w:tcPr>
          <w:p w14:paraId="6270ACFD" w14:textId="77777777" w:rsidR="00200EBA" w:rsidRPr="00382EC6" w:rsidRDefault="00200EBA" w:rsidP="006D6682">
            <w:pPr>
              <w:pStyle w:val="ab"/>
              <w:spacing w:before="0" w:beforeAutospacing="0" w:after="0" w:afterAutospacing="0"/>
              <w:jc w:val="center"/>
              <w:rPr>
                <w:color w:val="000000"/>
              </w:rPr>
            </w:pPr>
            <w:r w:rsidRPr="00382EC6">
              <w:rPr>
                <w:color w:val="000000"/>
              </w:rPr>
              <w:t>Обезвоживание</w:t>
            </w:r>
          </w:p>
          <w:p w14:paraId="17A94CDD" w14:textId="6C0CE923" w:rsidR="00200EBA" w:rsidRPr="000D1198" w:rsidRDefault="00200EBA" w:rsidP="006D6682">
            <w:pPr>
              <w:pStyle w:val="ab"/>
              <w:spacing w:before="0" w:beforeAutospacing="0" w:after="0" w:afterAutospacing="0"/>
              <w:jc w:val="center"/>
              <w:rPr>
                <w:b/>
                <w:bCs/>
                <w:color w:val="000000"/>
              </w:rPr>
            </w:pPr>
            <w:r w:rsidRPr="00382EC6">
              <w:rPr>
                <w:color w:val="000000"/>
              </w:rPr>
              <w:t>Гипо</w:t>
            </w:r>
            <w:r w:rsidR="00061F02">
              <w:rPr>
                <w:color w:val="000000"/>
              </w:rPr>
              <w:t>кальц</w:t>
            </w:r>
            <w:r w:rsidRPr="00382EC6">
              <w:rPr>
                <w:color w:val="000000"/>
              </w:rPr>
              <w:t>иемия</w:t>
            </w:r>
          </w:p>
        </w:tc>
      </w:tr>
      <w:tr w:rsidR="008B465A" w14:paraId="2244B662" w14:textId="77777777" w:rsidTr="006D6682">
        <w:tc>
          <w:tcPr>
            <w:tcW w:w="9346" w:type="dxa"/>
            <w:gridSpan w:val="3"/>
            <w:vAlign w:val="center"/>
          </w:tcPr>
          <w:p w14:paraId="6A1AD405" w14:textId="41C00F38" w:rsidR="008B465A" w:rsidRPr="000D1198" w:rsidRDefault="008B465A" w:rsidP="006D6682">
            <w:pPr>
              <w:pStyle w:val="ab"/>
              <w:jc w:val="center"/>
              <w:rPr>
                <w:b/>
                <w:bCs/>
                <w:color w:val="000000"/>
              </w:rPr>
            </w:pPr>
            <w:r>
              <w:rPr>
                <w:b/>
                <w:bCs/>
              </w:rPr>
              <w:t>Психические нарушения</w:t>
            </w:r>
          </w:p>
        </w:tc>
      </w:tr>
      <w:tr w:rsidR="00200EBA" w14:paraId="0A1D3CC7" w14:textId="77777777" w:rsidTr="006D6682">
        <w:tc>
          <w:tcPr>
            <w:tcW w:w="2199" w:type="dxa"/>
            <w:vAlign w:val="center"/>
          </w:tcPr>
          <w:p w14:paraId="41159D07"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7535DDB2" w14:textId="77777777" w:rsidR="00200EBA" w:rsidRPr="000D1198" w:rsidRDefault="00200EBA" w:rsidP="006D6682">
            <w:pPr>
              <w:pStyle w:val="ab"/>
              <w:spacing w:before="0" w:beforeAutospacing="0" w:after="0" w:afterAutospacing="0"/>
              <w:jc w:val="center"/>
              <w:rPr>
                <w:b/>
                <w:bCs/>
                <w:color w:val="000000"/>
              </w:rPr>
            </w:pPr>
            <w:r w:rsidRPr="007016A4">
              <w:rPr>
                <w:spacing w:val="-2"/>
              </w:rPr>
              <w:t>Бессонница</w:t>
            </w:r>
          </w:p>
        </w:tc>
        <w:tc>
          <w:tcPr>
            <w:tcW w:w="3578" w:type="dxa"/>
            <w:vAlign w:val="center"/>
          </w:tcPr>
          <w:p w14:paraId="2E86F2CC" w14:textId="77777777" w:rsidR="00200EBA" w:rsidRPr="000D1198" w:rsidRDefault="00200EBA" w:rsidP="006D6682">
            <w:pPr>
              <w:pStyle w:val="ab"/>
              <w:jc w:val="center"/>
              <w:rPr>
                <w:b/>
                <w:bCs/>
                <w:color w:val="000000"/>
              </w:rPr>
            </w:pPr>
            <w:r w:rsidRPr="007016A4">
              <w:rPr>
                <w:spacing w:val="-2"/>
              </w:rPr>
              <w:t>Бессонница</w:t>
            </w:r>
          </w:p>
        </w:tc>
      </w:tr>
      <w:tr w:rsidR="008B465A" w14:paraId="7CA19319" w14:textId="77777777" w:rsidTr="006D6682">
        <w:tc>
          <w:tcPr>
            <w:tcW w:w="9346" w:type="dxa"/>
            <w:gridSpan w:val="3"/>
            <w:vAlign w:val="center"/>
          </w:tcPr>
          <w:p w14:paraId="5B057D37" w14:textId="524C72FA" w:rsidR="008B465A" w:rsidRPr="000D1198" w:rsidRDefault="008B465A" w:rsidP="006D6682">
            <w:pPr>
              <w:pStyle w:val="ab"/>
              <w:jc w:val="center"/>
              <w:rPr>
                <w:b/>
                <w:bCs/>
                <w:color w:val="000000"/>
              </w:rPr>
            </w:pPr>
            <w:r>
              <w:rPr>
                <w:b/>
                <w:bCs/>
              </w:rPr>
              <w:t>Нарушения со стороны нервной системы</w:t>
            </w:r>
          </w:p>
        </w:tc>
      </w:tr>
      <w:tr w:rsidR="00200EBA" w14:paraId="10ADE3B0" w14:textId="77777777" w:rsidTr="006D6682">
        <w:tc>
          <w:tcPr>
            <w:tcW w:w="2199" w:type="dxa"/>
            <w:vAlign w:val="center"/>
          </w:tcPr>
          <w:p w14:paraId="5D952A67"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3E88A93B" w14:textId="77777777" w:rsidR="00200EBA" w:rsidRPr="00382EC6" w:rsidRDefault="00200EBA" w:rsidP="006D6682">
            <w:pPr>
              <w:pStyle w:val="ab"/>
              <w:spacing w:before="0" w:beforeAutospacing="0" w:after="0" w:afterAutospacing="0"/>
              <w:jc w:val="center"/>
              <w:rPr>
                <w:color w:val="000000"/>
              </w:rPr>
            </w:pPr>
            <w:r w:rsidRPr="00382EC6">
              <w:rPr>
                <w:color w:val="000000"/>
              </w:rPr>
              <w:t>Головокружение</w:t>
            </w:r>
          </w:p>
          <w:p w14:paraId="32EF4E09" w14:textId="2E4AC0A9" w:rsidR="00061F02" w:rsidRDefault="00200EBA" w:rsidP="006D6682">
            <w:pPr>
              <w:pStyle w:val="ab"/>
              <w:spacing w:before="0" w:beforeAutospacing="0" w:after="0" w:afterAutospacing="0"/>
              <w:jc w:val="center"/>
              <w:rPr>
                <w:color w:val="000000"/>
              </w:rPr>
            </w:pPr>
            <w:r w:rsidRPr="00382EC6">
              <w:rPr>
                <w:color w:val="000000"/>
              </w:rPr>
              <w:t>Головная боль</w:t>
            </w:r>
          </w:p>
          <w:p w14:paraId="1BD100EC" w14:textId="709C3021" w:rsidR="00200EBA" w:rsidRPr="00382EC6" w:rsidRDefault="00200EBA" w:rsidP="006D6682">
            <w:pPr>
              <w:pStyle w:val="ab"/>
              <w:spacing w:before="0" w:beforeAutospacing="0" w:after="0" w:afterAutospacing="0"/>
              <w:jc w:val="center"/>
              <w:rPr>
                <w:color w:val="000000"/>
              </w:rPr>
            </w:pPr>
            <w:r w:rsidRPr="00382EC6">
              <w:rPr>
                <w:color w:val="000000"/>
              </w:rPr>
              <w:t>Дисгевзия</w:t>
            </w:r>
          </w:p>
        </w:tc>
        <w:tc>
          <w:tcPr>
            <w:tcW w:w="3578" w:type="dxa"/>
            <w:vAlign w:val="center"/>
          </w:tcPr>
          <w:p w14:paraId="3C1D11F6" w14:textId="77777777" w:rsidR="00200EBA" w:rsidRPr="00382EC6" w:rsidRDefault="00200EBA" w:rsidP="006D6682">
            <w:pPr>
              <w:pStyle w:val="ab"/>
              <w:spacing w:before="0" w:beforeAutospacing="0" w:after="0" w:afterAutospacing="0"/>
              <w:jc w:val="center"/>
              <w:rPr>
                <w:color w:val="000000"/>
              </w:rPr>
            </w:pPr>
            <w:r w:rsidRPr="00382EC6">
              <w:rPr>
                <w:color w:val="000000"/>
              </w:rPr>
              <w:t>Головокружение</w:t>
            </w:r>
          </w:p>
          <w:p w14:paraId="4246D4FF" w14:textId="04CDD27D" w:rsidR="00200EBA" w:rsidRPr="00382EC6" w:rsidRDefault="00200EBA" w:rsidP="006D6682">
            <w:pPr>
              <w:pStyle w:val="ab"/>
              <w:spacing w:before="0" w:beforeAutospacing="0" w:after="0" w:afterAutospacing="0"/>
              <w:jc w:val="center"/>
              <w:rPr>
                <w:color w:val="000000"/>
              </w:rPr>
            </w:pPr>
            <w:r w:rsidRPr="00382EC6">
              <w:rPr>
                <w:color w:val="000000"/>
              </w:rPr>
              <w:t>Головная боль</w:t>
            </w:r>
          </w:p>
          <w:p w14:paraId="3266112E" w14:textId="77777777" w:rsidR="00200EBA" w:rsidRPr="00382EC6" w:rsidRDefault="00200EBA" w:rsidP="006D6682">
            <w:pPr>
              <w:pStyle w:val="ab"/>
              <w:spacing w:before="0" w:beforeAutospacing="0" w:after="0" w:afterAutospacing="0"/>
              <w:jc w:val="center"/>
              <w:rPr>
                <w:color w:val="000000"/>
              </w:rPr>
            </w:pPr>
            <w:r w:rsidRPr="00382EC6">
              <w:rPr>
                <w:color w:val="000000"/>
              </w:rPr>
              <w:t>Дисгевзия</w:t>
            </w:r>
          </w:p>
        </w:tc>
      </w:tr>
      <w:tr w:rsidR="00200EBA" w14:paraId="5CF5889D" w14:textId="77777777" w:rsidTr="006D6682">
        <w:tc>
          <w:tcPr>
            <w:tcW w:w="2199" w:type="dxa"/>
            <w:vAlign w:val="center"/>
          </w:tcPr>
          <w:p w14:paraId="7A047F78"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703F0210" w14:textId="4658E02C" w:rsidR="00200EBA" w:rsidRPr="00382EC6" w:rsidRDefault="00200EBA" w:rsidP="006D6682">
            <w:pPr>
              <w:pStyle w:val="ab"/>
              <w:jc w:val="center"/>
              <w:rPr>
                <w:color w:val="000000"/>
              </w:rPr>
            </w:pPr>
            <w:r w:rsidRPr="00382EC6">
              <w:rPr>
                <w:color w:val="000000"/>
              </w:rPr>
              <w:t>Острое нарушение мозгового кровообращения</w:t>
            </w:r>
            <w:r w:rsidR="00061F02">
              <w:rPr>
                <w:color w:val="000000"/>
              </w:rPr>
              <w:t>†</w:t>
            </w:r>
          </w:p>
        </w:tc>
        <w:tc>
          <w:tcPr>
            <w:tcW w:w="3578" w:type="dxa"/>
            <w:vAlign w:val="center"/>
          </w:tcPr>
          <w:p w14:paraId="3C3F2184" w14:textId="77777777" w:rsidR="00200EBA" w:rsidRPr="000D1198" w:rsidRDefault="00200EBA" w:rsidP="006D6682">
            <w:pPr>
              <w:pStyle w:val="ab"/>
              <w:jc w:val="center"/>
              <w:rPr>
                <w:b/>
                <w:bCs/>
                <w:color w:val="000000"/>
              </w:rPr>
            </w:pPr>
          </w:p>
        </w:tc>
      </w:tr>
      <w:tr w:rsidR="000E0F1E" w14:paraId="74FB6E0E" w14:textId="77777777" w:rsidTr="006D6682">
        <w:tc>
          <w:tcPr>
            <w:tcW w:w="2199" w:type="dxa"/>
            <w:vAlign w:val="center"/>
          </w:tcPr>
          <w:p w14:paraId="02E285F0" w14:textId="6710B6A3" w:rsidR="000E0F1E" w:rsidRPr="002D2DC7" w:rsidRDefault="000E0F1E" w:rsidP="006D6682">
            <w:pPr>
              <w:pStyle w:val="ab"/>
              <w:spacing w:before="0" w:beforeAutospacing="0" w:after="0" w:afterAutospacing="0"/>
              <w:jc w:val="center"/>
            </w:pPr>
            <w:r>
              <w:t>Нечасто</w:t>
            </w:r>
          </w:p>
        </w:tc>
        <w:tc>
          <w:tcPr>
            <w:tcW w:w="3569" w:type="dxa"/>
            <w:vAlign w:val="center"/>
          </w:tcPr>
          <w:p w14:paraId="7BF70C60" w14:textId="77777777" w:rsidR="000E0F1E" w:rsidRDefault="000E0F1E" w:rsidP="006D6682">
            <w:pPr>
              <w:pStyle w:val="ab"/>
              <w:spacing w:before="0" w:beforeAutospacing="0" w:after="0" w:afterAutospacing="0"/>
              <w:jc w:val="center"/>
              <w:rPr>
                <w:color w:val="000000"/>
              </w:rPr>
            </w:pPr>
            <w:r>
              <w:rPr>
                <w:color w:val="000000"/>
              </w:rPr>
              <w:t>Синдром обратимой задней энцефалопатии</w:t>
            </w:r>
          </w:p>
          <w:p w14:paraId="2C7E73C4" w14:textId="77777777" w:rsidR="000E0F1E" w:rsidRDefault="000E0F1E" w:rsidP="006D6682">
            <w:pPr>
              <w:pStyle w:val="ab"/>
              <w:spacing w:before="0" w:beforeAutospacing="0" w:after="0" w:afterAutospacing="0"/>
              <w:jc w:val="center"/>
              <w:rPr>
                <w:color w:val="000000"/>
              </w:rPr>
            </w:pPr>
            <w:r>
              <w:rPr>
                <w:color w:val="000000"/>
              </w:rPr>
              <w:t>Монопарез</w:t>
            </w:r>
          </w:p>
          <w:p w14:paraId="4738FD3D" w14:textId="78786FF8" w:rsidR="000E0F1E" w:rsidRPr="00382EC6" w:rsidRDefault="000E0F1E" w:rsidP="006D6682">
            <w:pPr>
              <w:pStyle w:val="ab"/>
              <w:spacing w:before="0" w:beforeAutospacing="0" w:after="0" w:afterAutospacing="0"/>
              <w:jc w:val="center"/>
              <w:rPr>
                <w:color w:val="000000"/>
              </w:rPr>
            </w:pPr>
            <w:r>
              <w:rPr>
                <w:color w:val="000000"/>
              </w:rPr>
              <w:t>Транзиторная ишемическая атака</w:t>
            </w:r>
          </w:p>
        </w:tc>
        <w:tc>
          <w:tcPr>
            <w:tcW w:w="3578" w:type="dxa"/>
            <w:vAlign w:val="center"/>
          </w:tcPr>
          <w:p w14:paraId="6C669974" w14:textId="77777777" w:rsidR="000E0F1E" w:rsidRDefault="000E0F1E" w:rsidP="006D6682">
            <w:pPr>
              <w:pStyle w:val="ab"/>
              <w:spacing w:before="0" w:beforeAutospacing="0" w:after="0" w:afterAutospacing="0"/>
              <w:jc w:val="center"/>
              <w:rPr>
                <w:color w:val="000000"/>
              </w:rPr>
            </w:pPr>
            <w:r>
              <w:rPr>
                <w:color w:val="000000"/>
              </w:rPr>
              <w:t>Синдром обратимой задней энцефалопатии</w:t>
            </w:r>
          </w:p>
          <w:p w14:paraId="24976F21" w14:textId="77777777" w:rsidR="000E0F1E" w:rsidRDefault="000E0F1E" w:rsidP="006D6682">
            <w:pPr>
              <w:pStyle w:val="ab"/>
              <w:spacing w:before="0" w:beforeAutospacing="0" w:after="0" w:afterAutospacing="0"/>
              <w:jc w:val="center"/>
              <w:rPr>
                <w:color w:val="000000"/>
              </w:rPr>
            </w:pPr>
            <w:r w:rsidRPr="00382EC6">
              <w:rPr>
                <w:color w:val="000000"/>
              </w:rPr>
              <w:t>Острое нарушение мозгового кровообращения</w:t>
            </w:r>
            <w:r>
              <w:rPr>
                <w:color w:val="000000"/>
              </w:rPr>
              <w:t>†</w:t>
            </w:r>
          </w:p>
          <w:p w14:paraId="328D3EE0" w14:textId="77777777" w:rsidR="000E0F1E" w:rsidRDefault="000E0F1E" w:rsidP="006D6682">
            <w:pPr>
              <w:pStyle w:val="ab"/>
              <w:spacing w:before="0" w:beforeAutospacing="0" w:after="0" w:afterAutospacing="0"/>
              <w:jc w:val="center"/>
              <w:rPr>
                <w:color w:val="000000"/>
              </w:rPr>
            </w:pPr>
            <w:r>
              <w:rPr>
                <w:color w:val="000000"/>
              </w:rPr>
              <w:t>Монопарез</w:t>
            </w:r>
          </w:p>
          <w:p w14:paraId="7057D7B7" w14:textId="6FB1E97E" w:rsidR="000E0F1E" w:rsidRPr="000D1198" w:rsidRDefault="000E0F1E" w:rsidP="006D6682">
            <w:pPr>
              <w:pStyle w:val="ab"/>
              <w:spacing w:before="0" w:beforeAutospacing="0" w:after="0" w:afterAutospacing="0"/>
              <w:jc w:val="center"/>
              <w:rPr>
                <w:b/>
                <w:bCs/>
                <w:color w:val="000000"/>
              </w:rPr>
            </w:pPr>
            <w:r>
              <w:rPr>
                <w:color w:val="000000"/>
              </w:rPr>
              <w:t>Транзиторная ишемическая атака</w:t>
            </w:r>
          </w:p>
        </w:tc>
      </w:tr>
      <w:tr w:rsidR="008B465A" w14:paraId="74A59A34" w14:textId="77777777" w:rsidTr="006D6682">
        <w:tc>
          <w:tcPr>
            <w:tcW w:w="9346" w:type="dxa"/>
            <w:gridSpan w:val="3"/>
            <w:vAlign w:val="center"/>
          </w:tcPr>
          <w:p w14:paraId="201C318C" w14:textId="75BDCCCA" w:rsidR="008B465A" w:rsidRPr="000D1198" w:rsidRDefault="008B465A" w:rsidP="006D6682">
            <w:pPr>
              <w:pStyle w:val="ab"/>
              <w:jc w:val="center"/>
              <w:rPr>
                <w:b/>
                <w:bCs/>
                <w:color w:val="000000"/>
              </w:rPr>
            </w:pPr>
            <w:r>
              <w:rPr>
                <w:b/>
                <w:bCs/>
              </w:rPr>
              <w:t>Нарушения со стороны сердца</w:t>
            </w:r>
          </w:p>
        </w:tc>
      </w:tr>
      <w:tr w:rsidR="00200EBA" w14:paraId="60BF3A86" w14:textId="77777777" w:rsidTr="006D6682">
        <w:tc>
          <w:tcPr>
            <w:tcW w:w="2199" w:type="dxa"/>
            <w:vAlign w:val="center"/>
          </w:tcPr>
          <w:p w14:paraId="1019AEA3"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444D4C80" w14:textId="6485B435" w:rsidR="00200EBA" w:rsidRPr="00784680" w:rsidRDefault="00200EBA" w:rsidP="006D6682">
            <w:pPr>
              <w:pStyle w:val="ab"/>
              <w:spacing w:before="0" w:beforeAutospacing="0" w:after="0" w:afterAutospacing="0"/>
              <w:jc w:val="center"/>
              <w:rPr>
                <w:color w:val="000000"/>
              </w:rPr>
            </w:pPr>
            <w:r w:rsidRPr="00784680">
              <w:rPr>
                <w:color w:val="000000"/>
              </w:rPr>
              <w:t>Инфаркт миокарда</w:t>
            </w:r>
            <w:r w:rsidR="00A42182" w:rsidRPr="00D050C7">
              <w:rPr>
                <w:color w:val="000000"/>
                <w:vertAlign w:val="superscript"/>
              </w:rPr>
              <w:t>с</w:t>
            </w:r>
            <w:r w:rsidR="00A42182">
              <w:rPr>
                <w:color w:val="000000"/>
              </w:rPr>
              <w:t>†</w:t>
            </w:r>
          </w:p>
          <w:p w14:paraId="647CA78F" w14:textId="77777777" w:rsidR="00200EBA" w:rsidRPr="00784680" w:rsidRDefault="00200EBA" w:rsidP="006D6682">
            <w:pPr>
              <w:pStyle w:val="ab"/>
              <w:spacing w:before="0" w:beforeAutospacing="0" w:after="0" w:afterAutospacing="0"/>
              <w:jc w:val="center"/>
              <w:rPr>
                <w:color w:val="000000"/>
              </w:rPr>
            </w:pPr>
            <w:r w:rsidRPr="00784680">
              <w:rPr>
                <w:color w:val="000000"/>
              </w:rPr>
              <w:t>Сердечная недостаточность Удлинение интервала QT на ЭКГ</w:t>
            </w:r>
          </w:p>
          <w:p w14:paraId="1D3509B8" w14:textId="77777777" w:rsidR="00200EBA" w:rsidRPr="000D1198" w:rsidRDefault="00200EBA" w:rsidP="006D6682">
            <w:pPr>
              <w:pStyle w:val="ab"/>
              <w:spacing w:before="0" w:beforeAutospacing="0" w:after="0" w:afterAutospacing="0"/>
              <w:jc w:val="center"/>
              <w:rPr>
                <w:b/>
                <w:bCs/>
                <w:color w:val="000000"/>
              </w:rPr>
            </w:pPr>
            <w:r w:rsidRPr="00784680">
              <w:rPr>
                <w:color w:val="000000"/>
              </w:rPr>
              <w:t>Снижение франции выброса</w:t>
            </w:r>
          </w:p>
        </w:tc>
        <w:tc>
          <w:tcPr>
            <w:tcW w:w="3578" w:type="dxa"/>
            <w:vAlign w:val="center"/>
          </w:tcPr>
          <w:p w14:paraId="16C2997C" w14:textId="50F24348" w:rsidR="00200EBA" w:rsidRPr="00784680" w:rsidRDefault="00200EBA" w:rsidP="006D6682">
            <w:pPr>
              <w:pStyle w:val="ab"/>
              <w:spacing w:before="0" w:beforeAutospacing="0" w:after="0" w:afterAutospacing="0"/>
              <w:jc w:val="center"/>
              <w:rPr>
                <w:color w:val="000000"/>
              </w:rPr>
            </w:pPr>
            <w:r w:rsidRPr="00784680">
              <w:rPr>
                <w:color w:val="000000"/>
              </w:rPr>
              <w:t>Инфаркт миокард</w:t>
            </w:r>
            <w:r>
              <w:rPr>
                <w:color w:val="000000"/>
              </w:rPr>
              <w:t>а</w:t>
            </w:r>
            <w:r w:rsidR="00A42182" w:rsidRPr="001F02F5">
              <w:rPr>
                <w:color w:val="000000"/>
                <w:vertAlign w:val="superscript"/>
              </w:rPr>
              <w:t>с</w:t>
            </w:r>
            <w:r w:rsidR="00A42182">
              <w:rPr>
                <w:color w:val="000000"/>
              </w:rPr>
              <w:t>†</w:t>
            </w:r>
          </w:p>
          <w:p w14:paraId="4286E205" w14:textId="77777777" w:rsidR="00200EBA" w:rsidRPr="00784680" w:rsidRDefault="00200EBA" w:rsidP="006D6682">
            <w:pPr>
              <w:pStyle w:val="ab"/>
              <w:spacing w:before="0" w:beforeAutospacing="0" w:after="0" w:afterAutospacing="0"/>
              <w:jc w:val="center"/>
              <w:rPr>
                <w:color w:val="000000"/>
              </w:rPr>
            </w:pPr>
            <w:r w:rsidRPr="00784680">
              <w:rPr>
                <w:color w:val="000000"/>
              </w:rPr>
              <w:t>Удлинение интервала QT на ЭКГ</w:t>
            </w:r>
          </w:p>
          <w:p w14:paraId="4B99A797" w14:textId="77777777" w:rsidR="00200EBA" w:rsidRPr="000D1198" w:rsidRDefault="00200EBA" w:rsidP="006D6682">
            <w:pPr>
              <w:pStyle w:val="ab"/>
              <w:jc w:val="center"/>
              <w:rPr>
                <w:b/>
                <w:bCs/>
                <w:color w:val="000000"/>
              </w:rPr>
            </w:pPr>
          </w:p>
        </w:tc>
      </w:tr>
      <w:tr w:rsidR="00200EBA" w14:paraId="3E093AC9" w14:textId="77777777" w:rsidTr="006D6682">
        <w:tc>
          <w:tcPr>
            <w:tcW w:w="2199" w:type="dxa"/>
            <w:vAlign w:val="center"/>
          </w:tcPr>
          <w:p w14:paraId="23350B63" w14:textId="77777777" w:rsidR="00200EBA" w:rsidRPr="00132AAB" w:rsidRDefault="00200EBA" w:rsidP="006D6682">
            <w:pPr>
              <w:pStyle w:val="ab"/>
              <w:spacing w:before="0" w:beforeAutospacing="0" w:after="0" w:afterAutospacing="0"/>
              <w:jc w:val="center"/>
            </w:pPr>
            <w:r w:rsidRPr="00132AAB">
              <w:t>Нечасто</w:t>
            </w:r>
          </w:p>
        </w:tc>
        <w:tc>
          <w:tcPr>
            <w:tcW w:w="3569" w:type="dxa"/>
            <w:vAlign w:val="center"/>
          </w:tcPr>
          <w:p w14:paraId="45028D3C" w14:textId="77777777" w:rsidR="00200EBA" w:rsidRPr="000D1198" w:rsidRDefault="00200EBA" w:rsidP="006D6682">
            <w:pPr>
              <w:pStyle w:val="ab"/>
              <w:spacing w:before="0" w:beforeAutospacing="0" w:after="0" w:afterAutospacing="0"/>
              <w:jc w:val="center"/>
              <w:rPr>
                <w:b/>
                <w:bCs/>
                <w:color w:val="000000"/>
              </w:rPr>
            </w:pPr>
          </w:p>
        </w:tc>
        <w:tc>
          <w:tcPr>
            <w:tcW w:w="3578" w:type="dxa"/>
            <w:vAlign w:val="center"/>
          </w:tcPr>
          <w:p w14:paraId="0DF12073" w14:textId="77777777" w:rsidR="00200EBA" w:rsidRPr="00132AAB" w:rsidRDefault="00200EBA" w:rsidP="006D6682">
            <w:pPr>
              <w:pStyle w:val="ab"/>
              <w:spacing w:before="0" w:beforeAutospacing="0" w:after="0" w:afterAutospacing="0"/>
              <w:jc w:val="center"/>
              <w:rPr>
                <w:color w:val="000000"/>
              </w:rPr>
            </w:pPr>
            <w:r w:rsidRPr="00132AAB">
              <w:rPr>
                <w:color w:val="000000"/>
              </w:rPr>
              <w:t>Сердечная недостаточность</w:t>
            </w:r>
          </w:p>
          <w:p w14:paraId="76769399" w14:textId="77777777" w:rsidR="00200EBA" w:rsidRPr="000D1198" w:rsidRDefault="00200EBA" w:rsidP="006D6682">
            <w:pPr>
              <w:pStyle w:val="ab"/>
              <w:spacing w:before="0" w:beforeAutospacing="0" w:after="0" w:afterAutospacing="0"/>
              <w:jc w:val="center"/>
              <w:rPr>
                <w:b/>
                <w:bCs/>
                <w:color w:val="000000"/>
              </w:rPr>
            </w:pPr>
            <w:r w:rsidRPr="00132AAB">
              <w:rPr>
                <w:color w:val="000000"/>
              </w:rPr>
              <w:t>Снижение фракции выброса</w:t>
            </w:r>
          </w:p>
        </w:tc>
      </w:tr>
      <w:tr w:rsidR="008B465A" w14:paraId="60AB8FC1" w14:textId="77777777" w:rsidTr="006D6682">
        <w:tc>
          <w:tcPr>
            <w:tcW w:w="9346" w:type="dxa"/>
            <w:gridSpan w:val="3"/>
            <w:vAlign w:val="center"/>
          </w:tcPr>
          <w:p w14:paraId="2BD3352B" w14:textId="18DDF24F" w:rsidR="008B465A" w:rsidRPr="000D1198" w:rsidRDefault="008B465A" w:rsidP="006D6682">
            <w:pPr>
              <w:pStyle w:val="ab"/>
              <w:jc w:val="center"/>
              <w:rPr>
                <w:b/>
                <w:bCs/>
                <w:color w:val="000000"/>
              </w:rPr>
            </w:pPr>
            <w:r>
              <w:rPr>
                <w:b/>
                <w:bCs/>
              </w:rPr>
              <w:t>Нарушение со стороны сосудов</w:t>
            </w:r>
          </w:p>
        </w:tc>
      </w:tr>
      <w:tr w:rsidR="00200EBA" w14:paraId="476F29BD" w14:textId="77777777" w:rsidTr="006D6682">
        <w:tc>
          <w:tcPr>
            <w:tcW w:w="2199" w:type="dxa"/>
            <w:vAlign w:val="center"/>
          </w:tcPr>
          <w:p w14:paraId="30B6D6DA"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715D26B5" w14:textId="073B7205" w:rsidR="00200EBA" w:rsidRPr="00132AAB" w:rsidRDefault="00200EBA" w:rsidP="006D6682">
            <w:pPr>
              <w:pStyle w:val="ab"/>
              <w:spacing w:before="0" w:beforeAutospacing="0" w:after="0" w:afterAutospacing="0"/>
              <w:jc w:val="center"/>
              <w:rPr>
                <w:color w:val="000000"/>
              </w:rPr>
            </w:pPr>
            <w:r w:rsidRPr="00132AAB">
              <w:rPr>
                <w:color w:val="000000"/>
              </w:rPr>
              <w:t>Кровотечение</w:t>
            </w:r>
            <w:r w:rsidR="00686448" w:rsidRPr="001F02F5">
              <w:rPr>
                <w:color w:val="000000"/>
                <w:vertAlign w:val="superscript"/>
                <w:lang w:val="en-US"/>
              </w:rPr>
              <w:t>b</w:t>
            </w:r>
            <w:r w:rsidR="00686448">
              <w:rPr>
                <w:color w:val="000000"/>
                <w:vertAlign w:val="superscript"/>
              </w:rPr>
              <w:t>,</w:t>
            </w:r>
            <w:r w:rsidR="00686448">
              <w:rPr>
                <w:color w:val="000000"/>
              </w:rPr>
              <w:t>†</w:t>
            </w:r>
          </w:p>
          <w:p w14:paraId="1DA2F2D4" w14:textId="0E91E563" w:rsidR="00200EBA" w:rsidRPr="00132AAB" w:rsidRDefault="00200EBA" w:rsidP="006D6682">
            <w:pPr>
              <w:pStyle w:val="ab"/>
              <w:spacing w:before="0" w:beforeAutospacing="0" w:after="0" w:afterAutospacing="0"/>
              <w:jc w:val="center"/>
              <w:rPr>
                <w:color w:val="000000"/>
              </w:rPr>
            </w:pPr>
            <w:r w:rsidRPr="00132AAB">
              <w:rPr>
                <w:color w:val="000000"/>
              </w:rPr>
              <w:t>Артериальная гипертензия</w:t>
            </w:r>
            <w:r w:rsidR="00686448" w:rsidRPr="00D050C7">
              <w:rPr>
                <w:color w:val="000000"/>
                <w:vertAlign w:val="superscript"/>
                <w:lang w:val="en-US"/>
              </w:rPr>
              <w:t>e</w:t>
            </w:r>
          </w:p>
          <w:p w14:paraId="0F4A7946" w14:textId="77777777" w:rsidR="00200EBA" w:rsidRPr="00132AAB" w:rsidRDefault="00200EBA" w:rsidP="006D6682">
            <w:pPr>
              <w:pStyle w:val="ab"/>
              <w:spacing w:before="0" w:beforeAutospacing="0" w:after="0" w:afterAutospacing="0"/>
              <w:jc w:val="center"/>
              <w:rPr>
                <w:color w:val="000000"/>
              </w:rPr>
            </w:pPr>
            <w:r w:rsidRPr="00132AAB">
              <w:rPr>
                <w:color w:val="000000"/>
              </w:rPr>
              <w:t>Артериальная гипотензия</w:t>
            </w:r>
          </w:p>
        </w:tc>
        <w:tc>
          <w:tcPr>
            <w:tcW w:w="3578" w:type="dxa"/>
            <w:vAlign w:val="center"/>
          </w:tcPr>
          <w:p w14:paraId="371B2622" w14:textId="0E19C9F4" w:rsidR="00200EBA" w:rsidRPr="00132AAB" w:rsidRDefault="00200EBA" w:rsidP="006D6682">
            <w:pPr>
              <w:pStyle w:val="ab"/>
              <w:spacing w:before="0" w:beforeAutospacing="0" w:after="0" w:afterAutospacing="0"/>
              <w:jc w:val="center"/>
              <w:rPr>
                <w:color w:val="000000"/>
              </w:rPr>
            </w:pPr>
            <w:r w:rsidRPr="00132AAB">
              <w:rPr>
                <w:color w:val="000000"/>
              </w:rPr>
              <w:t>Кровотечение</w:t>
            </w:r>
            <w:r w:rsidR="00686448" w:rsidRPr="001F02F5">
              <w:rPr>
                <w:color w:val="000000"/>
                <w:vertAlign w:val="superscript"/>
                <w:lang w:val="en-US"/>
              </w:rPr>
              <w:t>b</w:t>
            </w:r>
            <w:r w:rsidR="00686448">
              <w:rPr>
                <w:color w:val="000000"/>
                <w:vertAlign w:val="superscript"/>
              </w:rPr>
              <w:t>,</w:t>
            </w:r>
            <w:r w:rsidR="00686448">
              <w:rPr>
                <w:color w:val="000000"/>
              </w:rPr>
              <w:t>†</w:t>
            </w:r>
          </w:p>
          <w:p w14:paraId="2792A691" w14:textId="0E6557F5" w:rsidR="00200EBA" w:rsidRPr="00132AAB" w:rsidRDefault="00200EBA" w:rsidP="006D6682">
            <w:pPr>
              <w:pStyle w:val="ab"/>
              <w:spacing w:before="0" w:beforeAutospacing="0" w:after="0" w:afterAutospacing="0"/>
              <w:jc w:val="center"/>
              <w:rPr>
                <w:color w:val="000000"/>
              </w:rPr>
            </w:pPr>
            <w:r w:rsidRPr="00132AAB">
              <w:rPr>
                <w:color w:val="000000"/>
              </w:rPr>
              <w:t>Артериальная гипертензия</w:t>
            </w:r>
            <w:r w:rsidR="00686448" w:rsidRPr="001F02F5">
              <w:rPr>
                <w:color w:val="000000"/>
                <w:vertAlign w:val="superscript"/>
                <w:lang w:val="en-US"/>
              </w:rPr>
              <w:t>e</w:t>
            </w:r>
          </w:p>
          <w:p w14:paraId="400CD5B4" w14:textId="77777777" w:rsidR="00200EBA" w:rsidRPr="000D1198" w:rsidRDefault="00200EBA" w:rsidP="006D6682">
            <w:pPr>
              <w:pStyle w:val="ab"/>
              <w:jc w:val="center"/>
              <w:rPr>
                <w:b/>
                <w:bCs/>
                <w:color w:val="000000"/>
              </w:rPr>
            </w:pPr>
          </w:p>
        </w:tc>
      </w:tr>
      <w:tr w:rsidR="00200EBA" w14:paraId="3D0BE835" w14:textId="77777777" w:rsidTr="006D6682">
        <w:tc>
          <w:tcPr>
            <w:tcW w:w="2199" w:type="dxa"/>
            <w:vAlign w:val="center"/>
          </w:tcPr>
          <w:p w14:paraId="0EA11F37"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56373581" w14:textId="77777777" w:rsidR="00200EBA" w:rsidRPr="000D1198" w:rsidRDefault="00200EBA" w:rsidP="006D6682">
            <w:pPr>
              <w:pStyle w:val="ab"/>
              <w:spacing w:before="0" w:beforeAutospacing="0" w:after="0" w:afterAutospacing="0"/>
              <w:jc w:val="center"/>
              <w:rPr>
                <w:b/>
                <w:bCs/>
                <w:color w:val="000000"/>
              </w:rPr>
            </w:pPr>
          </w:p>
        </w:tc>
        <w:tc>
          <w:tcPr>
            <w:tcW w:w="3578" w:type="dxa"/>
            <w:vAlign w:val="center"/>
          </w:tcPr>
          <w:p w14:paraId="1F0C7C5E" w14:textId="60EBFBF6" w:rsidR="00200EBA" w:rsidRPr="000D1198" w:rsidRDefault="00200EBA" w:rsidP="006D6682">
            <w:pPr>
              <w:pStyle w:val="ab"/>
              <w:spacing w:before="0" w:beforeAutospacing="0" w:after="0" w:afterAutospacing="0"/>
              <w:jc w:val="center"/>
              <w:rPr>
                <w:b/>
                <w:bCs/>
                <w:color w:val="000000"/>
              </w:rPr>
            </w:pPr>
            <w:r w:rsidRPr="00132AAB">
              <w:rPr>
                <w:color w:val="000000"/>
              </w:rPr>
              <w:t>Артериальная гипертензия</w:t>
            </w:r>
          </w:p>
        </w:tc>
      </w:tr>
      <w:tr w:rsidR="00200EBA" w14:paraId="29C1B9D6" w14:textId="77777777" w:rsidTr="006D6682">
        <w:tc>
          <w:tcPr>
            <w:tcW w:w="2199" w:type="dxa"/>
            <w:vAlign w:val="center"/>
          </w:tcPr>
          <w:p w14:paraId="0CD80CBA" w14:textId="77777777" w:rsidR="00200EBA" w:rsidRPr="00137C2C" w:rsidRDefault="00200EBA" w:rsidP="006D6682">
            <w:pPr>
              <w:pStyle w:val="ab"/>
              <w:spacing w:before="0" w:beforeAutospacing="0" w:after="0" w:afterAutospacing="0"/>
              <w:jc w:val="center"/>
            </w:pPr>
            <w:r w:rsidRPr="00137C2C">
              <w:t>Частота неизвестна</w:t>
            </w:r>
          </w:p>
        </w:tc>
        <w:tc>
          <w:tcPr>
            <w:tcW w:w="3569" w:type="dxa"/>
            <w:vAlign w:val="center"/>
          </w:tcPr>
          <w:p w14:paraId="576CFC62" w14:textId="77777777" w:rsidR="00200EBA" w:rsidRPr="00137C2C" w:rsidRDefault="00200EBA" w:rsidP="006D6682">
            <w:pPr>
              <w:pStyle w:val="ab"/>
              <w:spacing w:before="0" w:beforeAutospacing="0" w:after="0" w:afterAutospacing="0"/>
              <w:jc w:val="center"/>
              <w:rPr>
                <w:color w:val="000000"/>
              </w:rPr>
            </w:pPr>
            <w:r w:rsidRPr="00137C2C">
              <w:rPr>
                <w:color w:val="000000"/>
              </w:rPr>
              <w:t>Аневризмы и расслоение артерий</w:t>
            </w:r>
          </w:p>
        </w:tc>
        <w:tc>
          <w:tcPr>
            <w:tcW w:w="3578" w:type="dxa"/>
            <w:vAlign w:val="center"/>
          </w:tcPr>
          <w:p w14:paraId="0B1B1A04" w14:textId="77777777" w:rsidR="00200EBA" w:rsidRPr="000D1198" w:rsidRDefault="00200EBA" w:rsidP="006D6682">
            <w:pPr>
              <w:pStyle w:val="ab"/>
              <w:jc w:val="center"/>
              <w:rPr>
                <w:b/>
                <w:bCs/>
                <w:color w:val="000000"/>
              </w:rPr>
            </w:pPr>
            <w:r w:rsidRPr="00137C2C">
              <w:rPr>
                <w:color w:val="000000"/>
              </w:rPr>
              <w:t>Аневризмы и расслоение артерий</w:t>
            </w:r>
          </w:p>
        </w:tc>
      </w:tr>
      <w:tr w:rsidR="008B465A" w14:paraId="0D59BBEA" w14:textId="77777777" w:rsidTr="006D6682">
        <w:tc>
          <w:tcPr>
            <w:tcW w:w="9346" w:type="dxa"/>
            <w:gridSpan w:val="3"/>
            <w:vAlign w:val="center"/>
          </w:tcPr>
          <w:p w14:paraId="2A049876" w14:textId="3DDA59F2" w:rsidR="008B465A" w:rsidRPr="000D1198" w:rsidRDefault="008B465A" w:rsidP="006D6682">
            <w:pPr>
              <w:pStyle w:val="ab"/>
              <w:jc w:val="center"/>
              <w:rPr>
                <w:b/>
                <w:bCs/>
                <w:color w:val="000000"/>
              </w:rPr>
            </w:pPr>
            <w:r>
              <w:rPr>
                <w:b/>
                <w:bCs/>
              </w:rPr>
              <w:t>Нарушение со стороны дыхательной системы, органов грудной клетки и средостения</w:t>
            </w:r>
          </w:p>
        </w:tc>
      </w:tr>
      <w:tr w:rsidR="00200EBA" w14:paraId="640D9DDA" w14:textId="77777777" w:rsidTr="006D6682">
        <w:tc>
          <w:tcPr>
            <w:tcW w:w="2199" w:type="dxa"/>
            <w:vAlign w:val="center"/>
          </w:tcPr>
          <w:p w14:paraId="468AB9B4"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530302FC" w14:textId="77777777" w:rsidR="00200EBA" w:rsidRPr="000D1198" w:rsidRDefault="00200EBA" w:rsidP="006D6682">
            <w:pPr>
              <w:pStyle w:val="ab"/>
              <w:spacing w:before="0" w:beforeAutospacing="0" w:after="0" w:afterAutospacing="0"/>
              <w:jc w:val="center"/>
              <w:rPr>
                <w:b/>
                <w:bCs/>
                <w:color w:val="000000"/>
              </w:rPr>
            </w:pPr>
            <w:r w:rsidRPr="00137C2C">
              <w:rPr>
                <w:color w:val="000000"/>
              </w:rPr>
              <w:t>Дисфония</w:t>
            </w:r>
          </w:p>
        </w:tc>
        <w:tc>
          <w:tcPr>
            <w:tcW w:w="3578" w:type="dxa"/>
            <w:vAlign w:val="center"/>
          </w:tcPr>
          <w:p w14:paraId="35965A29" w14:textId="77777777" w:rsidR="00200EBA" w:rsidRPr="000D1198" w:rsidRDefault="00200EBA" w:rsidP="006D6682">
            <w:pPr>
              <w:pStyle w:val="ab"/>
              <w:spacing w:before="0" w:beforeAutospacing="0" w:after="0" w:afterAutospacing="0"/>
              <w:jc w:val="center"/>
              <w:rPr>
                <w:b/>
                <w:bCs/>
                <w:color w:val="000000"/>
              </w:rPr>
            </w:pPr>
            <w:r w:rsidRPr="00137C2C">
              <w:rPr>
                <w:color w:val="000000"/>
              </w:rPr>
              <w:t>Дисфония</w:t>
            </w:r>
          </w:p>
        </w:tc>
      </w:tr>
      <w:tr w:rsidR="00200EBA" w14:paraId="60CC1B24" w14:textId="77777777" w:rsidTr="006D6682">
        <w:tc>
          <w:tcPr>
            <w:tcW w:w="2199" w:type="dxa"/>
            <w:vAlign w:val="center"/>
          </w:tcPr>
          <w:p w14:paraId="796D8E8E"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7B02E008" w14:textId="5B982E35" w:rsidR="00200EBA" w:rsidRPr="000D1198" w:rsidRDefault="00200EBA" w:rsidP="006D6682">
            <w:pPr>
              <w:pStyle w:val="ab"/>
              <w:spacing w:before="0" w:beforeAutospacing="0" w:after="0" w:afterAutospacing="0"/>
              <w:jc w:val="center"/>
              <w:rPr>
                <w:b/>
                <w:bCs/>
                <w:color w:val="000000"/>
              </w:rPr>
            </w:pPr>
            <w:r w:rsidRPr="004E4545">
              <w:rPr>
                <w:color w:val="000000"/>
              </w:rPr>
              <w:t>Тромбоэмболия легочной артерии</w:t>
            </w:r>
            <w:r w:rsidR="00FA7214">
              <w:rPr>
                <w:color w:val="000000"/>
              </w:rPr>
              <w:t>†</w:t>
            </w:r>
          </w:p>
        </w:tc>
        <w:tc>
          <w:tcPr>
            <w:tcW w:w="3578" w:type="dxa"/>
            <w:vAlign w:val="center"/>
          </w:tcPr>
          <w:p w14:paraId="38599C40" w14:textId="55566CCD" w:rsidR="00200EBA" w:rsidRPr="000D1198" w:rsidRDefault="00200EBA" w:rsidP="006D6682">
            <w:pPr>
              <w:pStyle w:val="ab"/>
              <w:jc w:val="center"/>
              <w:rPr>
                <w:b/>
                <w:bCs/>
                <w:color w:val="000000"/>
              </w:rPr>
            </w:pPr>
            <w:r w:rsidRPr="004E4545">
              <w:rPr>
                <w:color w:val="000000"/>
              </w:rPr>
              <w:t>Тромбоэмболия легочной артерии</w:t>
            </w:r>
            <w:r w:rsidR="00A03EBA">
              <w:rPr>
                <w:color w:val="000000"/>
              </w:rPr>
              <w:t>†</w:t>
            </w:r>
          </w:p>
        </w:tc>
      </w:tr>
      <w:tr w:rsidR="00200EBA" w14:paraId="70B67007" w14:textId="77777777" w:rsidTr="006D6682">
        <w:tc>
          <w:tcPr>
            <w:tcW w:w="2199" w:type="dxa"/>
            <w:vAlign w:val="center"/>
          </w:tcPr>
          <w:p w14:paraId="113A1065" w14:textId="77777777" w:rsidR="00200EBA" w:rsidRPr="000D1198" w:rsidRDefault="00200EBA" w:rsidP="006D6682">
            <w:pPr>
              <w:pStyle w:val="ab"/>
              <w:spacing w:before="0" w:beforeAutospacing="0" w:after="0" w:afterAutospacing="0"/>
              <w:jc w:val="center"/>
              <w:rPr>
                <w:b/>
                <w:bCs/>
              </w:rPr>
            </w:pPr>
            <w:r w:rsidRPr="00132AAB">
              <w:lastRenderedPageBreak/>
              <w:t>Нечасто</w:t>
            </w:r>
          </w:p>
        </w:tc>
        <w:tc>
          <w:tcPr>
            <w:tcW w:w="3569" w:type="dxa"/>
            <w:vAlign w:val="center"/>
          </w:tcPr>
          <w:p w14:paraId="7B939DC6" w14:textId="77777777" w:rsidR="00200EBA" w:rsidRPr="000D1198" w:rsidRDefault="00200EBA" w:rsidP="006D6682">
            <w:pPr>
              <w:pStyle w:val="ab"/>
              <w:spacing w:before="0" w:beforeAutospacing="0" w:after="0" w:afterAutospacing="0"/>
              <w:jc w:val="center"/>
              <w:rPr>
                <w:b/>
                <w:bCs/>
                <w:color w:val="000000"/>
              </w:rPr>
            </w:pPr>
            <w:r w:rsidRPr="0072540A">
              <w:rPr>
                <w:color w:val="000000"/>
              </w:rPr>
              <w:t>Пневмоторакс</w:t>
            </w:r>
          </w:p>
        </w:tc>
        <w:tc>
          <w:tcPr>
            <w:tcW w:w="3578" w:type="dxa"/>
            <w:vAlign w:val="center"/>
          </w:tcPr>
          <w:p w14:paraId="69189FC6" w14:textId="77777777" w:rsidR="00200EBA" w:rsidRPr="000D1198" w:rsidRDefault="00200EBA" w:rsidP="006D6682">
            <w:pPr>
              <w:pStyle w:val="ab"/>
              <w:jc w:val="center"/>
              <w:rPr>
                <w:b/>
                <w:bCs/>
                <w:color w:val="000000"/>
              </w:rPr>
            </w:pPr>
            <w:r w:rsidRPr="0072540A">
              <w:rPr>
                <w:color w:val="000000"/>
              </w:rPr>
              <w:t>Пневмоторакс</w:t>
            </w:r>
          </w:p>
        </w:tc>
      </w:tr>
      <w:tr w:rsidR="008B465A" w14:paraId="5D52A3AA" w14:textId="77777777" w:rsidTr="006D6682">
        <w:tc>
          <w:tcPr>
            <w:tcW w:w="9346" w:type="dxa"/>
            <w:gridSpan w:val="3"/>
            <w:vAlign w:val="center"/>
          </w:tcPr>
          <w:p w14:paraId="692F7970" w14:textId="39320123" w:rsidR="008B465A" w:rsidRPr="000D1198" w:rsidRDefault="008B465A" w:rsidP="006D6682">
            <w:pPr>
              <w:pStyle w:val="ab"/>
              <w:jc w:val="center"/>
              <w:rPr>
                <w:b/>
                <w:bCs/>
                <w:color w:val="000000"/>
              </w:rPr>
            </w:pPr>
            <w:r>
              <w:rPr>
                <w:b/>
                <w:bCs/>
              </w:rPr>
              <w:t>Желудочно-кишечные нарушения</w:t>
            </w:r>
          </w:p>
        </w:tc>
      </w:tr>
      <w:tr w:rsidR="00200EBA" w14:paraId="66FC2DB6" w14:textId="77777777" w:rsidTr="006D6682">
        <w:tc>
          <w:tcPr>
            <w:tcW w:w="2199" w:type="dxa"/>
            <w:vAlign w:val="center"/>
          </w:tcPr>
          <w:p w14:paraId="465D92C4" w14:textId="77777777" w:rsidR="00200EBA" w:rsidRPr="000D1198" w:rsidRDefault="00200EBA" w:rsidP="006D6682">
            <w:pPr>
              <w:pStyle w:val="ab"/>
              <w:spacing w:before="0" w:beforeAutospacing="0" w:after="0" w:afterAutospacing="0"/>
              <w:jc w:val="center"/>
              <w:rPr>
                <w:b/>
                <w:bCs/>
              </w:rPr>
            </w:pPr>
            <w:r w:rsidRPr="002D2DC7">
              <w:t>Очень часто</w:t>
            </w:r>
          </w:p>
        </w:tc>
        <w:tc>
          <w:tcPr>
            <w:tcW w:w="3569" w:type="dxa"/>
            <w:vAlign w:val="center"/>
          </w:tcPr>
          <w:p w14:paraId="0ED43329" w14:textId="77777777" w:rsidR="00200EBA" w:rsidRPr="0090118C" w:rsidRDefault="00200EBA" w:rsidP="006D6682">
            <w:pPr>
              <w:pStyle w:val="ab"/>
              <w:spacing w:before="0" w:beforeAutospacing="0" w:after="0" w:afterAutospacing="0"/>
              <w:jc w:val="center"/>
              <w:rPr>
                <w:color w:val="000000"/>
              </w:rPr>
            </w:pPr>
            <w:r w:rsidRPr="0090118C">
              <w:rPr>
                <w:color w:val="000000"/>
              </w:rPr>
              <w:t>Диарея</w:t>
            </w:r>
          </w:p>
          <w:p w14:paraId="7DBB6A15" w14:textId="582E01C7" w:rsidR="00200EBA" w:rsidRDefault="00200EBA" w:rsidP="006D6682">
            <w:pPr>
              <w:pStyle w:val="ab"/>
              <w:spacing w:before="0" w:beforeAutospacing="0" w:after="0" w:afterAutospacing="0"/>
              <w:jc w:val="center"/>
              <w:rPr>
                <w:color w:val="000000"/>
              </w:rPr>
            </w:pPr>
            <w:r w:rsidRPr="0090118C">
              <w:rPr>
                <w:color w:val="000000"/>
              </w:rPr>
              <w:t>Боль в животе</w:t>
            </w:r>
            <w:r w:rsidR="00A03EBA" w:rsidRPr="00D050C7">
              <w:rPr>
                <w:color w:val="000000"/>
                <w:vertAlign w:val="superscript"/>
                <w:lang w:val="en-US"/>
              </w:rPr>
              <w:t>f</w:t>
            </w:r>
          </w:p>
          <w:p w14:paraId="19E19EB1" w14:textId="77777777" w:rsidR="00200EBA" w:rsidRPr="0090118C" w:rsidRDefault="00200EBA" w:rsidP="006D6682">
            <w:pPr>
              <w:pStyle w:val="ab"/>
              <w:spacing w:before="0" w:beforeAutospacing="0" w:after="0" w:afterAutospacing="0"/>
              <w:jc w:val="center"/>
              <w:rPr>
                <w:color w:val="000000"/>
              </w:rPr>
            </w:pPr>
            <w:r w:rsidRPr="0090118C">
              <w:rPr>
                <w:color w:val="000000"/>
              </w:rPr>
              <w:t>Рвота</w:t>
            </w:r>
          </w:p>
          <w:p w14:paraId="7F91B7E6" w14:textId="77777777" w:rsidR="00200EBA" w:rsidRPr="0090118C" w:rsidRDefault="00200EBA" w:rsidP="006D6682">
            <w:pPr>
              <w:pStyle w:val="ab"/>
              <w:spacing w:before="0" w:beforeAutospacing="0" w:after="0" w:afterAutospacing="0"/>
              <w:jc w:val="center"/>
              <w:rPr>
                <w:color w:val="000000"/>
              </w:rPr>
            </w:pPr>
            <w:r w:rsidRPr="0090118C">
              <w:rPr>
                <w:color w:val="000000"/>
              </w:rPr>
              <w:t>Тошнота</w:t>
            </w:r>
          </w:p>
          <w:p w14:paraId="74907075" w14:textId="78072155" w:rsidR="00D0446E" w:rsidRDefault="00200EBA" w:rsidP="006D6682">
            <w:pPr>
              <w:pStyle w:val="ab"/>
              <w:spacing w:before="0" w:beforeAutospacing="0" w:after="0" w:afterAutospacing="0"/>
              <w:jc w:val="center"/>
              <w:rPr>
                <w:color w:val="000000"/>
              </w:rPr>
            </w:pPr>
            <w:r w:rsidRPr="0090118C">
              <w:rPr>
                <w:color w:val="000000"/>
              </w:rPr>
              <w:t>Воспаление полости рта</w:t>
            </w:r>
            <w:r w:rsidR="00A03EBA" w:rsidRPr="00D050C7">
              <w:rPr>
                <w:color w:val="000000"/>
                <w:vertAlign w:val="superscript"/>
                <w:lang w:val="en-US"/>
              </w:rPr>
              <w:t>g</w:t>
            </w:r>
          </w:p>
          <w:p w14:paraId="1448FD53" w14:textId="4496A540" w:rsidR="00200EBA" w:rsidRPr="0090118C" w:rsidRDefault="00200EBA" w:rsidP="006D6682">
            <w:pPr>
              <w:pStyle w:val="ab"/>
              <w:spacing w:before="0" w:beforeAutospacing="0" w:after="0" w:afterAutospacing="0"/>
              <w:jc w:val="center"/>
              <w:rPr>
                <w:color w:val="000000"/>
              </w:rPr>
            </w:pPr>
            <w:r w:rsidRPr="0090118C">
              <w:rPr>
                <w:color w:val="000000"/>
              </w:rPr>
              <w:t>Боль в полости рта</w:t>
            </w:r>
            <w:r w:rsidR="00A03EBA" w:rsidRPr="00D050C7">
              <w:rPr>
                <w:color w:val="000000"/>
                <w:vertAlign w:val="superscript"/>
                <w:lang w:val="en-US"/>
              </w:rPr>
              <w:t>h</w:t>
            </w:r>
          </w:p>
          <w:p w14:paraId="4F2B1BEA" w14:textId="77777777" w:rsidR="00200EBA" w:rsidRPr="0090118C" w:rsidRDefault="00200EBA" w:rsidP="006D6682">
            <w:pPr>
              <w:pStyle w:val="ab"/>
              <w:spacing w:before="0" w:beforeAutospacing="0" w:after="0" w:afterAutospacing="0"/>
              <w:jc w:val="center"/>
              <w:rPr>
                <w:color w:val="000000"/>
              </w:rPr>
            </w:pPr>
            <w:r w:rsidRPr="0090118C">
              <w:rPr>
                <w:color w:val="000000"/>
              </w:rPr>
              <w:t>Запор</w:t>
            </w:r>
          </w:p>
          <w:p w14:paraId="43DAB3C7" w14:textId="77777777" w:rsidR="00200EBA" w:rsidRPr="0090118C" w:rsidRDefault="00200EBA" w:rsidP="006D6682">
            <w:pPr>
              <w:pStyle w:val="ab"/>
              <w:spacing w:before="0" w:beforeAutospacing="0" w:after="0" w:afterAutospacing="0"/>
              <w:jc w:val="center"/>
              <w:rPr>
                <w:color w:val="000000"/>
              </w:rPr>
            </w:pPr>
            <w:r w:rsidRPr="0090118C">
              <w:rPr>
                <w:color w:val="000000"/>
              </w:rPr>
              <w:t>Диспепсия</w:t>
            </w:r>
          </w:p>
          <w:p w14:paraId="382FB5FB" w14:textId="77777777" w:rsidR="00200EBA" w:rsidRPr="0090118C" w:rsidRDefault="00200EBA" w:rsidP="006D6682">
            <w:pPr>
              <w:pStyle w:val="ab"/>
              <w:spacing w:before="0" w:beforeAutospacing="0" w:after="0" w:afterAutospacing="0"/>
              <w:jc w:val="center"/>
              <w:rPr>
                <w:color w:val="000000"/>
              </w:rPr>
            </w:pPr>
            <w:r w:rsidRPr="0090118C">
              <w:rPr>
                <w:color w:val="000000"/>
              </w:rPr>
              <w:t>Сухость слизистой оболочки</w:t>
            </w:r>
          </w:p>
        </w:tc>
        <w:tc>
          <w:tcPr>
            <w:tcW w:w="3578" w:type="dxa"/>
            <w:vAlign w:val="center"/>
          </w:tcPr>
          <w:p w14:paraId="19652C1D" w14:textId="77777777" w:rsidR="00200EBA" w:rsidRPr="0090118C" w:rsidRDefault="00200EBA" w:rsidP="006D6682">
            <w:pPr>
              <w:pStyle w:val="ab"/>
              <w:spacing w:before="0" w:beforeAutospacing="0" w:after="0" w:afterAutospacing="0"/>
              <w:jc w:val="center"/>
              <w:rPr>
                <w:color w:val="000000"/>
              </w:rPr>
            </w:pPr>
            <w:r w:rsidRPr="0090118C">
              <w:rPr>
                <w:color w:val="000000"/>
              </w:rPr>
              <w:t>Диарея</w:t>
            </w:r>
          </w:p>
          <w:p w14:paraId="595A046A" w14:textId="624E6D54" w:rsidR="00200EBA" w:rsidRDefault="00200EBA" w:rsidP="006D6682">
            <w:pPr>
              <w:pStyle w:val="ab"/>
              <w:spacing w:before="0" w:beforeAutospacing="0" w:after="0" w:afterAutospacing="0"/>
              <w:jc w:val="center"/>
              <w:rPr>
                <w:color w:val="000000"/>
              </w:rPr>
            </w:pPr>
            <w:r w:rsidRPr="0090118C">
              <w:rPr>
                <w:color w:val="000000"/>
              </w:rPr>
              <w:t>Боль в животе</w:t>
            </w:r>
            <w:r w:rsidR="00A03EBA" w:rsidRPr="001F02F5">
              <w:rPr>
                <w:color w:val="000000"/>
                <w:vertAlign w:val="superscript"/>
                <w:lang w:val="en-US"/>
              </w:rPr>
              <w:t>f</w:t>
            </w:r>
          </w:p>
          <w:p w14:paraId="6D6832F8" w14:textId="77777777" w:rsidR="00200EBA" w:rsidRPr="0090118C" w:rsidRDefault="00200EBA" w:rsidP="006D6682">
            <w:pPr>
              <w:pStyle w:val="ab"/>
              <w:spacing w:before="0" w:beforeAutospacing="0" w:after="0" w:afterAutospacing="0"/>
              <w:jc w:val="center"/>
              <w:rPr>
                <w:color w:val="000000"/>
              </w:rPr>
            </w:pPr>
            <w:r w:rsidRPr="0090118C">
              <w:rPr>
                <w:color w:val="000000"/>
              </w:rPr>
              <w:t>Рвота</w:t>
            </w:r>
          </w:p>
          <w:p w14:paraId="5178337A" w14:textId="77777777" w:rsidR="00200EBA" w:rsidRPr="0090118C" w:rsidRDefault="00200EBA" w:rsidP="006D6682">
            <w:pPr>
              <w:pStyle w:val="ab"/>
              <w:spacing w:before="0" w:beforeAutospacing="0" w:after="0" w:afterAutospacing="0"/>
              <w:jc w:val="center"/>
              <w:rPr>
                <w:color w:val="000000"/>
              </w:rPr>
            </w:pPr>
            <w:r w:rsidRPr="0090118C">
              <w:rPr>
                <w:color w:val="000000"/>
              </w:rPr>
              <w:t>Тошнота</w:t>
            </w:r>
          </w:p>
          <w:p w14:paraId="44BD8C2C" w14:textId="75C50AA0" w:rsidR="00876940" w:rsidRDefault="00200EBA" w:rsidP="006D6682">
            <w:pPr>
              <w:pStyle w:val="ab"/>
              <w:spacing w:before="0" w:beforeAutospacing="0" w:after="0" w:afterAutospacing="0"/>
              <w:jc w:val="center"/>
              <w:rPr>
                <w:color w:val="000000"/>
              </w:rPr>
            </w:pPr>
            <w:r w:rsidRPr="0090118C">
              <w:rPr>
                <w:color w:val="000000"/>
              </w:rPr>
              <w:t>Воспаление полости рта</w:t>
            </w:r>
            <w:r w:rsidR="00876940" w:rsidRPr="001F02F5">
              <w:rPr>
                <w:color w:val="000000"/>
                <w:vertAlign w:val="superscript"/>
                <w:lang w:val="en-US"/>
              </w:rPr>
              <w:t>g</w:t>
            </w:r>
          </w:p>
          <w:p w14:paraId="0B5BB201" w14:textId="23359789" w:rsidR="00200EBA" w:rsidRPr="0090118C" w:rsidRDefault="00200EBA" w:rsidP="006D6682">
            <w:pPr>
              <w:pStyle w:val="ab"/>
              <w:spacing w:before="0" w:beforeAutospacing="0" w:after="0" w:afterAutospacing="0"/>
              <w:jc w:val="center"/>
              <w:rPr>
                <w:color w:val="000000"/>
              </w:rPr>
            </w:pPr>
            <w:r w:rsidRPr="0090118C">
              <w:rPr>
                <w:color w:val="000000"/>
              </w:rPr>
              <w:t>Боль в полости рта</w:t>
            </w:r>
            <w:r w:rsidR="00876940" w:rsidRPr="001F02F5">
              <w:rPr>
                <w:color w:val="000000"/>
                <w:vertAlign w:val="superscript"/>
                <w:lang w:val="en-US"/>
              </w:rPr>
              <w:t>h</w:t>
            </w:r>
          </w:p>
          <w:p w14:paraId="57C88C4E" w14:textId="77777777" w:rsidR="00200EBA" w:rsidRPr="0090118C" w:rsidRDefault="00200EBA" w:rsidP="006D6682">
            <w:pPr>
              <w:pStyle w:val="ab"/>
              <w:spacing w:before="0" w:beforeAutospacing="0" w:after="0" w:afterAutospacing="0"/>
              <w:jc w:val="center"/>
              <w:rPr>
                <w:color w:val="000000"/>
              </w:rPr>
            </w:pPr>
            <w:r w:rsidRPr="0090118C">
              <w:rPr>
                <w:color w:val="000000"/>
              </w:rPr>
              <w:t>Запор</w:t>
            </w:r>
          </w:p>
          <w:p w14:paraId="43BB722A" w14:textId="77777777" w:rsidR="00200EBA" w:rsidRPr="0090118C" w:rsidRDefault="00200EBA" w:rsidP="006D6682">
            <w:pPr>
              <w:pStyle w:val="ab"/>
              <w:spacing w:before="0" w:beforeAutospacing="0" w:after="0" w:afterAutospacing="0"/>
              <w:jc w:val="center"/>
              <w:rPr>
                <w:color w:val="000000"/>
              </w:rPr>
            </w:pPr>
            <w:r w:rsidRPr="0090118C">
              <w:rPr>
                <w:color w:val="000000"/>
              </w:rPr>
              <w:t>Диспепсия</w:t>
            </w:r>
          </w:p>
          <w:p w14:paraId="100FE8C8" w14:textId="77777777" w:rsidR="00200EBA" w:rsidRDefault="00200EBA" w:rsidP="006D6682">
            <w:pPr>
              <w:pStyle w:val="ab"/>
              <w:spacing w:before="0" w:beforeAutospacing="0" w:after="0" w:afterAutospacing="0"/>
              <w:jc w:val="center"/>
              <w:rPr>
                <w:color w:val="000000"/>
              </w:rPr>
            </w:pPr>
            <w:r w:rsidRPr="0090118C">
              <w:rPr>
                <w:color w:val="000000"/>
              </w:rPr>
              <w:t>Сухость слизистой оболочки</w:t>
            </w:r>
          </w:p>
          <w:p w14:paraId="3EF56001" w14:textId="5A031C8A" w:rsidR="00876940" w:rsidRDefault="00876940" w:rsidP="006D6682">
            <w:pPr>
              <w:pStyle w:val="ab"/>
              <w:spacing w:before="0" w:beforeAutospacing="0" w:after="0" w:afterAutospacing="0"/>
              <w:jc w:val="center"/>
              <w:rPr>
                <w:color w:val="000000"/>
              </w:rPr>
            </w:pPr>
            <w:r w:rsidRPr="0090118C">
              <w:rPr>
                <w:color w:val="000000"/>
              </w:rPr>
              <w:t>Повышение активности липазы</w:t>
            </w:r>
          </w:p>
          <w:p w14:paraId="09178955" w14:textId="17457F3C" w:rsidR="00876940" w:rsidRPr="000D1198" w:rsidRDefault="00876940" w:rsidP="006D6682">
            <w:pPr>
              <w:pStyle w:val="ab"/>
              <w:spacing w:before="0" w:beforeAutospacing="0" w:after="0" w:afterAutospacing="0"/>
              <w:jc w:val="center"/>
              <w:rPr>
                <w:b/>
                <w:bCs/>
                <w:color w:val="000000"/>
              </w:rPr>
            </w:pPr>
            <w:r w:rsidRPr="0090118C">
              <w:rPr>
                <w:color w:val="000000"/>
              </w:rPr>
              <w:t>Повышение активности амилазы</w:t>
            </w:r>
          </w:p>
        </w:tc>
      </w:tr>
      <w:tr w:rsidR="00200EBA" w14:paraId="68628432" w14:textId="77777777" w:rsidTr="006D6682">
        <w:tc>
          <w:tcPr>
            <w:tcW w:w="2199" w:type="dxa"/>
            <w:vAlign w:val="center"/>
          </w:tcPr>
          <w:p w14:paraId="737282EB" w14:textId="77777777" w:rsidR="00200EBA" w:rsidRPr="000D1198" w:rsidRDefault="00200EBA" w:rsidP="006D6682">
            <w:pPr>
              <w:pStyle w:val="ab"/>
              <w:spacing w:before="0" w:beforeAutospacing="0" w:after="0" w:afterAutospacing="0"/>
              <w:jc w:val="center"/>
              <w:rPr>
                <w:b/>
                <w:bCs/>
              </w:rPr>
            </w:pPr>
            <w:r w:rsidRPr="002D2DC7">
              <w:t>Часто</w:t>
            </w:r>
          </w:p>
        </w:tc>
        <w:tc>
          <w:tcPr>
            <w:tcW w:w="3569" w:type="dxa"/>
            <w:vAlign w:val="center"/>
          </w:tcPr>
          <w:p w14:paraId="0B156F7B" w14:textId="77777777" w:rsidR="00200EBA" w:rsidRPr="0090118C" w:rsidRDefault="00200EBA" w:rsidP="006D6682">
            <w:pPr>
              <w:pStyle w:val="ab"/>
              <w:spacing w:before="0" w:beforeAutospacing="0" w:after="0" w:afterAutospacing="0"/>
              <w:jc w:val="center"/>
              <w:rPr>
                <w:color w:val="000000"/>
              </w:rPr>
            </w:pPr>
            <w:r w:rsidRPr="0090118C">
              <w:rPr>
                <w:color w:val="000000"/>
              </w:rPr>
              <w:t>Фистула прямой кишки</w:t>
            </w:r>
          </w:p>
          <w:p w14:paraId="506269C5" w14:textId="77777777" w:rsidR="00200EBA" w:rsidRPr="0090118C" w:rsidRDefault="00200EBA" w:rsidP="006D6682">
            <w:pPr>
              <w:pStyle w:val="ab"/>
              <w:spacing w:before="0" w:beforeAutospacing="0" w:after="0" w:afterAutospacing="0"/>
              <w:jc w:val="center"/>
              <w:rPr>
                <w:color w:val="000000"/>
              </w:rPr>
            </w:pPr>
            <w:r w:rsidRPr="0090118C">
              <w:rPr>
                <w:color w:val="000000"/>
              </w:rPr>
              <w:t>Метеоризм</w:t>
            </w:r>
          </w:p>
          <w:p w14:paraId="6A808B39" w14:textId="446AB5B2" w:rsidR="00200EBA" w:rsidRDefault="00200EBA" w:rsidP="006D6682">
            <w:pPr>
              <w:pStyle w:val="ab"/>
              <w:spacing w:before="0" w:beforeAutospacing="0" w:after="0" w:afterAutospacing="0"/>
              <w:jc w:val="center"/>
              <w:rPr>
                <w:color w:val="000000"/>
              </w:rPr>
            </w:pPr>
            <w:r w:rsidRPr="0090118C">
              <w:rPr>
                <w:color w:val="000000"/>
              </w:rPr>
              <w:t>Повышение активности липазы</w:t>
            </w:r>
          </w:p>
          <w:p w14:paraId="6069EFAF" w14:textId="77777777" w:rsidR="00200EBA" w:rsidRPr="0090118C" w:rsidRDefault="00200EBA" w:rsidP="006D6682">
            <w:pPr>
              <w:pStyle w:val="ab"/>
              <w:spacing w:before="0" w:beforeAutospacing="0" w:after="0" w:afterAutospacing="0"/>
              <w:jc w:val="center"/>
              <w:rPr>
                <w:color w:val="000000"/>
              </w:rPr>
            </w:pPr>
            <w:r w:rsidRPr="0090118C">
              <w:rPr>
                <w:color w:val="000000"/>
              </w:rPr>
              <w:t>Повышение активности амилазы</w:t>
            </w:r>
          </w:p>
        </w:tc>
        <w:tc>
          <w:tcPr>
            <w:tcW w:w="3578" w:type="dxa"/>
            <w:vAlign w:val="center"/>
          </w:tcPr>
          <w:p w14:paraId="7FF99414" w14:textId="2B34B79F" w:rsidR="00200EBA" w:rsidRPr="00D050C7" w:rsidRDefault="00200EBA" w:rsidP="006D6682">
            <w:pPr>
              <w:pStyle w:val="ab"/>
              <w:spacing w:before="0" w:beforeAutospacing="0" w:after="0" w:afterAutospacing="0"/>
              <w:jc w:val="center"/>
              <w:rPr>
                <w:color w:val="000000"/>
                <w:lang w:val="en-US"/>
              </w:rPr>
            </w:pPr>
            <w:r>
              <w:rPr>
                <w:color w:val="000000"/>
              </w:rPr>
              <w:t>Панкреатит</w:t>
            </w:r>
            <w:r w:rsidR="00DF1957" w:rsidRPr="00D050C7">
              <w:rPr>
                <w:color w:val="000000"/>
                <w:vertAlign w:val="superscript"/>
                <w:lang w:val="en-US"/>
              </w:rPr>
              <w:t>i</w:t>
            </w:r>
          </w:p>
          <w:p w14:paraId="24B2CE2F" w14:textId="77777777" w:rsidR="00200EBA" w:rsidRPr="0090118C" w:rsidRDefault="00200EBA" w:rsidP="006D6682">
            <w:pPr>
              <w:pStyle w:val="ab"/>
              <w:spacing w:before="0" w:beforeAutospacing="0" w:after="0" w:afterAutospacing="0"/>
              <w:jc w:val="center"/>
              <w:rPr>
                <w:color w:val="000000"/>
              </w:rPr>
            </w:pPr>
            <w:r w:rsidRPr="0090118C">
              <w:rPr>
                <w:color w:val="000000"/>
              </w:rPr>
              <w:t>Метеоризм</w:t>
            </w:r>
          </w:p>
          <w:p w14:paraId="7A9CB1EB" w14:textId="77777777" w:rsidR="00200EBA" w:rsidRPr="000D1198" w:rsidRDefault="00200EBA" w:rsidP="006D6682">
            <w:pPr>
              <w:pStyle w:val="ab"/>
              <w:jc w:val="center"/>
              <w:rPr>
                <w:b/>
                <w:bCs/>
                <w:color w:val="000000"/>
              </w:rPr>
            </w:pPr>
          </w:p>
        </w:tc>
      </w:tr>
      <w:tr w:rsidR="00200EBA" w14:paraId="056E1B46" w14:textId="77777777" w:rsidTr="006D6682">
        <w:tc>
          <w:tcPr>
            <w:tcW w:w="2199" w:type="dxa"/>
            <w:vAlign w:val="center"/>
          </w:tcPr>
          <w:p w14:paraId="26766DDF" w14:textId="77777777" w:rsidR="00200EBA" w:rsidRPr="000D1198" w:rsidRDefault="00200EBA" w:rsidP="006D6682">
            <w:pPr>
              <w:pStyle w:val="ab"/>
              <w:spacing w:before="0" w:beforeAutospacing="0" w:after="0" w:afterAutospacing="0"/>
              <w:jc w:val="center"/>
              <w:rPr>
                <w:b/>
                <w:bCs/>
              </w:rPr>
            </w:pPr>
            <w:r w:rsidRPr="00132AAB">
              <w:t>Нечасто</w:t>
            </w:r>
          </w:p>
        </w:tc>
        <w:tc>
          <w:tcPr>
            <w:tcW w:w="3569" w:type="dxa"/>
            <w:vAlign w:val="center"/>
          </w:tcPr>
          <w:p w14:paraId="2861D995" w14:textId="68C1E1CA" w:rsidR="00200EBA" w:rsidRPr="0090118C" w:rsidRDefault="00200EBA" w:rsidP="006D6682">
            <w:pPr>
              <w:pStyle w:val="ab"/>
              <w:spacing w:before="0" w:beforeAutospacing="0" w:after="0" w:afterAutospacing="0"/>
              <w:jc w:val="center"/>
              <w:rPr>
                <w:color w:val="000000"/>
              </w:rPr>
            </w:pPr>
            <w:r w:rsidRPr="0090118C">
              <w:rPr>
                <w:color w:val="000000"/>
              </w:rPr>
              <w:t>Панкреатит</w:t>
            </w:r>
            <w:r w:rsidR="00C81096" w:rsidRPr="001F02F5">
              <w:rPr>
                <w:color w:val="000000"/>
                <w:vertAlign w:val="superscript"/>
                <w:lang w:val="en-US"/>
              </w:rPr>
              <w:t>i</w:t>
            </w:r>
          </w:p>
        </w:tc>
        <w:tc>
          <w:tcPr>
            <w:tcW w:w="3578" w:type="dxa"/>
            <w:vAlign w:val="center"/>
          </w:tcPr>
          <w:p w14:paraId="4CE4ED3D" w14:textId="77777777" w:rsidR="00200EBA" w:rsidRPr="0090118C" w:rsidRDefault="00200EBA" w:rsidP="006D6682">
            <w:pPr>
              <w:pStyle w:val="ab"/>
              <w:jc w:val="center"/>
              <w:rPr>
                <w:color w:val="000000"/>
              </w:rPr>
            </w:pPr>
            <w:r w:rsidRPr="0090118C">
              <w:rPr>
                <w:color w:val="000000"/>
              </w:rPr>
              <w:t>Фистула прямой кишки</w:t>
            </w:r>
          </w:p>
        </w:tc>
      </w:tr>
      <w:tr w:rsidR="008B465A" w14:paraId="344BC979" w14:textId="77777777" w:rsidTr="006D6682">
        <w:tc>
          <w:tcPr>
            <w:tcW w:w="9346" w:type="dxa"/>
            <w:gridSpan w:val="3"/>
            <w:vAlign w:val="center"/>
          </w:tcPr>
          <w:p w14:paraId="24498A4F" w14:textId="69B4AF1F" w:rsidR="008B465A" w:rsidRPr="000D1198" w:rsidRDefault="008B465A" w:rsidP="006D6682">
            <w:pPr>
              <w:pStyle w:val="ab"/>
              <w:jc w:val="center"/>
              <w:rPr>
                <w:b/>
                <w:bCs/>
                <w:color w:val="000000"/>
              </w:rPr>
            </w:pPr>
            <w:r w:rsidRPr="0090118C">
              <w:rPr>
                <w:b/>
                <w:bCs/>
              </w:rPr>
              <w:t>Нарушения со стороны печени и желчевыводящих путей</w:t>
            </w:r>
          </w:p>
        </w:tc>
      </w:tr>
      <w:tr w:rsidR="00200EBA" w14:paraId="2F6FFFAD" w14:textId="77777777" w:rsidTr="006D6682">
        <w:tc>
          <w:tcPr>
            <w:tcW w:w="2199" w:type="dxa"/>
            <w:vAlign w:val="center"/>
          </w:tcPr>
          <w:p w14:paraId="5A7CF974" w14:textId="77777777" w:rsidR="00200EBA" w:rsidRPr="00132AAB" w:rsidRDefault="00200EBA" w:rsidP="006D6682">
            <w:pPr>
              <w:pStyle w:val="ab"/>
              <w:spacing w:before="0" w:beforeAutospacing="0" w:after="0" w:afterAutospacing="0"/>
              <w:jc w:val="center"/>
            </w:pPr>
            <w:r w:rsidRPr="002D2DC7">
              <w:t>Очень часто</w:t>
            </w:r>
          </w:p>
        </w:tc>
        <w:tc>
          <w:tcPr>
            <w:tcW w:w="3569" w:type="dxa"/>
            <w:vAlign w:val="center"/>
          </w:tcPr>
          <w:p w14:paraId="077AB075" w14:textId="77777777" w:rsidR="00200EBA" w:rsidRPr="0090118C" w:rsidRDefault="00200EBA" w:rsidP="006D6682">
            <w:pPr>
              <w:pStyle w:val="ab"/>
              <w:spacing w:before="0" w:beforeAutospacing="0" w:after="0" w:afterAutospacing="0"/>
              <w:jc w:val="center"/>
              <w:rPr>
                <w:color w:val="000000"/>
              </w:rPr>
            </w:pPr>
            <w:r w:rsidRPr="0090118C">
              <w:rPr>
                <w:color w:val="000000"/>
              </w:rPr>
              <w:t>Повышение концентрации</w:t>
            </w:r>
          </w:p>
          <w:p w14:paraId="08D03FC4" w14:textId="5C28A3CD" w:rsidR="00200EBA" w:rsidRPr="0090118C" w:rsidRDefault="00200EBA" w:rsidP="006D6682">
            <w:pPr>
              <w:pStyle w:val="ab"/>
              <w:spacing w:before="0" w:beforeAutospacing="0" w:after="0" w:afterAutospacing="0"/>
              <w:jc w:val="center"/>
              <w:rPr>
                <w:color w:val="000000"/>
              </w:rPr>
            </w:pPr>
            <w:r w:rsidRPr="0090118C">
              <w:rPr>
                <w:color w:val="000000"/>
              </w:rPr>
              <w:t>билирубина в крови</w:t>
            </w:r>
            <w:r w:rsidR="008E2C44" w:rsidRPr="00D050C7">
              <w:rPr>
                <w:color w:val="000000"/>
                <w:vertAlign w:val="superscript"/>
                <w:lang w:val="en-US"/>
              </w:rPr>
              <w:t>j</w:t>
            </w:r>
            <w:r w:rsidRPr="00D050C7">
              <w:rPr>
                <w:color w:val="000000"/>
                <w:vertAlign w:val="superscript"/>
              </w:rPr>
              <w:t xml:space="preserve"> </w:t>
            </w:r>
            <w:r w:rsidRPr="0090118C">
              <w:rPr>
                <w:color w:val="000000"/>
              </w:rPr>
              <w:t>Гипоальбуминемия</w:t>
            </w:r>
            <w:r w:rsidR="008E2C44" w:rsidRPr="0068400D">
              <w:rPr>
                <w:color w:val="000000"/>
                <w:vertAlign w:val="superscript"/>
                <w:lang w:val="en-US"/>
              </w:rPr>
              <w:t>j</w:t>
            </w:r>
          </w:p>
          <w:p w14:paraId="3092DE68" w14:textId="77777777" w:rsidR="00E617E8" w:rsidRDefault="00200EBA" w:rsidP="006D6682">
            <w:pPr>
              <w:pStyle w:val="ab"/>
              <w:spacing w:before="0" w:beforeAutospacing="0" w:after="0" w:afterAutospacing="0"/>
              <w:jc w:val="center"/>
              <w:rPr>
                <w:color w:val="000000"/>
              </w:rPr>
            </w:pPr>
            <w:r w:rsidRPr="0090118C">
              <w:rPr>
                <w:color w:val="000000"/>
              </w:rPr>
              <w:t xml:space="preserve">Повышение активности </w:t>
            </w:r>
            <w:r w:rsidR="00C424B9">
              <w:rPr>
                <w:color w:val="000000"/>
              </w:rPr>
              <w:t>АЛТ</w:t>
            </w:r>
          </w:p>
          <w:p w14:paraId="382AEBB7" w14:textId="125DB91A" w:rsidR="00200EBA" w:rsidRPr="008E2C44" w:rsidRDefault="00200EBA" w:rsidP="006D6682">
            <w:pPr>
              <w:pStyle w:val="ab"/>
              <w:spacing w:before="0" w:beforeAutospacing="0" w:after="0" w:afterAutospacing="0"/>
              <w:jc w:val="center"/>
              <w:rPr>
                <w:color w:val="000000"/>
              </w:rPr>
            </w:pPr>
            <w:r w:rsidRPr="0090118C">
              <w:rPr>
                <w:color w:val="000000"/>
              </w:rPr>
              <w:t xml:space="preserve">Повышение активности </w:t>
            </w:r>
            <w:r w:rsidR="008E2C44">
              <w:rPr>
                <w:color w:val="000000"/>
              </w:rPr>
              <w:t>АСТ</w:t>
            </w:r>
          </w:p>
        </w:tc>
        <w:tc>
          <w:tcPr>
            <w:tcW w:w="3578" w:type="dxa"/>
            <w:vAlign w:val="center"/>
          </w:tcPr>
          <w:p w14:paraId="0F2DE509" w14:textId="547D8C73" w:rsidR="00200EBA" w:rsidRPr="0090118C" w:rsidRDefault="00200EBA" w:rsidP="006D6682">
            <w:pPr>
              <w:pStyle w:val="ab"/>
              <w:spacing w:before="0" w:beforeAutospacing="0" w:after="0" w:afterAutospacing="0"/>
              <w:jc w:val="center"/>
              <w:rPr>
                <w:color w:val="000000"/>
              </w:rPr>
            </w:pPr>
            <w:r w:rsidRPr="0090118C">
              <w:rPr>
                <w:color w:val="000000"/>
              </w:rPr>
              <w:t>Гипоальбуминемия</w:t>
            </w:r>
            <w:r w:rsidR="00D0446E" w:rsidRPr="0068400D">
              <w:rPr>
                <w:color w:val="000000"/>
                <w:vertAlign w:val="superscript"/>
                <w:lang w:val="en-US"/>
              </w:rPr>
              <w:t>j</w:t>
            </w:r>
          </w:p>
          <w:p w14:paraId="3E9D232F" w14:textId="68DF77E5" w:rsidR="006E6669" w:rsidRDefault="00200EBA" w:rsidP="006D6682">
            <w:pPr>
              <w:pStyle w:val="ab"/>
              <w:spacing w:before="0" w:beforeAutospacing="0" w:after="0" w:afterAutospacing="0"/>
              <w:jc w:val="center"/>
              <w:rPr>
                <w:color w:val="000000"/>
              </w:rPr>
            </w:pPr>
            <w:r w:rsidRPr="0090118C">
              <w:rPr>
                <w:color w:val="000000"/>
              </w:rPr>
              <w:t xml:space="preserve">Повышение активности </w:t>
            </w:r>
            <w:r w:rsidR="006E6669">
              <w:rPr>
                <w:color w:val="000000"/>
              </w:rPr>
              <w:t>АЛТ</w:t>
            </w:r>
          </w:p>
          <w:p w14:paraId="0194C48F" w14:textId="60076F05" w:rsidR="005B2F40" w:rsidRDefault="005B2F40" w:rsidP="006D6682">
            <w:pPr>
              <w:pStyle w:val="ab"/>
              <w:spacing w:before="0" w:beforeAutospacing="0" w:after="0" w:afterAutospacing="0"/>
              <w:jc w:val="center"/>
              <w:rPr>
                <w:color w:val="000000"/>
              </w:rPr>
            </w:pPr>
            <w:r w:rsidRPr="0090118C">
              <w:rPr>
                <w:color w:val="000000"/>
              </w:rPr>
              <w:t xml:space="preserve">Повышение активности </w:t>
            </w:r>
            <w:r>
              <w:rPr>
                <w:color w:val="000000"/>
              </w:rPr>
              <w:t>АСТ</w:t>
            </w:r>
          </w:p>
          <w:p w14:paraId="6EB84D07" w14:textId="1E7F6AD1" w:rsidR="00200EBA" w:rsidRPr="000D1198" w:rsidRDefault="00200EBA" w:rsidP="006D6682">
            <w:pPr>
              <w:pStyle w:val="ab"/>
              <w:spacing w:before="0" w:beforeAutospacing="0" w:after="0" w:afterAutospacing="0"/>
              <w:jc w:val="center"/>
              <w:rPr>
                <w:b/>
                <w:bCs/>
                <w:color w:val="000000"/>
              </w:rPr>
            </w:pPr>
            <w:r w:rsidRPr="0090118C">
              <w:rPr>
                <w:color w:val="000000"/>
              </w:rPr>
              <w:t xml:space="preserve">Повышение активности </w:t>
            </w:r>
            <w:r>
              <w:rPr>
                <w:color w:val="000000"/>
              </w:rPr>
              <w:t>щелочной фосфатазы</w:t>
            </w:r>
          </w:p>
        </w:tc>
      </w:tr>
      <w:tr w:rsidR="00200EBA" w14:paraId="1009BC7B" w14:textId="77777777" w:rsidTr="006D6682">
        <w:tc>
          <w:tcPr>
            <w:tcW w:w="2199" w:type="dxa"/>
            <w:vAlign w:val="center"/>
          </w:tcPr>
          <w:p w14:paraId="76B06CAE" w14:textId="77777777" w:rsidR="00200EBA" w:rsidRPr="00132AAB" w:rsidRDefault="00200EBA" w:rsidP="006D6682">
            <w:pPr>
              <w:pStyle w:val="ab"/>
              <w:spacing w:before="0" w:beforeAutospacing="0" w:after="0" w:afterAutospacing="0"/>
              <w:jc w:val="center"/>
            </w:pPr>
            <w:r w:rsidRPr="002D2DC7">
              <w:t>Часто</w:t>
            </w:r>
          </w:p>
        </w:tc>
        <w:tc>
          <w:tcPr>
            <w:tcW w:w="3569" w:type="dxa"/>
            <w:vAlign w:val="center"/>
          </w:tcPr>
          <w:p w14:paraId="6946516F" w14:textId="4CC94627" w:rsidR="00200EBA" w:rsidRPr="009413DC" w:rsidRDefault="00200EBA" w:rsidP="006D6682">
            <w:pPr>
              <w:pStyle w:val="ab"/>
              <w:spacing w:before="0" w:beforeAutospacing="0" w:after="0" w:afterAutospacing="0"/>
              <w:jc w:val="center"/>
              <w:rPr>
                <w:color w:val="000000"/>
              </w:rPr>
            </w:pPr>
            <w:r w:rsidRPr="009413DC">
              <w:rPr>
                <w:color w:val="000000"/>
              </w:rPr>
              <w:t>Печеночная недостаточность</w:t>
            </w:r>
            <w:r w:rsidR="00ED2FD4">
              <w:rPr>
                <w:color w:val="000000"/>
              </w:rPr>
              <w:t>†</w:t>
            </w:r>
            <w:r w:rsidR="00ED2FD4" w:rsidRPr="00D050C7">
              <w:rPr>
                <w:color w:val="000000"/>
                <w:vertAlign w:val="superscript"/>
              </w:rPr>
              <w:t>,</w:t>
            </w:r>
            <w:r w:rsidR="00ED2FD4" w:rsidRPr="00D050C7">
              <w:rPr>
                <w:color w:val="000000"/>
                <w:vertAlign w:val="superscript"/>
                <w:lang w:val="en-US"/>
              </w:rPr>
              <w:t>k</w:t>
            </w:r>
          </w:p>
          <w:p w14:paraId="49AF03D6" w14:textId="20D0C783" w:rsidR="00200EBA" w:rsidRPr="009413DC" w:rsidRDefault="00200EBA" w:rsidP="006D6682">
            <w:pPr>
              <w:pStyle w:val="ab"/>
              <w:spacing w:before="0" w:beforeAutospacing="0" w:after="0" w:afterAutospacing="0"/>
              <w:jc w:val="center"/>
              <w:rPr>
                <w:color w:val="000000"/>
              </w:rPr>
            </w:pPr>
            <w:r w:rsidRPr="009413DC">
              <w:rPr>
                <w:color w:val="000000"/>
              </w:rPr>
              <w:t>Печеночная энцефалопатия</w:t>
            </w:r>
            <w:r w:rsidR="007538F0">
              <w:rPr>
                <w:color w:val="000000"/>
              </w:rPr>
              <w:t>†</w:t>
            </w:r>
            <w:r w:rsidR="007538F0" w:rsidRPr="0068400D">
              <w:rPr>
                <w:color w:val="000000"/>
                <w:vertAlign w:val="superscript"/>
              </w:rPr>
              <w:t>,</w:t>
            </w:r>
            <w:r w:rsidR="007538F0">
              <w:rPr>
                <w:color w:val="000000"/>
                <w:vertAlign w:val="superscript"/>
                <w:lang w:val="en-US"/>
              </w:rPr>
              <w:t>l</w:t>
            </w:r>
            <w:r w:rsidRPr="009413DC">
              <w:rPr>
                <w:color w:val="000000"/>
              </w:rPr>
              <w:t xml:space="preserve"> Повышение активности щелочной фосфатазы</w:t>
            </w:r>
          </w:p>
          <w:p w14:paraId="5A3313E3" w14:textId="609533DC" w:rsidR="00200EBA" w:rsidRDefault="00200EBA" w:rsidP="006D6682">
            <w:pPr>
              <w:pStyle w:val="ab"/>
              <w:spacing w:before="0" w:beforeAutospacing="0" w:after="0" w:afterAutospacing="0"/>
              <w:jc w:val="center"/>
              <w:rPr>
                <w:color w:val="000000"/>
              </w:rPr>
            </w:pPr>
            <w:r w:rsidRPr="009413DC">
              <w:rPr>
                <w:color w:val="000000"/>
              </w:rPr>
              <w:t>Нарушение функции печени</w:t>
            </w:r>
          </w:p>
          <w:p w14:paraId="748EE1EC" w14:textId="77777777" w:rsidR="00200EBA" w:rsidRPr="009413DC" w:rsidRDefault="00200EBA" w:rsidP="006D6682">
            <w:pPr>
              <w:pStyle w:val="ab"/>
              <w:spacing w:before="0" w:beforeAutospacing="0" w:after="0" w:afterAutospacing="0"/>
              <w:jc w:val="center"/>
              <w:rPr>
                <w:color w:val="000000"/>
              </w:rPr>
            </w:pPr>
            <w:r w:rsidRPr="009413DC">
              <w:rPr>
                <w:color w:val="000000"/>
              </w:rPr>
              <w:t>Повышение активности гамма-</w:t>
            </w:r>
          </w:p>
          <w:p w14:paraId="287E219B" w14:textId="77777777" w:rsidR="00200EBA" w:rsidRPr="000D1198" w:rsidRDefault="00200EBA" w:rsidP="006D6682">
            <w:pPr>
              <w:pStyle w:val="ab"/>
              <w:spacing w:before="0" w:beforeAutospacing="0" w:after="0" w:afterAutospacing="0"/>
              <w:jc w:val="center"/>
              <w:rPr>
                <w:b/>
                <w:bCs/>
                <w:color w:val="000000"/>
              </w:rPr>
            </w:pPr>
            <w:r w:rsidRPr="009413DC">
              <w:rPr>
                <w:color w:val="000000"/>
              </w:rPr>
              <w:t>глутамилтрансферазы Холецистит</w:t>
            </w:r>
          </w:p>
        </w:tc>
        <w:tc>
          <w:tcPr>
            <w:tcW w:w="3578" w:type="dxa"/>
            <w:vAlign w:val="center"/>
          </w:tcPr>
          <w:p w14:paraId="09DC0F5A" w14:textId="77777777" w:rsidR="00200EBA" w:rsidRPr="009413DC" w:rsidRDefault="00200EBA" w:rsidP="006D6682">
            <w:pPr>
              <w:pStyle w:val="ab"/>
              <w:spacing w:before="0" w:beforeAutospacing="0" w:after="0" w:afterAutospacing="0"/>
              <w:jc w:val="center"/>
              <w:rPr>
                <w:color w:val="000000"/>
              </w:rPr>
            </w:pPr>
            <w:r w:rsidRPr="009413DC">
              <w:rPr>
                <w:color w:val="000000"/>
              </w:rPr>
              <w:t>Холецистит</w:t>
            </w:r>
          </w:p>
          <w:p w14:paraId="5A45B394" w14:textId="56F37C20" w:rsidR="00200EBA" w:rsidRDefault="00200EBA" w:rsidP="006D6682">
            <w:pPr>
              <w:pStyle w:val="ab"/>
              <w:spacing w:before="0" w:beforeAutospacing="0" w:after="0" w:afterAutospacing="0"/>
              <w:jc w:val="center"/>
              <w:rPr>
                <w:color w:val="000000"/>
              </w:rPr>
            </w:pPr>
            <w:r w:rsidRPr="009413DC">
              <w:rPr>
                <w:color w:val="000000"/>
              </w:rPr>
              <w:t>Нарушение функции печени</w:t>
            </w:r>
          </w:p>
          <w:p w14:paraId="3F072456" w14:textId="2354A891" w:rsidR="00200EBA" w:rsidRPr="000D1198" w:rsidRDefault="00200EBA" w:rsidP="006D6682">
            <w:pPr>
              <w:pStyle w:val="ab"/>
              <w:spacing w:before="0" w:beforeAutospacing="0" w:after="0" w:afterAutospacing="0"/>
              <w:jc w:val="center"/>
              <w:rPr>
                <w:b/>
                <w:bCs/>
                <w:color w:val="000000"/>
              </w:rPr>
            </w:pPr>
            <w:r w:rsidRPr="009413DC">
              <w:rPr>
                <w:color w:val="000000"/>
              </w:rPr>
              <w:t>Повышение концентрации билирубина в крови</w:t>
            </w:r>
            <w:r w:rsidR="007538F0" w:rsidRPr="0068400D">
              <w:rPr>
                <w:color w:val="000000"/>
                <w:vertAlign w:val="superscript"/>
                <w:lang w:val="en-US"/>
              </w:rPr>
              <w:t>j</w:t>
            </w:r>
            <w:r w:rsidRPr="009413DC">
              <w:rPr>
                <w:color w:val="000000"/>
              </w:rPr>
              <w:t xml:space="preserve"> Повышение активности гамма- глутамилтрансферазы</w:t>
            </w:r>
          </w:p>
        </w:tc>
      </w:tr>
      <w:tr w:rsidR="00200EBA" w14:paraId="5C23203A" w14:textId="77777777" w:rsidTr="006D6682">
        <w:tc>
          <w:tcPr>
            <w:tcW w:w="2199" w:type="dxa"/>
            <w:vAlign w:val="center"/>
          </w:tcPr>
          <w:p w14:paraId="609067DD" w14:textId="77777777" w:rsidR="00200EBA" w:rsidRPr="00132AAB" w:rsidRDefault="00200EBA" w:rsidP="006D6682">
            <w:pPr>
              <w:pStyle w:val="ab"/>
              <w:spacing w:before="0" w:beforeAutospacing="0" w:after="0" w:afterAutospacing="0"/>
              <w:jc w:val="center"/>
            </w:pPr>
            <w:r w:rsidRPr="00132AAB">
              <w:t>Нечасто</w:t>
            </w:r>
          </w:p>
        </w:tc>
        <w:tc>
          <w:tcPr>
            <w:tcW w:w="3569" w:type="dxa"/>
            <w:vAlign w:val="center"/>
          </w:tcPr>
          <w:p w14:paraId="1EED776F" w14:textId="77777777" w:rsidR="00200EBA" w:rsidRPr="009413DC" w:rsidRDefault="00200EBA" w:rsidP="006D6682">
            <w:pPr>
              <w:pStyle w:val="ab"/>
              <w:spacing w:before="0" w:beforeAutospacing="0" w:after="0" w:afterAutospacing="0"/>
              <w:jc w:val="center"/>
              <w:rPr>
                <w:color w:val="000000"/>
              </w:rPr>
            </w:pPr>
            <w:r w:rsidRPr="009413DC">
              <w:rPr>
                <w:color w:val="000000"/>
              </w:rPr>
              <w:t>Повреждение клеток</w:t>
            </w:r>
          </w:p>
          <w:p w14:paraId="170B9141" w14:textId="01D38B23" w:rsidR="00200EBA" w:rsidRPr="009413DC" w:rsidRDefault="00200EBA" w:rsidP="006D6682">
            <w:pPr>
              <w:pStyle w:val="ab"/>
              <w:spacing w:before="0" w:beforeAutospacing="0" w:after="0" w:afterAutospacing="0"/>
              <w:jc w:val="center"/>
              <w:rPr>
                <w:color w:val="000000"/>
              </w:rPr>
            </w:pPr>
            <w:r w:rsidRPr="009413DC">
              <w:rPr>
                <w:color w:val="000000"/>
              </w:rPr>
              <w:t>печени/гепатит</w:t>
            </w:r>
            <w:r w:rsidR="007538F0" w:rsidRPr="00D050C7">
              <w:rPr>
                <w:color w:val="000000"/>
                <w:vertAlign w:val="superscript"/>
                <w:lang w:val="en-US"/>
              </w:rPr>
              <w:t>m</w:t>
            </w:r>
          </w:p>
        </w:tc>
        <w:tc>
          <w:tcPr>
            <w:tcW w:w="3578" w:type="dxa"/>
            <w:vAlign w:val="center"/>
          </w:tcPr>
          <w:p w14:paraId="31D0195F" w14:textId="6A33EDE1" w:rsidR="00200EBA" w:rsidRPr="009413DC" w:rsidRDefault="00200EBA" w:rsidP="006D6682">
            <w:pPr>
              <w:pStyle w:val="ab"/>
              <w:spacing w:before="0" w:beforeAutospacing="0" w:after="0" w:afterAutospacing="0"/>
              <w:jc w:val="center"/>
              <w:rPr>
                <w:color w:val="000000"/>
              </w:rPr>
            </w:pPr>
            <w:r w:rsidRPr="009413DC">
              <w:rPr>
                <w:color w:val="000000"/>
              </w:rPr>
              <w:t>Печеночная недостаточность</w:t>
            </w:r>
            <w:r w:rsidR="007538F0">
              <w:rPr>
                <w:color w:val="000000"/>
              </w:rPr>
              <w:t>†</w:t>
            </w:r>
            <w:r w:rsidR="007538F0" w:rsidRPr="0068400D">
              <w:rPr>
                <w:color w:val="000000"/>
                <w:vertAlign w:val="superscript"/>
              </w:rPr>
              <w:t>,</w:t>
            </w:r>
            <w:r w:rsidR="007538F0" w:rsidRPr="0068400D">
              <w:rPr>
                <w:color w:val="000000"/>
                <w:vertAlign w:val="superscript"/>
                <w:lang w:val="en-US"/>
              </w:rPr>
              <w:t>k</w:t>
            </w:r>
          </w:p>
          <w:p w14:paraId="176A122D" w14:textId="0E380568" w:rsidR="00200EBA" w:rsidRDefault="00200EBA" w:rsidP="006D6682">
            <w:pPr>
              <w:pStyle w:val="ab"/>
              <w:spacing w:before="0" w:beforeAutospacing="0" w:after="0" w:afterAutospacing="0"/>
              <w:jc w:val="center"/>
              <w:rPr>
                <w:color w:val="000000"/>
              </w:rPr>
            </w:pPr>
            <w:r w:rsidRPr="009413DC">
              <w:rPr>
                <w:color w:val="000000"/>
              </w:rPr>
              <w:t>Печеночная энцефалопатия</w:t>
            </w:r>
            <w:r w:rsidR="007538F0">
              <w:rPr>
                <w:color w:val="000000"/>
              </w:rPr>
              <w:t>†</w:t>
            </w:r>
            <w:r w:rsidR="007538F0" w:rsidRPr="0068400D">
              <w:rPr>
                <w:color w:val="000000"/>
                <w:vertAlign w:val="superscript"/>
              </w:rPr>
              <w:t>,</w:t>
            </w:r>
            <w:r w:rsidR="007538F0">
              <w:rPr>
                <w:color w:val="000000"/>
                <w:vertAlign w:val="superscript"/>
                <w:lang w:val="en-US"/>
              </w:rPr>
              <w:t>l</w:t>
            </w:r>
          </w:p>
          <w:p w14:paraId="5B4818D2" w14:textId="77777777" w:rsidR="00200EBA" w:rsidRPr="009413DC" w:rsidRDefault="00200EBA" w:rsidP="006D6682">
            <w:pPr>
              <w:pStyle w:val="ab"/>
              <w:spacing w:before="0" w:beforeAutospacing="0" w:after="0" w:afterAutospacing="0"/>
              <w:jc w:val="center"/>
              <w:rPr>
                <w:color w:val="000000"/>
              </w:rPr>
            </w:pPr>
            <w:r w:rsidRPr="009413DC">
              <w:rPr>
                <w:color w:val="000000"/>
              </w:rPr>
              <w:t>Повреждение клеток</w:t>
            </w:r>
          </w:p>
          <w:p w14:paraId="77ED0D46" w14:textId="1F163C8B" w:rsidR="00200EBA" w:rsidRPr="000D1198" w:rsidRDefault="00200EBA" w:rsidP="006D6682">
            <w:pPr>
              <w:pStyle w:val="ab"/>
              <w:spacing w:before="0" w:beforeAutospacing="0" w:after="0" w:afterAutospacing="0"/>
              <w:jc w:val="center"/>
              <w:rPr>
                <w:b/>
                <w:bCs/>
                <w:color w:val="000000"/>
              </w:rPr>
            </w:pPr>
            <w:r w:rsidRPr="009413DC">
              <w:rPr>
                <w:color w:val="000000"/>
              </w:rPr>
              <w:t>печени/гепатит</w:t>
            </w:r>
            <w:r w:rsidR="007538F0" w:rsidRPr="0068400D">
              <w:rPr>
                <w:color w:val="000000"/>
                <w:vertAlign w:val="superscript"/>
                <w:lang w:val="en-US"/>
              </w:rPr>
              <w:t>m</w:t>
            </w:r>
          </w:p>
        </w:tc>
      </w:tr>
      <w:tr w:rsidR="008B465A" w14:paraId="1B738BA1" w14:textId="77777777" w:rsidTr="006D6682">
        <w:tc>
          <w:tcPr>
            <w:tcW w:w="9346" w:type="dxa"/>
            <w:gridSpan w:val="3"/>
            <w:vAlign w:val="center"/>
          </w:tcPr>
          <w:p w14:paraId="6AF03022" w14:textId="7783D2D0" w:rsidR="008B465A" w:rsidRPr="000D1198" w:rsidRDefault="008B465A" w:rsidP="006D6682">
            <w:pPr>
              <w:pStyle w:val="ab"/>
              <w:jc w:val="center"/>
              <w:rPr>
                <w:b/>
                <w:bCs/>
                <w:color w:val="000000"/>
              </w:rPr>
            </w:pPr>
            <w:r w:rsidRPr="009413DC">
              <w:rPr>
                <w:b/>
                <w:bCs/>
              </w:rPr>
              <w:t>Нарушения со стороны кожи и подкожной клетчатки</w:t>
            </w:r>
          </w:p>
        </w:tc>
      </w:tr>
      <w:tr w:rsidR="00200EBA" w14:paraId="37C63277" w14:textId="77777777" w:rsidTr="006D6682">
        <w:tc>
          <w:tcPr>
            <w:tcW w:w="2199" w:type="dxa"/>
            <w:vAlign w:val="center"/>
          </w:tcPr>
          <w:p w14:paraId="3AC05BF5" w14:textId="77777777" w:rsidR="00200EBA" w:rsidRPr="00132AAB" w:rsidRDefault="00200EBA" w:rsidP="006D6682">
            <w:pPr>
              <w:pStyle w:val="ab"/>
              <w:spacing w:before="0" w:beforeAutospacing="0" w:after="0" w:afterAutospacing="0"/>
              <w:jc w:val="center"/>
            </w:pPr>
            <w:r w:rsidRPr="002D2DC7">
              <w:t>Очень часто</w:t>
            </w:r>
          </w:p>
        </w:tc>
        <w:tc>
          <w:tcPr>
            <w:tcW w:w="3569" w:type="dxa"/>
            <w:vAlign w:val="center"/>
          </w:tcPr>
          <w:p w14:paraId="00948FE3" w14:textId="6539D223" w:rsidR="00200EBA" w:rsidRPr="009A6138" w:rsidRDefault="00200EBA" w:rsidP="006D6682">
            <w:pPr>
              <w:pStyle w:val="ab"/>
              <w:spacing w:before="0" w:beforeAutospacing="0" w:after="0" w:afterAutospacing="0"/>
              <w:jc w:val="center"/>
              <w:rPr>
                <w:color w:val="000000"/>
              </w:rPr>
            </w:pPr>
            <w:r w:rsidRPr="009A6138">
              <w:rPr>
                <w:color w:val="000000"/>
              </w:rPr>
              <w:t xml:space="preserve">Синдром </w:t>
            </w:r>
            <w:r w:rsidR="00C16C02">
              <w:rPr>
                <w:color w:val="000000"/>
              </w:rPr>
              <w:t>ЛПЭ</w:t>
            </w:r>
          </w:p>
          <w:p w14:paraId="5E60AEAF" w14:textId="77777777" w:rsidR="00200EBA" w:rsidRPr="009A6138" w:rsidRDefault="00200EBA" w:rsidP="006D6682">
            <w:pPr>
              <w:pStyle w:val="ab"/>
              <w:spacing w:before="0" w:beforeAutospacing="0" w:after="0" w:afterAutospacing="0"/>
              <w:jc w:val="center"/>
              <w:rPr>
                <w:color w:val="000000"/>
              </w:rPr>
            </w:pPr>
            <w:r w:rsidRPr="009A6138">
              <w:rPr>
                <w:color w:val="000000"/>
              </w:rPr>
              <w:t>Сыпь</w:t>
            </w:r>
          </w:p>
          <w:p w14:paraId="3E1A6AC2" w14:textId="77777777" w:rsidR="00200EBA" w:rsidRPr="000D1198" w:rsidRDefault="00200EBA" w:rsidP="006D6682">
            <w:pPr>
              <w:pStyle w:val="ab"/>
              <w:spacing w:before="0" w:beforeAutospacing="0" w:after="0" w:afterAutospacing="0"/>
              <w:jc w:val="center"/>
              <w:rPr>
                <w:b/>
                <w:bCs/>
                <w:color w:val="000000"/>
              </w:rPr>
            </w:pPr>
            <w:r w:rsidRPr="009A6138">
              <w:rPr>
                <w:color w:val="000000"/>
              </w:rPr>
              <w:t>Алопеция</w:t>
            </w:r>
          </w:p>
        </w:tc>
        <w:tc>
          <w:tcPr>
            <w:tcW w:w="3578" w:type="dxa"/>
            <w:vAlign w:val="center"/>
          </w:tcPr>
          <w:p w14:paraId="167E6B19" w14:textId="763F7D27" w:rsidR="00200EBA" w:rsidRPr="009A6138" w:rsidRDefault="00200EBA" w:rsidP="006D6682">
            <w:pPr>
              <w:pStyle w:val="ab"/>
              <w:spacing w:before="0" w:beforeAutospacing="0" w:after="0" w:afterAutospacing="0"/>
              <w:jc w:val="center"/>
              <w:rPr>
                <w:color w:val="000000"/>
              </w:rPr>
            </w:pPr>
            <w:r w:rsidRPr="009A6138">
              <w:rPr>
                <w:color w:val="000000"/>
              </w:rPr>
              <w:t xml:space="preserve">Синдром </w:t>
            </w:r>
            <w:r w:rsidR="00B26DA6">
              <w:rPr>
                <w:color w:val="000000"/>
              </w:rPr>
              <w:t>ЛПЭ</w:t>
            </w:r>
          </w:p>
          <w:p w14:paraId="0ADF50AA" w14:textId="77777777" w:rsidR="00200EBA" w:rsidRPr="009A6138" w:rsidRDefault="00200EBA" w:rsidP="006D6682">
            <w:pPr>
              <w:pStyle w:val="ab"/>
              <w:spacing w:before="0" w:beforeAutospacing="0" w:after="0" w:afterAutospacing="0"/>
              <w:jc w:val="center"/>
              <w:rPr>
                <w:color w:val="000000"/>
              </w:rPr>
            </w:pPr>
            <w:r w:rsidRPr="009A6138">
              <w:rPr>
                <w:color w:val="000000"/>
              </w:rPr>
              <w:t>Сыпь</w:t>
            </w:r>
          </w:p>
          <w:p w14:paraId="34262E2D" w14:textId="77777777" w:rsidR="00200EBA" w:rsidRPr="000D1198" w:rsidRDefault="00200EBA" w:rsidP="006D6682">
            <w:pPr>
              <w:pStyle w:val="ab"/>
              <w:jc w:val="center"/>
              <w:rPr>
                <w:b/>
                <w:bCs/>
                <w:color w:val="000000"/>
              </w:rPr>
            </w:pPr>
          </w:p>
        </w:tc>
      </w:tr>
      <w:tr w:rsidR="00200EBA" w14:paraId="5236A3CD" w14:textId="77777777" w:rsidTr="006D6682">
        <w:tc>
          <w:tcPr>
            <w:tcW w:w="2199" w:type="dxa"/>
            <w:vAlign w:val="center"/>
          </w:tcPr>
          <w:p w14:paraId="498AC8F6" w14:textId="77777777" w:rsidR="00200EBA" w:rsidRPr="00132AAB" w:rsidRDefault="00200EBA" w:rsidP="006D6682">
            <w:pPr>
              <w:pStyle w:val="ab"/>
              <w:spacing w:before="0" w:beforeAutospacing="0" w:after="0" w:afterAutospacing="0"/>
              <w:jc w:val="center"/>
            </w:pPr>
            <w:r w:rsidRPr="002D2DC7">
              <w:lastRenderedPageBreak/>
              <w:t>Часто</w:t>
            </w:r>
          </w:p>
        </w:tc>
        <w:tc>
          <w:tcPr>
            <w:tcW w:w="3569" w:type="dxa"/>
            <w:vAlign w:val="center"/>
          </w:tcPr>
          <w:p w14:paraId="6C4C5503" w14:textId="77777777" w:rsidR="00200EBA" w:rsidRPr="009A6138" w:rsidRDefault="00200EBA" w:rsidP="006D6682">
            <w:pPr>
              <w:pStyle w:val="ab"/>
              <w:spacing w:before="0" w:beforeAutospacing="0" w:after="0" w:afterAutospacing="0"/>
              <w:jc w:val="center"/>
              <w:rPr>
                <w:color w:val="000000"/>
              </w:rPr>
            </w:pPr>
            <w:r w:rsidRPr="009A6138">
              <w:rPr>
                <w:color w:val="000000"/>
              </w:rPr>
              <w:t>Гиперкератоз</w:t>
            </w:r>
          </w:p>
        </w:tc>
        <w:tc>
          <w:tcPr>
            <w:tcW w:w="3578" w:type="dxa"/>
            <w:vAlign w:val="center"/>
          </w:tcPr>
          <w:p w14:paraId="47665784" w14:textId="77777777" w:rsidR="00200EBA" w:rsidRDefault="00200EBA" w:rsidP="006D6682">
            <w:pPr>
              <w:pStyle w:val="ab"/>
              <w:spacing w:before="0" w:beforeAutospacing="0" w:after="0" w:afterAutospacing="0"/>
              <w:jc w:val="center"/>
              <w:rPr>
                <w:color w:val="000000"/>
              </w:rPr>
            </w:pPr>
            <w:r w:rsidRPr="009A6138">
              <w:rPr>
                <w:color w:val="000000"/>
              </w:rPr>
              <w:t>Алопеция</w:t>
            </w:r>
          </w:p>
          <w:p w14:paraId="3C382D82" w14:textId="77777777" w:rsidR="00200EBA" w:rsidRPr="000D1198" w:rsidRDefault="00200EBA" w:rsidP="006D6682">
            <w:pPr>
              <w:pStyle w:val="ab"/>
              <w:spacing w:before="0" w:beforeAutospacing="0" w:after="0" w:afterAutospacing="0"/>
              <w:jc w:val="center"/>
              <w:rPr>
                <w:b/>
                <w:bCs/>
                <w:color w:val="000000"/>
              </w:rPr>
            </w:pPr>
            <w:r w:rsidRPr="009A6138">
              <w:rPr>
                <w:color w:val="000000"/>
              </w:rPr>
              <w:t>Гиперкератоз</w:t>
            </w:r>
          </w:p>
        </w:tc>
      </w:tr>
      <w:tr w:rsidR="008B465A" w14:paraId="158E001A" w14:textId="77777777" w:rsidTr="006D6682">
        <w:tc>
          <w:tcPr>
            <w:tcW w:w="9346" w:type="dxa"/>
            <w:gridSpan w:val="3"/>
            <w:vAlign w:val="center"/>
          </w:tcPr>
          <w:p w14:paraId="2967FE28" w14:textId="5B462E54" w:rsidR="008B465A" w:rsidRPr="000D1198" w:rsidRDefault="008B465A" w:rsidP="006D6682">
            <w:pPr>
              <w:pStyle w:val="ab"/>
              <w:jc w:val="center"/>
              <w:rPr>
                <w:b/>
                <w:bCs/>
                <w:color w:val="000000"/>
              </w:rPr>
            </w:pPr>
            <w:r w:rsidRPr="00F94C19">
              <w:rPr>
                <w:b/>
                <w:bCs/>
              </w:rPr>
              <w:t>Нарушения со стороны мышечной, скелетной и соединительной ткани</w:t>
            </w:r>
          </w:p>
        </w:tc>
      </w:tr>
      <w:tr w:rsidR="00200EBA" w14:paraId="2F245631" w14:textId="77777777" w:rsidTr="006D6682">
        <w:tc>
          <w:tcPr>
            <w:tcW w:w="2199" w:type="dxa"/>
            <w:vAlign w:val="center"/>
          </w:tcPr>
          <w:p w14:paraId="03A6A86F" w14:textId="77777777" w:rsidR="00200EBA" w:rsidRPr="00132AAB" w:rsidRDefault="00200EBA" w:rsidP="006D6682">
            <w:pPr>
              <w:pStyle w:val="ab"/>
              <w:spacing w:before="0" w:beforeAutospacing="0" w:after="0" w:afterAutospacing="0"/>
              <w:jc w:val="center"/>
            </w:pPr>
            <w:r w:rsidRPr="002D2DC7">
              <w:t>Очень часто</w:t>
            </w:r>
          </w:p>
        </w:tc>
        <w:tc>
          <w:tcPr>
            <w:tcW w:w="3569" w:type="dxa"/>
            <w:vAlign w:val="center"/>
          </w:tcPr>
          <w:p w14:paraId="2B986CA3" w14:textId="77777777" w:rsidR="00200EBA" w:rsidRPr="00F94C19" w:rsidRDefault="00200EBA" w:rsidP="006D6682">
            <w:pPr>
              <w:pStyle w:val="ab"/>
              <w:spacing w:before="0" w:beforeAutospacing="0" w:after="0" w:afterAutospacing="0"/>
              <w:jc w:val="center"/>
              <w:rPr>
                <w:color w:val="000000"/>
              </w:rPr>
            </w:pPr>
            <w:r w:rsidRPr="00F94C19">
              <w:rPr>
                <w:color w:val="000000"/>
              </w:rPr>
              <w:t>Боль в спине</w:t>
            </w:r>
          </w:p>
          <w:p w14:paraId="118C798B" w14:textId="77777777" w:rsidR="00200EBA" w:rsidRPr="00F94C19" w:rsidRDefault="00200EBA" w:rsidP="006D6682">
            <w:pPr>
              <w:pStyle w:val="ab"/>
              <w:spacing w:before="0" w:beforeAutospacing="0" w:after="0" w:afterAutospacing="0"/>
              <w:jc w:val="center"/>
              <w:rPr>
                <w:color w:val="000000"/>
              </w:rPr>
            </w:pPr>
            <w:r w:rsidRPr="00F94C19">
              <w:rPr>
                <w:color w:val="000000"/>
              </w:rPr>
              <w:t>Артралгия</w:t>
            </w:r>
          </w:p>
          <w:p w14:paraId="551F722E" w14:textId="77777777" w:rsidR="00200EBA" w:rsidRPr="00F94C19" w:rsidRDefault="00200EBA" w:rsidP="006D6682">
            <w:pPr>
              <w:pStyle w:val="ab"/>
              <w:spacing w:before="0" w:beforeAutospacing="0" w:after="0" w:afterAutospacing="0"/>
              <w:jc w:val="center"/>
              <w:rPr>
                <w:color w:val="000000"/>
              </w:rPr>
            </w:pPr>
            <w:r w:rsidRPr="00F94C19">
              <w:rPr>
                <w:color w:val="000000"/>
              </w:rPr>
              <w:t>Миалгия</w:t>
            </w:r>
          </w:p>
          <w:p w14:paraId="37584A6A" w14:textId="55EDC578" w:rsidR="004C31B4" w:rsidRDefault="00200EBA" w:rsidP="006D6682">
            <w:pPr>
              <w:pStyle w:val="ab"/>
              <w:spacing w:before="0" w:beforeAutospacing="0" w:after="0" w:afterAutospacing="0"/>
              <w:jc w:val="center"/>
              <w:rPr>
                <w:color w:val="000000"/>
              </w:rPr>
            </w:pPr>
            <w:r w:rsidRPr="00F94C19">
              <w:rPr>
                <w:color w:val="000000"/>
              </w:rPr>
              <w:t>Боль в конечностях</w:t>
            </w:r>
          </w:p>
          <w:p w14:paraId="326C40C1" w14:textId="7741EE1A" w:rsidR="00200EBA" w:rsidRPr="000D1198" w:rsidRDefault="00200EBA" w:rsidP="006D6682">
            <w:pPr>
              <w:pStyle w:val="ab"/>
              <w:spacing w:before="0" w:beforeAutospacing="0" w:after="0" w:afterAutospacing="0"/>
              <w:jc w:val="center"/>
              <w:rPr>
                <w:b/>
                <w:bCs/>
                <w:color w:val="000000"/>
              </w:rPr>
            </w:pPr>
            <w:r w:rsidRPr="00F94C19">
              <w:rPr>
                <w:color w:val="000000"/>
              </w:rPr>
              <w:t>Костно-мышечная боль</w:t>
            </w:r>
          </w:p>
        </w:tc>
        <w:tc>
          <w:tcPr>
            <w:tcW w:w="3578" w:type="dxa"/>
            <w:vAlign w:val="center"/>
          </w:tcPr>
          <w:p w14:paraId="7DFCF11E" w14:textId="77777777" w:rsidR="00200EBA" w:rsidRPr="00F94C19" w:rsidRDefault="00200EBA" w:rsidP="006D6682">
            <w:pPr>
              <w:pStyle w:val="ab"/>
              <w:spacing w:before="0" w:beforeAutospacing="0" w:after="0" w:afterAutospacing="0"/>
              <w:jc w:val="center"/>
              <w:rPr>
                <w:color w:val="000000"/>
              </w:rPr>
            </w:pPr>
            <w:r w:rsidRPr="00F94C19">
              <w:rPr>
                <w:color w:val="000000"/>
              </w:rPr>
              <w:t>Боль в спине</w:t>
            </w:r>
          </w:p>
          <w:p w14:paraId="6BBB1743" w14:textId="77777777" w:rsidR="00200EBA" w:rsidRPr="00F94C19" w:rsidRDefault="00200EBA" w:rsidP="006D6682">
            <w:pPr>
              <w:pStyle w:val="ab"/>
              <w:spacing w:before="0" w:beforeAutospacing="0" w:after="0" w:afterAutospacing="0"/>
              <w:jc w:val="center"/>
              <w:rPr>
                <w:color w:val="000000"/>
              </w:rPr>
            </w:pPr>
            <w:r w:rsidRPr="00F94C19">
              <w:rPr>
                <w:color w:val="000000"/>
              </w:rPr>
              <w:t>Артралгия</w:t>
            </w:r>
          </w:p>
          <w:p w14:paraId="03785FDA" w14:textId="77777777" w:rsidR="00200EBA" w:rsidRPr="00F94C19" w:rsidRDefault="00200EBA" w:rsidP="006D6682">
            <w:pPr>
              <w:pStyle w:val="ab"/>
              <w:spacing w:before="0" w:beforeAutospacing="0" w:after="0" w:afterAutospacing="0"/>
              <w:jc w:val="center"/>
              <w:rPr>
                <w:color w:val="000000"/>
              </w:rPr>
            </w:pPr>
            <w:r w:rsidRPr="00F94C19">
              <w:rPr>
                <w:color w:val="000000"/>
              </w:rPr>
              <w:t>Миалгия</w:t>
            </w:r>
          </w:p>
          <w:p w14:paraId="55FB28BB" w14:textId="1DBD7160" w:rsidR="007538F0" w:rsidRDefault="00200EBA" w:rsidP="006D6682">
            <w:pPr>
              <w:pStyle w:val="ab"/>
              <w:spacing w:before="0" w:beforeAutospacing="0" w:after="0" w:afterAutospacing="0"/>
              <w:jc w:val="center"/>
              <w:rPr>
                <w:color w:val="000000"/>
              </w:rPr>
            </w:pPr>
            <w:r w:rsidRPr="00F94C19">
              <w:rPr>
                <w:color w:val="000000"/>
              </w:rPr>
              <w:t>Боль в конечностях</w:t>
            </w:r>
          </w:p>
          <w:p w14:paraId="3C01E112" w14:textId="18FA50D1" w:rsidR="00200EBA" w:rsidRPr="000D1198" w:rsidRDefault="00200EBA" w:rsidP="006D6682">
            <w:pPr>
              <w:pStyle w:val="ab"/>
              <w:spacing w:before="0" w:beforeAutospacing="0" w:after="0" w:afterAutospacing="0"/>
              <w:jc w:val="center"/>
              <w:rPr>
                <w:b/>
                <w:bCs/>
                <w:color w:val="000000"/>
              </w:rPr>
            </w:pPr>
            <w:r w:rsidRPr="00F94C19">
              <w:rPr>
                <w:color w:val="000000"/>
              </w:rPr>
              <w:t>Костно-мышечная боль</w:t>
            </w:r>
          </w:p>
        </w:tc>
      </w:tr>
      <w:tr w:rsidR="00200EBA" w14:paraId="188A1A11" w14:textId="77777777" w:rsidTr="006D6682">
        <w:tc>
          <w:tcPr>
            <w:tcW w:w="2199" w:type="dxa"/>
            <w:vAlign w:val="center"/>
          </w:tcPr>
          <w:p w14:paraId="200B69CC" w14:textId="77777777" w:rsidR="00200EBA" w:rsidRPr="00132AAB" w:rsidRDefault="00200EBA" w:rsidP="006D6682">
            <w:pPr>
              <w:pStyle w:val="ab"/>
              <w:spacing w:before="0" w:beforeAutospacing="0" w:after="0" w:afterAutospacing="0"/>
              <w:jc w:val="center"/>
            </w:pPr>
            <w:r w:rsidRPr="00132AAB">
              <w:t>Нечасто</w:t>
            </w:r>
          </w:p>
        </w:tc>
        <w:tc>
          <w:tcPr>
            <w:tcW w:w="3569" w:type="dxa"/>
            <w:vAlign w:val="center"/>
          </w:tcPr>
          <w:p w14:paraId="70E68256" w14:textId="77777777" w:rsidR="00200EBA" w:rsidRPr="00F94C19" w:rsidRDefault="00200EBA" w:rsidP="006D6682">
            <w:pPr>
              <w:pStyle w:val="ab"/>
              <w:spacing w:before="0" w:beforeAutospacing="0" w:after="0" w:afterAutospacing="0"/>
              <w:jc w:val="center"/>
              <w:rPr>
                <w:color w:val="000000"/>
              </w:rPr>
            </w:pPr>
            <w:r w:rsidRPr="00F94C19">
              <w:rPr>
                <w:color w:val="000000"/>
              </w:rPr>
              <w:t>Остеонекроз челюсти</w:t>
            </w:r>
          </w:p>
        </w:tc>
        <w:tc>
          <w:tcPr>
            <w:tcW w:w="3578" w:type="dxa"/>
            <w:vAlign w:val="center"/>
          </w:tcPr>
          <w:p w14:paraId="5623052B" w14:textId="77777777" w:rsidR="00200EBA" w:rsidRPr="000D1198" w:rsidRDefault="00200EBA" w:rsidP="006D6682">
            <w:pPr>
              <w:pStyle w:val="ab"/>
              <w:jc w:val="center"/>
              <w:rPr>
                <w:b/>
                <w:bCs/>
                <w:color w:val="000000"/>
              </w:rPr>
            </w:pPr>
          </w:p>
        </w:tc>
      </w:tr>
      <w:tr w:rsidR="008B465A" w14:paraId="402E193A" w14:textId="77777777" w:rsidTr="006D6682">
        <w:tc>
          <w:tcPr>
            <w:tcW w:w="9346" w:type="dxa"/>
            <w:gridSpan w:val="3"/>
            <w:vAlign w:val="center"/>
          </w:tcPr>
          <w:p w14:paraId="4AD3F36A" w14:textId="54D73DF4" w:rsidR="008B465A" w:rsidRPr="000D1198" w:rsidRDefault="008B465A" w:rsidP="006D6682">
            <w:pPr>
              <w:pStyle w:val="ab"/>
              <w:jc w:val="center"/>
              <w:rPr>
                <w:b/>
                <w:bCs/>
                <w:color w:val="000000"/>
              </w:rPr>
            </w:pPr>
            <w:r w:rsidRPr="00F94C19">
              <w:rPr>
                <w:b/>
                <w:bCs/>
              </w:rPr>
              <w:t>Нарушения со стороны почек и мочевыводящих путей</w:t>
            </w:r>
          </w:p>
        </w:tc>
      </w:tr>
      <w:tr w:rsidR="00200EBA" w14:paraId="068CBB15" w14:textId="77777777" w:rsidTr="006D6682">
        <w:tc>
          <w:tcPr>
            <w:tcW w:w="2199" w:type="dxa"/>
            <w:vAlign w:val="center"/>
          </w:tcPr>
          <w:p w14:paraId="438A993E" w14:textId="77777777" w:rsidR="00200EBA" w:rsidRPr="00132AAB" w:rsidRDefault="00200EBA" w:rsidP="006D6682">
            <w:pPr>
              <w:pStyle w:val="ab"/>
              <w:spacing w:before="0" w:beforeAutospacing="0" w:after="0" w:afterAutospacing="0"/>
              <w:jc w:val="center"/>
            </w:pPr>
            <w:r w:rsidRPr="002D2DC7">
              <w:t>Очень часто</w:t>
            </w:r>
          </w:p>
        </w:tc>
        <w:tc>
          <w:tcPr>
            <w:tcW w:w="3569" w:type="dxa"/>
            <w:vAlign w:val="center"/>
          </w:tcPr>
          <w:p w14:paraId="3725AAD4" w14:textId="7CB12558" w:rsidR="00200EBA" w:rsidRPr="000D1198" w:rsidRDefault="00B609BA" w:rsidP="006D6682">
            <w:pPr>
              <w:pStyle w:val="ab"/>
              <w:spacing w:before="0" w:beforeAutospacing="0" w:after="0" w:afterAutospacing="0"/>
              <w:jc w:val="center"/>
              <w:rPr>
                <w:b/>
                <w:bCs/>
                <w:color w:val="000000"/>
              </w:rPr>
            </w:pPr>
            <w:r w:rsidRPr="00063303">
              <w:rPr>
                <w:color w:val="000000"/>
              </w:rPr>
              <w:t>Протеинурия</w:t>
            </w:r>
          </w:p>
        </w:tc>
        <w:tc>
          <w:tcPr>
            <w:tcW w:w="3578" w:type="dxa"/>
            <w:vAlign w:val="center"/>
          </w:tcPr>
          <w:p w14:paraId="3B174F8C" w14:textId="14316A38" w:rsidR="00200EBA" w:rsidRPr="00063303" w:rsidRDefault="00200EBA" w:rsidP="006D6682">
            <w:pPr>
              <w:pStyle w:val="ab"/>
              <w:spacing w:before="0" w:beforeAutospacing="0" w:after="0" w:afterAutospacing="0"/>
              <w:jc w:val="center"/>
              <w:rPr>
                <w:color w:val="000000"/>
              </w:rPr>
            </w:pPr>
            <w:r w:rsidRPr="00063303">
              <w:rPr>
                <w:color w:val="000000"/>
              </w:rPr>
              <w:t>Протеинурия</w:t>
            </w:r>
          </w:p>
          <w:p w14:paraId="0853811C"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Повышение концентрации креатинина в крови</w:t>
            </w:r>
          </w:p>
        </w:tc>
      </w:tr>
      <w:tr w:rsidR="00200EBA" w14:paraId="06C71ADC" w14:textId="77777777" w:rsidTr="006D6682">
        <w:tc>
          <w:tcPr>
            <w:tcW w:w="2199" w:type="dxa"/>
            <w:vAlign w:val="center"/>
          </w:tcPr>
          <w:p w14:paraId="5FF1D909" w14:textId="77777777" w:rsidR="00200EBA" w:rsidRPr="00132AAB" w:rsidRDefault="00200EBA" w:rsidP="006D6682">
            <w:pPr>
              <w:pStyle w:val="ab"/>
              <w:spacing w:before="0" w:beforeAutospacing="0" w:after="0" w:afterAutospacing="0"/>
              <w:jc w:val="center"/>
            </w:pPr>
            <w:r w:rsidRPr="002D2DC7">
              <w:t>Часто</w:t>
            </w:r>
          </w:p>
        </w:tc>
        <w:tc>
          <w:tcPr>
            <w:tcW w:w="3569" w:type="dxa"/>
            <w:vAlign w:val="center"/>
          </w:tcPr>
          <w:p w14:paraId="320F65DC" w14:textId="07B32F1E" w:rsidR="00B609BA" w:rsidRDefault="00200EBA" w:rsidP="006D6682">
            <w:pPr>
              <w:pStyle w:val="ab"/>
              <w:spacing w:before="0" w:beforeAutospacing="0" w:after="0" w:afterAutospacing="0"/>
              <w:jc w:val="center"/>
              <w:rPr>
                <w:color w:val="000000"/>
              </w:rPr>
            </w:pPr>
            <w:r w:rsidRPr="00063303">
              <w:rPr>
                <w:color w:val="000000"/>
              </w:rPr>
              <w:t>Эпизоды почечной недостаточности</w:t>
            </w:r>
            <w:r w:rsidR="008E7351">
              <w:rPr>
                <w:color w:val="000000"/>
              </w:rPr>
              <w:t>†</w:t>
            </w:r>
            <w:r w:rsidR="008E7351" w:rsidRPr="0068400D">
              <w:rPr>
                <w:color w:val="000000"/>
                <w:vertAlign w:val="superscript"/>
              </w:rPr>
              <w:t>,</w:t>
            </w:r>
            <w:r w:rsidR="008E7351">
              <w:rPr>
                <w:color w:val="000000"/>
                <w:vertAlign w:val="superscript"/>
                <w:lang w:val="en-US"/>
              </w:rPr>
              <w:t>n</w:t>
            </w:r>
          </w:p>
          <w:p w14:paraId="0A7EB5D7" w14:textId="00235111" w:rsidR="008E7351" w:rsidRDefault="00200EBA" w:rsidP="006D6682">
            <w:pPr>
              <w:pStyle w:val="ab"/>
              <w:spacing w:before="0" w:beforeAutospacing="0" w:after="0" w:afterAutospacing="0"/>
              <w:jc w:val="center"/>
              <w:rPr>
                <w:color w:val="000000"/>
              </w:rPr>
            </w:pPr>
            <w:r w:rsidRPr="00063303">
              <w:rPr>
                <w:color w:val="000000"/>
              </w:rPr>
              <w:t>Нарушение функции почек Повышение концентрации креатинина в крови</w:t>
            </w:r>
          </w:p>
          <w:p w14:paraId="5C202840" w14:textId="25215320" w:rsidR="00200EBA" w:rsidRPr="00063303" w:rsidRDefault="00200EBA" w:rsidP="006D6682">
            <w:pPr>
              <w:pStyle w:val="ab"/>
              <w:spacing w:before="0" w:beforeAutospacing="0" w:after="0" w:afterAutospacing="0"/>
              <w:jc w:val="center"/>
              <w:rPr>
                <w:color w:val="000000"/>
              </w:rPr>
            </w:pPr>
            <w:r w:rsidRPr="00063303">
              <w:rPr>
                <w:color w:val="000000"/>
              </w:rPr>
              <w:t>Повышение концентрации</w:t>
            </w:r>
          </w:p>
          <w:p w14:paraId="58B5145D"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мочевины в крови</w:t>
            </w:r>
          </w:p>
        </w:tc>
        <w:tc>
          <w:tcPr>
            <w:tcW w:w="3578" w:type="dxa"/>
            <w:vAlign w:val="center"/>
          </w:tcPr>
          <w:p w14:paraId="0C87ABC2" w14:textId="65E9B15F" w:rsidR="00B609BA" w:rsidRDefault="00200EBA" w:rsidP="006D6682">
            <w:pPr>
              <w:pStyle w:val="ab"/>
              <w:spacing w:before="0" w:beforeAutospacing="0" w:after="0" w:afterAutospacing="0"/>
              <w:jc w:val="center"/>
              <w:rPr>
                <w:color w:val="000000"/>
              </w:rPr>
            </w:pPr>
            <w:r w:rsidRPr="00063303">
              <w:rPr>
                <w:color w:val="000000"/>
              </w:rPr>
              <w:t>Эпизоды почечной недостаточности</w:t>
            </w:r>
            <w:r w:rsidR="008E7351">
              <w:rPr>
                <w:color w:val="000000"/>
              </w:rPr>
              <w:t>†</w:t>
            </w:r>
            <w:r w:rsidR="008E7351" w:rsidRPr="0068400D">
              <w:rPr>
                <w:color w:val="000000"/>
                <w:vertAlign w:val="superscript"/>
              </w:rPr>
              <w:t>,</w:t>
            </w:r>
            <w:r w:rsidR="008E7351">
              <w:rPr>
                <w:color w:val="000000"/>
                <w:vertAlign w:val="superscript"/>
                <w:lang w:val="en-US"/>
              </w:rPr>
              <w:t>n</w:t>
            </w:r>
          </w:p>
          <w:p w14:paraId="35DB09F4" w14:textId="4D3F32AB" w:rsidR="00200EBA" w:rsidRPr="00063303" w:rsidRDefault="00200EBA" w:rsidP="006D6682">
            <w:pPr>
              <w:pStyle w:val="ab"/>
              <w:spacing w:before="0" w:beforeAutospacing="0" w:after="0" w:afterAutospacing="0"/>
              <w:jc w:val="center"/>
              <w:rPr>
                <w:color w:val="000000"/>
              </w:rPr>
            </w:pPr>
            <w:r w:rsidRPr="00063303">
              <w:rPr>
                <w:color w:val="000000"/>
              </w:rPr>
              <w:t>Повышение концентрации</w:t>
            </w:r>
          </w:p>
          <w:p w14:paraId="2F19AB23"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мочевины в крови</w:t>
            </w:r>
          </w:p>
        </w:tc>
      </w:tr>
      <w:tr w:rsidR="00200EBA" w14:paraId="701F722B" w14:textId="77777777" w:rsidTr="006D6682">
        <w:tc>
          <w:tcPr>
            <w:tcW w:w="2199" w:type="dxa"/>
            <w:vAlign w:val="center"/>
          </w:tcPr>
          <w:p w14:paraId="1F5E25CB" w14:textId="77777777" w:rsidR="00200EBA" w:rsidRPr="00132AAB" w:rsidRDefault="00200EBA" w:rsidP="006D6682">
            <w:pPr>
              <w:pStyle w:val="ab"/>
              <w:spacing w:before="0" w:beforeAutospacing="0" w:after="0" w:afterAutospacing="0"/>
              <w:jc w:val="center"/>
            </w:pPr>
            <w:r w:rsidRPr="00132AAB">
              <w:t>Нечасто</w:t>
            </w:r>
          </w:p>
        </w:tc>
        <w:tc>
          <w:tcPr>
            <w:tcW w:w="3569" w:type="dxa"/>
            <w:vAlign w:val="center"/>
          </w:tcPr>
          <w:p w14:paraId="79DC953D" w14:textId="77777777" w:rsidR="00200EBA" w:rsidRPr="00063303" w:rsidRDefault="00200EBA" w:rsidP="006D6682">
            <w:pPr>
              <w:pStyle w:val="ab"/>
              <w:spacing w:before="0" w:beforeAutospacing="0" w:after="0" w:afterAutospacing="0"/>
              <w:jc w:val="center"/>
              <w:rPr>
                <w:color w:val="000000"/>
              </w:rPr>
            </w:pPr>
            <w:r w:rsidRPr="00063303">
              <w:rPr>
                <w:color w:val="000000"/>
              </w:rPr>
              <w:t>Нефротический синдром</w:t>
            </w:r>
          </w:p>
        </w:tc>
        <w:tc>
          <w:tcPr>
            <w:tcW w:w="3578" w:type="dxa"/>
            <w:vAlign w:val="center"/>
          </w:tcPr>
          <w:p w14:paraId="1E5643B7" w14:textId="77777777" w:rsidR="00200EBA" w:rsidRDefault="00200EBA" w:rsidP="006D6682">
            <w:pPr>
              <w:pStyle w:val="ab"/>
              <w:spacing w:before="0" w:beforeAutospacing="0" w:after="0" w:afterAutospacing="0"/>
              <w:jc w:val="center"/>
              <w:rPr>
                <w:color w:val="000000"/>
              </w:rPr>
            </w:pPr>
            <w:r w:rsidRPr="00063303">
              <w:rPr>
                <w:color w:val="000000"/>
              </w:rPr>
              <w:t>Нарушение функции почек</w:t>
            </w:r>
          </w:p>
          <w:p w14:paraId="6E709560"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Нефротический синдром</w:t>
            </w:r>
          </w:p>
        </w:tc>
      </w:tr>
      <w:tr w:rsidR="008B465A" w14:paraId="02D0933B" w14:textId="77777777" w:rsidTr="006D6682">
        <w:tc>
          <w:tcPr>
            <w:tcW w:w="9346" w:type="dxa"/>
            <w:gridSpan w:val="3"/>
            <w:vAlign w:val="center"/>
          </w:tcPr>
          <w:p w14:paraId="5E3A6F66" w14:textId="30334090" w:rsidR="008B465A" w:rsidRPr="000D1198" w:rsidRDefault="008B465A" w:rsidP="006D6682">
            <w:pPr>
              <w:pStyle w:val="ab"/>
              <w:jc w:val="center"/>
              <w:rPr>
                <w:b/>
                <w:bCs/>
                <w:color w:val="000000"/>
              </w:rPr>
            </w:pPr>
            <w:r w:rsidRPr="00063303">
              <w:rPr>
                <w:b/>
                <w:bCs/>
              </w:rPr>
              <w:t>Общие нарушения и реакции в месте введения</w:t>
            </w:r>
          </w:p>
        </w:tc>
      </w:tr>
      <w:tr w:rsidR="00200EBA" w14:paraId="4876A208" w14:textId="77777777" w:rsidTr="006D6682">
        <w:tc>
          <w:tcPr>
            <w:tcW w:w="2199" w:type="dxa"/>
            <w:vAlign w:val="center"/>
          </w:tcPr>
          <w:p w14:paraId="16AD0146" w14:textId="77777777" w:rsidR="00200EBA" w:rsidRPr="00132AAB" w:rsidRDefault="00200EBA" w:rsidP="006D6682">
            <w:pPr>
              <w:pStyle w:val="ab"/>
              <w:spacing w:before="0" w:beforeAutospacing="0" w:after="0" w:afterAutospacing="0"/>
              <w:jc w:val="center"/>
            </w:pPr>
            <w:r w:rsidRPr="002D2DC7">
              <w:t>Очень часто</w:t>
            </w:r>
          </w:p>
        </w:tc>
        <w:tc>
          <w:tcPr>
            <w:tcW w:w="3569" w:type="dxa"/>
            <w:vAlign w:val="center"/>
          </w:tcPr>
          <w:p w14:paraId="06168ED0" w14:textId="77777777" w:rsidR="00200EBA" w:rsidRPr="00063303" w:rsidRDefault="00200EBA" w:rsidP="006D6682">
            <w:pPr>
              <w:pStyle w:val="ab"/>
              <w:spacing w:before="0" w:beforeAutospacing="0" w:after="0" w:afterAutospacing="0"/>
              <w:jc w:val="center"/>
              <w:rPr>
                <w:color w:val="000000"/>
              </w:rPr>
            </w:pPr>
            <w:r w:rsidRPr="00063303">
              <w:rPr>
                <w:color w:val="000000"/>
              </w:rPr>
              <w:t>Утомляемость</w:t>
            </w:r>
          </w:p>
          <w:p w14:paraId="2A716468" w14:textId="0750FB09" w:rsidR="00200EBA" w:rsidRPr="00063303" w:rsidRDefault="00200EBA" w:rsidP="006D6682">
            <w:pPr>
              <w:pStyle w:val="ab"/>
              <w:spacing w:before="0" w:beforeAutospacing="0" w:after="0" w:afterAutospacing="0"/>
              <w:jc w:val="center"/>
              <w:rPr>
                <w:color w:val="000000"/>
              </w:rPr>
            </w:pPr>
            <w:r w:rsidRPr="00063303">
              <w:rPr>
                <w:color w:val="000000"/>
              </w:rPr>
              <w:t>Астения</w:t>
            </w:r>
          </w:p>
          <w:p w14:paraId="5B25AF03"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Периферический отек</w:t>
            </w:r>
          </w:p>
        </w:tc>
        <w:tc>
          <w:tcPr>
            <w:tcW w:w="3578" w:type="dxa"/>
            <w:vAlign w:val="center"/>
          </w:tcPr>
          <w:p w14:paraId="4FB7FFFF" w14:textId="77777777" w:rsidR="00200EBA" w:rsidRPr="00063303" w:rsidRDefault="00200EBA" w:rsidP="006D6682">
            <w:pPr>
              <w:pStyle w:val="ab"/>
              <w:spacing w:before="0" w:beforeAutospacing="0" w:after="0" w:afterAutospacing="0"/>
              <w:jc w:val="center"/>
              <w:rPr>
                <w:color w:val="000000"/>
              </w:rPr>
            </w:pPr>
            <w:r w:rsidRPr="00063303">
              <w:rPr>
                <w:color w:val="000000"/>
              </w:rPr>
              <w:t>Утомляемость</w:t>
            </w:r>
          </w:p>
          <w:p w14:paraId="60E4C7C8" w14:textId="48BB3D05" w:rsidR="00200EBA" w:rsidRPr="00063303" w:rsidRDefault="00200EBA" w:rsidP="006D6682">
            <w:pPr>
              <w:pStyle w:val="ab"/>
              <w:spacing w:before="0" w:beforeAutospacing="0" w:after="0" w:afterAutospacing="0"/>
              <w:jc w:val="center"/>
              <w:rPr>
                <w:color w:val="000000"/>
              </w:rPr>
            </w:pPr>
            <w:r w:rsidRPr="00063303">
              <w:rPr>
                <w:color w:val="000000"/>
              </w:rPr>
              <w:t>Астения</w:t>
            </w:r>
          </w:p>
          <w:p w14:paraId="43D11DF2" w14:textId="77777777" w:rsidR="00200EBA" w:rsidRPr="000D1198" w:rsidRDefault="00200EBA" w:rsidP="006D6682">
            <w:pPr>
              <w:pStyle w:val="ab"/>
              <w:spacing w:before="0" w:beforeAutospacing="0" w:after="0" w:afterAutospacing="0"/>
              <w:jc w:val="center"/>
              <w:rPr>
                <w:b/>
                <w:bCs/>
                <w:color w:val="000000"/>
              </w:rPr>
            </w:pPr>
            <w:r w:rsidRPr="00063303">
              <w:rPr>
                <w:color w:val="000000"/>
              </w:rPr>
              <w:t>Периферический отек</w:t>
            </w:r>
          </w:p>
        </w:tc>
      </w:tr>
      <w:tr w:rsidR="00200EBA" w14:paraId="35551905" w14:textId="77777777" w:rsidTr="006D6682">
        <w:tc>
          <w:tcPr>
            <w:tcW w:w="2199" w:type="dxa"/>
            <w:vAlign w:val="center"/>
          </w:tcPr>
          <w:p w14:paraId="0A32F3F0" w14:textId="77777777" w:rsidR="00200EBA" w:rsidRPr="00132AAB" w:rsidRDefault="00200EBA" w:rsidP="006D6682">
            <w:pPr>
              <w:pStyle w:val="ab"/>
              <w:spacing w:before="0" w:beforeAutospacing="0" w:after="0" w:afterAutospacing="0"/>
              <w:jc w:val="center"/>
            </w:pPr>
            <w:r w:rsidRPr="002D2DC7">
              <w:t>Часто</w:t>
            </w:r>
          </w:p>
        </w:tc>
        <w:tc>
          <w:tcPr>
            <w:tcW w:w="3569" w:type="dxa"/>
            <w:vAlign w:val="center"/>
          </w:tcPr>
          <w:p w14:paraId="5FC4E84C" w14:textId="77777777" w:rsidR="00200EBA" w:rsidRPr="00A25501" w:rsidRDefault="00200EBA" w:rsidP="006D6682">
            <w:pPr>
              <w:pStyle w:val="ab"/>
              <w:spacing w:before="0" w:beforeAutospacing="0" w:after="0" w:afterAutospacing="0"/>
              <w:jc w:val="center"/>
              <w:rPr>
                <w:color w:val="000000"/>
              </w:rPr>
            </w:pPr>
            <w:r w:rsidRPr="00A25501">
              <w:rPr>
                <w:color w:val="000000"/>
              </w:rPr>
              <w:t>Чувство дискомфорта</w:t>
            </w:r>
          </w:p>
        </w:tc>
        <w:tc>
          <w:tcPr>
            <w:tcW w:w="3578" w:type="dxa"/>
            <w:vAlign w:val="center"/>
          </w:tcPr>
          <w:p w14:paraId="20108899" w14:textId="77777777" w:rsidR="00200EBA" w:rsidRPr="000D1198" w:rsidRDefault="00200EBA" w:rsidP="006D6682">
            <w:pPr>
              <w:pStyle w:val="ab"/>
              <w:spacing w:before="0" w:beforeAutospacing="0" w:after="0" w:afterAutospacing="0"/>
              <w:jc w:val="center"/>
              <w:rPr>
                <w:b/>
                <w:bCs/>
                <w:color w:val="000000"/>
              </w:rPr>
            </w:pPr>
            <w:r w:rsidRPr="00A25501">
              <w:rPr>
                <w:color w:val="000000"/>
              </w:rPr>
              <w:t>Чувство дискомфорта</w:t>
            </w:r>
          </w:p>
        </w:tc>
      </w:tr>
      <w:tr w:rsidR="00200EBA" w14:paraId="640406F6" w14:textId="77777777" w:rsidTr="006D6682">
        <w:tc>
          <w:tcPr>
            <w:tcW w:w="2199" w:type="dxa"/>
            <w:vAlign w:val="center"/>
          </w:tcPr>
          <w:p w14:paraId="1CAD9A94" w14:textId="77777777" w:rsidR="00200EBA" w:rsidRPr="00132AAB" w:rsidRDefault="00200EBA" w:rsidP="006D6682">
            <w:pPr>
              <w:pStyle w:val="ab"/>
              <w:spacing w:before="0" w:beforeAutospacing="0" w:after="0" w:afterAutospacing="0"/>
              <w:jc w:val="center"/>
            </w:pPr>
            <w:r w:rsidRPr="00132AAB">
              <w:t>Нечасто</w:t>
            </w:r>
          </w:p>
        </w:tc>
        <w:tc>
          <w:tcPr>
            <w:tcW w:w="3569" w:type="dxa"/>
            <w:vAlign w:val="center"/>
          </w:tcPr>
          <w:p w14:paraId="4B0FD75D" w14:textId="77777777" w:rsidR="00200EBA" w:rsidRPr="00A25501" w:rsidRDefault="00200EBA" w:rsidP="006D6682">
            <w:pPr>
              <w:pStyle w:val="ab"/>
              <w:spacing w:before="0" w:beforeAutospacing="0" w:after="0" w:afterAutospacing="0"/>
              <w:jc w:val="center"/>
              <w:rPr>
                <w:color w:val="000000"/>
              </w:rPr>
            </w:pPr>
            <w:r w:rsidRPr="00A25501">
              <w:rPr>
                <w:color w:val="000000"/>
              </w:rPr>
              <w:t>Нарушение заживления ран</w:t>
            </w:r>
          </w:p>
        </w:tc>
        <w:tc>
          <w:tcPr>
            <w:tcW w:w="3578" w:type="dxa"/>
            <w:vAlign w:val="center"/>
          </w:tcPr>
          <w:p w14:paraId="39C5DC15" w14:textId="77777777" w:rsidR="00200EBA" w:rsidRPr="002A69DF" w:rsidRDefault="00200EBA" w:rsidP="006D6682">
            <w:pPr>
              <w:pStyle w:val="ab"/>
              <w:spacing w:before="0" w:beforeAutospacing="0" w:after="0" w:afterAutospacing="0"/>
              <w:jc w:val="center"/>
              <w:rPr>
                <w:color w:val="000000"/>
              </w:rPr>
            </w:pPr>
            <w:r w:rsidRPr="002A69DF">
              <w:rPr>
                <w:color w:val="000000"/>
              </w:rPr>
              <w:t>Нарушение заживления ран</w:t>
            </w:r>
          </w:p>
          <w:p w14:paraId="7698EE89" w14:textId="4D2080FB" w:rsidR="00200EBA" w:rsidRPr="002A69DF" w:rsidRDefault="00200EBA" w:rsidP="006D6682">
            <w:pPr>
              <w:pStyle w:val="ab"/>
              <w:spacing w:before="0" w:beforeAutospacing="0" w:after="0" w:afterAutospacing="0"/>
              <w:jc w:val="center"/>
              <w:rPr>
                <w:color w:val="000000"/>
              </w:rPr>
            </w:pPr>
            <w:r w:rsidRPr="002A69DF">
              <w:rPr>
                <w:color w:val="000000"/>
              </w:rPr>
              <w:t>Н</w:t>
            </w:r>
            <w:r w:rsidR="00C72CF5">
              <w:rPr>
                <w:color w:val="000000"/>
              </w:rPr>
              <w:t xml:space="preserve">е </w:t>
            </w:r>
            <w:r w:rsidRPr="002A69DF">
              <w:rPr>
                <w:color w:val="000000"/>
              </w:rPr>
              <w:t>гастр</w:t>
            </w:r>
            <w:r w:rsidR="00C72CF5">
              <w:rPr>
                <w:color w:val="000000"/>
              </w:rPr>
              <w:t>оинтестина</w:t>
            </w:r>
            <w:r w:rsidRPr="002A69DF">
              <w:rPr>
                <w:color w:val="000000"/>
              </w:rPr>
              <w:t>льная фистула</w:t>
            </w:r>
            <w:r w:rsidR="00C72CF5" w:rsidRPr="0068400D">
              <w:rPr>
                <w:color w:val="000000"/>
                <w:vertAlign w:val="superscript"/>
                <w:lang w:val="en-US"/>
              </w:rPr>
              <w:t>o</w:t>
            </w:r>
          </w:p>
        </w:tc>
      </w:tr>
      <w:tr w:rsidR="00200EBA" w14:paraId="15171A78" w14:textId="77777777" w:rsidTr="006D6682">
        <w:tc>
          <w:tcPr>
            <w:tcW w:w="2199" w:type="dxa"/>
            <w:vAlign w:val="center"/>
          </w:tcPr>
          <w:p w14:paraId="098BFBB0" w14:textId="77777777" w:rsidR="00200EBA" w:rsidRPr="00132AAB" w:rsidRDefault="00200EBA" w:rsidP="006D6682">
            <w:pPr>
              <w:pStyle w:val="ab"/>
              <w:spacing w:before="0" w:beforeAutospacing="0" w:after="0" w:afterAutospacing="0"/>
              <w:jc w:val="center"/>
            </w:pPr>
            <w:r>
              <w:t>Частота неизвестна</w:t>
            </w:r>
          </w:p>
        </w:tc>
        <w:tc>
          <w:tcPr>
            <w:tcW w:w="3569" w:type="dxa"/>
            <w:vAlign w:val="center"/>
          </w:tcPr>
          <w:p w14:paraId="5A434D20" w14:textId="251FDB06" w:rsidR="00200EBA" w:rsidRPr="00D050C7" w:rsidRDefault="00E617E8" w:rsidP="006D6682">
            <w:pPr>
              <w:pStyle w:val="ab"/>
              <w:spacing w:before="0" w:beforeAutospacing="0" w:after="0" w:afterAutospacing="0"/>
              <w:jc w:val="center"/>
              <w:rPr>
                <w:b/>
                <w:bCs/>
                <w:color w:val="000000"/>
                <w:lang w:val="en-US"/>
              </w:rPr>
            </w:pPr>
            <w:r w:rsidRPr="002A69DF">
              <w:rPr>
                <w:color w:val="000000"/>
              </w:rPr>
              <w:t>Н</w:t>
            </w:r>
            <w:r>
              <w:rPr>
                <w:color w:val="000000"/>
              </w:rPr>
              <w:t xml:space="preserve">е </w:t>
            </w:r>
            <w:r w:rsidRPr="002A69DF">
              <w:rPr>
                <w:color w:val="000000"/>
              </w:rPr>
              <w:t>гастр</w:t>
            </w:r>
            <w:r>
              <w:rPr>
                <w:color w:val="000000"/>
              </w:rPr>
              <w:t>оинтестина</w:t>
            </w:r>
            <w:r w:rsidRPr="002A69DF">
              <w:rPr>
                <w:color w:val="000000"/>
              </w:rPr>
              <w:t>льная</w:t>
            </w:r>
            <w:r w:rsidR="00200EBA" w:rsidRPr="002A69DF">
              <w:rPr>
                <w:color w:val="000000"/>
              </w:rPr>
              <w:t xml:space="preserve"> фистула</w:t>
            </w:r>
            <w:r w:rsidR="008E7351" w:rsidRPr="00D050C7">
              <w:rPr>
                <w:color w:val="000000"/>
                <w:vertAlign w:val="superscript"/>
                <w:lang w:val="en-US"/>
              </w:rPr>
              <w:t>o</w:t>
            </w:r>
          </w:p>
        </w:tc>
        <w:tc>
          <w:tcPr>
            <w:tcW w:w="3578" w:type="dxa"/>
            <w:vAlign w:val="center"/>
          </w:tcPr>
          <w:p w14:paraId="62F2BBAF" w14:textId="77777777" w:rsidR="00200EBA" w:rsidRPr="002A69DF" w:rsidRDefault="00200EBA" w:rsidP="006D6682">
            <w:pPr>
              <w:pStyle w:val="ab"/>
              <w:spacing w:before="0" w:beforeAutospacing="0" w:after="0" w:afterAutospacing="0"/>
              <w:jc w:val="center"/>
              <w:rPr>
                <w:color w:val="000000"/>
              </w:rPr>
            </w:pPr>
          </w:p>
        </w:tc>
      </w:tr>
      <w:tr w:rsidR="00201AD2" w14:paraId="278ED3B6" w14:textId="77777777" w:rsidTr="00B469BA">
        <w:tc>
          <w:tcPr>
            <w:tcW w:w="9346" w:type="dxa"/>
            <w:gridSpan w:val="3"/>
          </w:tcPr>
          <w:p w14:paraId="71D5C56D" w14:textId="77777777" w:rsidR="00201AD2" w:rsidRPr="006D6682" w:rsidRDefault="00201AD2" w:rsidP="00201AD2">
            <w:pPr>
              <w:pStyle w:val="ab"/>
              <w:spacing w:before="0" w:beforeAutospacing="0" w:after="0" w:afterAutospacing="0"/>
              <w:rPr>
                <w:b/>
                <w:color w:val="000000"/>
                <w:sz w:val="20"/>
                <w:szCs w:val="20"/>
              </w:rPr>
            </w:pPr>
            <w:r w:rsidRPr="006D6682">
              <w:rPr>
                <w:b/>
                <w:color w:val="000000"/>
                <w:sz w:val="20"/>
                <w:szCs w:val="20"/>
              </w:rPr>
              <w:t>Примечание:</w:t>
            </w:r>
          </w:p>
          <w:p w14:paraId="621C4A4D" w14:textId="77777777" w:rsidR="00201AD2" w:rsidRPr="006D6682" w:rsidRDefault="00201AD2" w:rsidP="00201AD2">
            <w:pPr>
              <w:pStyle w:val="OT"/>
              <w:spacing w:after="0"/>
              <w:rPr>
                <w:sz w:val="20"/>
              </w:rPr>
            </w:pPr>
            <w:r w:rsidRPr="006D6682">
              <w:rPr>
                <w:color w:val="000000"/>
                <w:sz w:val="20"/>
              </w:rPr>
              <w:t>†</w:t>
            </w:r>
            <w:r w:rsidRPr="006D6682">
              <w:rPr>
                <w:sz w:val="20"/>
              </w:rPr>
              <w:t xml:space="preserve"> ‒ включая случаи с летальным исходом. </w:t>
            </w:r>
          </w:p>
          <w:p w14:paraId="725B45CF" w14:textId="77777777" w:rsidR="00201AD2" w:rsidRPr="006D6682" w:rsidRDefault="00201AD2" w:rsidP="00201AD2">
            <w:pPr>
              <w:pStyle w:val="OT"/>
              <w:spacing w:after="0"/>
              <w:rPr>
                <w:sz w:val="20"/>
              </w:rPr>
            </w:pPr>
            <w:r w:rsidRPr="006D6682">
              <w:rPr>
                <w:sz w:val="20"/>
              </w:rPr>
              <w:t xml:space="preserve">Следующие термины были объединены: </w:t>
            </w:r>
          </w:p>
          <w:p w14:paraId="32920E3C" w14:textId="77777777" w:rsidR="00201AD2" w:rsidRPr="006D6682" w:rsidRDefault="00201AD2" w:rsidP="00201AD2">
            <w:pPr>
              <w:pStyle w:val="OT"/>
              <w:spacing w:after="0"/>
              <w:rPr>
                <w:sz w:val="20"/>
              </w:rPr>
            </w:pPr>
            <w:r w:rsidRPr="006D6682">
              <w:rPr>
                <w:sz w:val="20"/>
                <w:vertAlign w:val="superscript"/>
                <w:lang w:val="en-US"/>
              </w:rPr>
              <w:t>a</w:t>
            </w:r>
            <w:r w:rsidRPr="006D6682">
              <w:rPr>
                <w:sz w:val="20"/>
              </w:rPr>
              <w:t xml:space="preserve"> Тромбоцитопения включает снижение числа тромбоцитов в крови. Нейтропения включает</w:t>
            </w:r>
          </w:p>
          <w:p w14:paraId="2838ED57" w14:textId="77777777" w:rsidR="00201AD2" w:rsidRPr="006D6682" w:rsidRDefault="00201AD2" w:rsidP="00201AD2">
            <w:pPr>
              <w:pStyle w:val="OT"/>
              <w:spacing w:after="0"/>
              <w:rPr>
                <w:sz w:val="20"/>
              </w:rPr>
            </w:pPr>
            <w:r w:rsidRPr="006D6682">
              <w:rPr>
                <w:sz w:val="20"/>
              </w:rPr>
              <w:t>снижение числа нейтрофилов в крови. Лейкопения включает снижение числа лейкоцитов в крови. Лимфопения включает снижение числа лимфоцитов в крови.</w:t>
            </w:r>
          </w:p>
          <w:p w14:paraId="2AF5D868" w14:textId="77777777" w:rsidR="00201AD2" w:rsidRPr="006D6682" w:rsidRDefault="00201AD2" w:rsidP="00201AD2">
            <w:pPr>
              <w:pStyle w:val="OT"/>
              <w:spacing w:after="0"/>
              <w:rPr>
                <w:sz w:val="20"/>
              </w:rPr>
            </w:pPr>
            <w:r w:rsidRPr="006D6682">
              <w:rPr>
                <w:sz w:val="20"/>
                <w:vertAlign w:val="superscript"/>
                <w:lang w:val="en-US"/>
              </w:rPr>
              <w:t>b</w:t>
            </w:r>
            <w:r w:rsidRPr="006D6682">
              <w:rPr>
                <w:sz w:val="20"/>
              </w:rPr>
              <w:t xml:space="preserve"> Гипомагниемия включает снижение уровня магния в крови. Гиперхолестеринемия включаетповышение уровня холестерина в крови.</w:t>
            </w:r>
          </w:p>
          <w:p w14:paraId="347BD14B" w14:textId="77777777" w:rsidR="00201AD2" w:rsidRPr="006D6682" w:rsidRDefault="00201AD2" w:rsidP="00201AD2">
            <w:pPr>
              <w:pStyle w:val="OT"/>
              <w:spacing w:after="0"/>
              <w:rPr>
                <w:sz w:val="20"/>
              </w:rPr>
            </w:pPr>
            <w:r w:rsidRPr="006D6682">
              <w:rPr>
                <w:sz w:val="20"/>
                <w:vertAlign w:val="superscript"/>
                <w:lang w:val="en-US"/>
              </w:rPr>
              <w:t>c</w:t>
            </w:r>
            <w:r w:rsidRPr="006D6682">
              <w:rPr>
                <w:sz w:val="20"/>
              </w:rPr>
              <w:t xml:space="preserve"> Инфаркт миокарда включает острый инфаркт миокарда.</w:t>
            </w:r>
          </w:p>
          <w:p w14:paraId="0D18F6FA" w14:textId="77777777" w:rsidR="00201AD2" w:rsidRPr="006D6682" w:rsidRDefault="00201AD2" w:rsidP="00201AD2">
            <w:pPr>
              <w:pStyle w:val="OT"/>
              <w:spacing w:after="0"/>
              <w:rPr>
                <w:sz w:val="20"/>
              </w:rPr>
            </w:pPr>
            <w:r w:rsidRPr="006D6682">
              <w:rPr>
                <w:sz w:val="20"/>
                <w:vertAlign w:val="superscript"/>
                <w:lang w:val="en-US"/>
              </w:rPr>
              <w:t>d</w:t>
            </w:r>
            <w:r w:rsidRPr="006D6682">
              <w:rPr>
                <w:sz w:val="20"/>
              </w:rPr>
              <w:t xml:space="preserve"> Кровотечение включает все виды кровотечений, такие как носовое кровотечение, кровохарканье, гематурия, контузия, кровохарканье, кровоточивость десен, петехии, легочное кровотечение, ректальное кровотечение, наличие крови в моче, гематома, влагалищное кровотечение, кровоизлияние в конъюнктиву, геморроидальное кровотечение, кровоизлияние во внутричерепную опухоль, гортанное кровотечение, экхимоз, повышенная склонность к синякам, постпроцедурное кровоизлияние, пурпура, кровоизлияние в </w:t>
            </w:r>
            <w:r w:rsidRPr="006D6682">
              <w:rPr>
                <w:sz w:val="20"/>
              </w:rPr>
              <w:lastRenderedPageBreak/>
              <w:t>кожу, разрыв аневризмы, артериальные кровотечения, глазные кровоизлияния, желудочное кровотечение, геморрагический гастродуоденит, желудочно-кишечное кровотечение, рвота с кровью, кровотечение, геморрагический инсульт, мелена, метроррагия, кровотечение из ногтевого ложа, гемоторакс, постменопаузальное кровотечение, геморрагический проктит, почечная гематома, кровоизлияние в селезенку, кровоизлияние у основания ногтей, субарахноидальное кровоизлияние, кровоизлияние в трахею, кровоизлияние в опухоль, кровотечение из влагалища и маточное кровотечение.</w:t>
            </w:r>
          </w:p>
          <w:p w14:paraId="11C7884D" w14:textId="77777777" w:rsidR="00201AD2" w:rsidRPr="006D6682" w:rsidRDefault="00201AD2" w:rsidP="00201AD2">
            <w:pPr>
              <w:pStyle w:val="OT"/>
              <w:spacing w:after="0"/>
              <w:rPr>
                <w:sz w:val="20"/>
              </w:rPr>
            </w:pPr>
            <w:r w:rsidRPr="006D6682">
              <w:rPr>
                <w:sz w:val="20"/>
              </w:rPr>
              <w:t>Термины кровотечений, которые имели место у 5 или более субъектов с дифференцированным РЩЖ: носовое кровотечение, кровохарканье, гематурия, контузия, кровохарканье, кровоточивость десен, петехии, легочное кровотечение, ректальное кровотечение, наличие крови в моче, гематома и вагинальное кровотечение.</w:t>
            </w:r>
          </w:p>
          <w:p w14:paraId="47D2AC8C" w14:textId="77777777" w:rsidR="00201AD2" w:rsidRPr="006D6682" w:rsidRDefault="00201AD2" w:rsidP="00201AD2">
            <w:pPr>
              <w:pStyle w:val="OT"/>
              <w:spacing w:after="0"/>
              <w:rPr>
                <w:sz w:val="20"/>
              </w:rPr>
            </w:pPr>
            <w:r w:rsidRPr="006D6682">
              <w:rPr>
                <w:sz w:val="20"/>
              </w:rPr>
              <w:t>Термины кровотечений, которые имели место у 5 или более субъектов с ГЦР: носовое кровотечение, гематурия, кровоточивость десен, кровохарканье, кровотечение из варикозно расширенных вен пищевода, геморроидальное кровотечение, кровоизлияние в полость рта, кровотечение из прямой кишки и кровоизлияние в желудочно-кишечный тракт.</w:t>
            </w:r>
          </w:p>
          <w:p w14:paraId="78324515" w14:textId="77777777" w:rsidR="00201AD2" w:rsidRPr="006D6682" w:rsidRDefault="00201AD2" w:rsidP="00201AD2">
            <w:pPr>
              <w:pStyle w:val="OT"/>
              <w:spacing w:after="0"/>
              <w:rPr>
                <w:sz w:val="20"/>
              </w:rPr>
            </w:pPr>
            <w:r w:rsidRPr="006D6682">
              <w:rPr>
                <w:sz w:val="20"/>
                <w:vertAlign w:val="superscript"/>
                <w:lang w:val="en-US"/>
              </w:rPr>
              <w:t>e</w:t>
            </w:r>
            <w:r w:rsidRPr="006D6682">
              <w:rPr>
                <w:sz w:val="20"/>
              </w:rPr>
              <w:t xml:space="preserve"> Артериальная гипертензия включает гипертонический криз, повышение диастолического кровяного давления, ортостатическую гипертензию и повышение кровяного давления.</w:t>
            </w:r>
          </w:p>
          <w:p w14:paraId="3B9128BF" w14:textId="77777777" w:rsidR="00201AD2" w:rsidRPr="006D6682" w:rsidRDefault="00201AD2" w:rsidP="00201AD2">
            <w:pPr>
              <w:pStyle w:val="OT"/>
              <w:spacing w:after="0"/>
              <w:rPr>
                <w:sz w:val="20"/>
              </w:rPr>
            </w:pPr>
            <w:r w:rsidRPr="006D6682">
              <w:rPr>
                <w:sz w:val="20"/>
                <w:vertAlign w:val="superscript"/>
                <w:lang w:val="en-US"/>
              </w:rPr>
              <w:t>f</w:t>
            </w:r>
            <w:r w:rsidRPr="006D6682">
              <w:rPr>
                <w:sz w:val="20"/>
              </w:rPr>
              <w:t xml:space="preserve"> Боль в животе включает дискомфорт в брюшной полости, боль в нижнем отделе живота, боль в верхнем отделе живота, болезненность живота при пальпации, дискомфорт в эпигастральной области, </w:t>
            </w:r>
          </w:p>
          <w:p w14:paraId="4AD4F370" w14:textId="77777777" w:rsidR="00201AD2" w:rsidRPr="006D6682" w:rsidRDefault="00201AD2" w:rsidP="00201AD2">
            <w:pPr>
              <w:pStyle w:val="OT"/>
              <w:spacing w:after="0"/>
              <w:rPr>
                <w:sz w:val="20"/>
              </w:rPr>
            </w:pPr>
            <w:r w:rsidRPr="006D6682">
              <w:rPr>
                <w:sz w:val="20"/>
                <w:vertAlign w:val="superscript"/>
              </w:rPr>
              <w:t>g</w:t>
            </w:r>
            <w:r w:rsidRPr="006D6682">
              <w:rPr>
                <w:sz w:val="20"/>
              </w:rPr>
              <w:t>: Воспаление полости рта включает афтозный стоматит, афтозную язву, эрозию десны, изъязвление десны, образование пузырей на слизистой оболочке рта, стоматит, глоссит, изъязвление полости рта, воспаление слизистых оболочек.</w:t>
            </w:r>
          </w:p>
          <w:p w14:paraId="668BF789" w14:textId="77777777" w:rsidR="00201AD2" w:rsidRPr="006D6682" w:rsidRDefault="00201AD2" w:rsidP="00201AD2">
            <w:pPr>
              <w:pStyle w:val="OT"/>
              <w:spacing w:after="0"/>
              <w:rPr>
                <w:sz w:val="20"/>
              </w:rPr>
            </w:pPr>
            <w:r w:rsidRPr="006D6682">
              <w:rPr>
                <w:sz w:val="20"/>
                <w:vertAlign w:val="superscript"/>
              </w:rPr>
              <w:t>h</w:t>
            </w:r>
            <w:r w:rsidRPr="006D6682">
              <w:rPr>
                <w:sz w:val="20"/>
              </w:rPr>
              <w:t>: Боль в полости рта включает глоссодинию, боль в деснах, дискомфорт в орофарингеальной области, боль в орофарингеальной области, дискомфорт языка.</w:t>
            </w:r>
          </w:p>
          <w:p w14:paraId="22A43988" w14:textId="77777777" w:rsidR="00201AD2" w:rsidRPr="006D6682" w:rsidRDefault="00201AD2" w:rsidP="00201AD2">
            <w:pPr>
              <w:pStyle w:val="OT"/>
              <w:spacing w:after="0"/>
              <w:rPr>
                <w:sz w:val="20"/>
              </w:rPr>
            </w:pPr>
            <w:r w:rsidRPr="006D6682">
              <w:rPr>
                <w:sz w:val="20"/>
                <w:vertAlign w:val="superscript"/>
              </w:rPr>
              <w:t>i</w:t>
            </w:r>
            <w:r w:rsidRPr="006D6682">
              <w:rPr>
                <w:sz w:val="20"/>
              </w:rPr>
              <w:t>: Панкреатит включает острый панкреатит.</w:t>
            </w:r>
          </w:p>
          <w:p w14:paraId="113FEC6D" w14:textId="77777777" w:rsidR="00201AD2" w:rsidRPr="006D6682" w:rsidRDefault="00201AD2" w:rsidP="00201AD2">
            <w:pPr>
              <w:pStyle w:val="OT"/>
              <w:spacing w:after="0"/>
              <w:rPr>
                <w:sz w:val="20"/>
              </w:rPr>
            </w:pPr>
            <w:r w:rsidRPr="006D6682">
              <w:rPr>
                <w:sz w:val="20"/>
              </w:rPr>
              <w:t>: Повышение концентрации билирубина в крови включает гипербилирубинемию, желтуху и</w:t>
            </w:r>
          </w:p>
          <w:p w14:paraId="5C5DD927" w14:textId="77777777" w:rsidR="00201AD2" w:rsidRPr="006D6682" w:rsidRDefault="00201AD2" w:rsidP="00201AD2">
            <w:pPr>
              <w:pStyle w:val="OT"/>
              <w:spacing w:after="0"/>
              <w:rPr>
                <w:sz w:val="20"/>
              </w:rPr>
            </w:pPr>
            <w:r w:rsidRPr="006D6682">
              <w:rPr>
                <w:sz w:val="20"/>
              </w:rPr>
              <w:t>повышение концентрации конъюгированного билирубина. Гипоальбуминемия включает понижение концентрации альбумина в крови.</w:t>
            </w:r>
          </w:p>
          <w:p w14:paraId="176098EB" w14:textId="77777777" w:rsidR="00201AD2" w:rsidRPr="006D6682" w:rsidRDefault="00201AD2" w:rsidP="00201AD2">
            <w:pPr>
              <w:pStyle w:val="OT"/>
              <w:spacing w:after="0"/>
              <w:rPr>
                <w:sz w:val="20"/>
              </w:rPr>
            </w:pPr>
            <w:r w:rsidRPr="006D6682">
              <w:rPr>
                <w:sz w:val="20"/>
                <w:vertAlign w:val="superscript"/>
                <w:lang w:val="en-US"/>
              </w:rPr>
              <w:t>k</w:t>
            </w:r>
            <w:r w:rsidRPr="006D6682">
              <w:rPr>
                <w:sz w:val="20"/>
              </w:rPr>
              <w:t>: Печеночная недостаточность включает острую и хроническую печеночную недостаточность.</w:t>
            </w:r>
          </w:p>
          <w:p w14:paraId="6FD72A7D" w14:textId="77777777" w:rsidR="00201AD2" w:rsidRPr="006D6682" w:rsidRDefault="00201AD2" w:rsidP="00201AD2">
            <w:pPr>
              <w:pStyle w:val="OT"/>
              <w:spacing w:after="0"/>
              <w:rPr>
                <w:sz w:val="20"/>
              </w:rPr>
            </w:pPr>
            <w:r w:rsidRPr="006D6682">
              <w:rPr>
                <w:sz w:val="20"/>
                <w:vertAlign w:val="superscript"/>
              </w:rPr>
              <w:t>1</w:t>
            </w:r>
            <w:r w:rsidRPr="006D6682">
              <w:rPr>
                <w:sz w:val="20"/>
              </w:rPr>
              <w:t>: Печеночная энцефалопатия включает печеночную кому, метаболическую энцефалопатию и</w:t>
            </w:r>
          </w:p>
          <w:p w14:paraId="2C85E350" w14:textId="77777777" w:rsidR="00201AD2" w:rsidRPr="006D6682" w:rsidRDefault="00201AD2" w:rsidP="00201AD2">
            <w:pPr>
              <w:pStyle w:val="OT"/>
              <w:spacing w:after="0"/>
              <w:rPr>
                <w:sz w:val="20"/>
              </w:rPr>
            </w:pPr>
            <w:r w:rsidRPr="006D6682">
              <w:rPr>
                <w:sz w:val="20"/>
              </w:rPr>
              <w:t>энцефалопатию.</w:t>
            </w:r>
          </w:p>
          <w:p w14:paraId="276E4F1A" w14:textId="77777777" w:rsidR="00201AD2" w:rsidRPr="006D6682" w:rsidRDefault="00201AD2" w:rsidP="00201AD2">
            <w:pPr>
              <w:pStyle w:val="OT"/>
              <w:spacing w:after="0"/>
              <w:rPr>
                <w:sz w:val="20"/>
              </w:rPr>
            </w:pPr>
            <w:r w:rsidRPr="006D6682">
              <w:rPr>
                <w:sz w:val="20"/>
                <w:vertAlign w:val="superscript"/>
                <w:lang w:val="en-US"/>
              </w:rPr>
              <w:t>m</w:t>
            </w:r>
            <w:r w:rsidRPr="006D6682">
              <w:rPr>
                <w:sz w:val="20"/>
              </w:rPr>
              <w:t>: Повреждение клеток печени/гепатит включает лекарственно-индуцированное поражение печени,</w:t>
            </w:r>
          </w:p>
          <w:p w14:paraId="4DDD6685" w14:textId="77777777" w:rsidR="00201AD2" w:rsidRPr="006D6682" w:rsidRDefault="00201AD2" w:rsidP="00201AD2">
            <w:pPr>
              <w:pStyle w:val="OT"/>
              <w:spacing w:after="0"/>
              <w:rPr>
                <w:sz w:val="20"/>
              </w:rPr>
            </w:pPr>
            <w:r w:rsidRPr="006D6682">
              <w:rPr>
                <w:sz w:val="20"/>
              </w:rPr>
              <w:t>стеатоз печени, холестатическое поражение печени.</w:t>
            </w:r>
          </w:p>
          <w:p w14:paraId="41B2E07F" w14:textId="77777777" w:rsidR="00201AD2" w:rsidRPr="006D6682" w:rsidRDefault="00201AD2" w:rsidP="00201AD2">
            <w:pPr>
              <w:pStyle w:val="OT"/>
              <w:spacing w:after="0"/>
              <w:rPr>
                <w:sz w:val="20"/>
              </w:rPr>
            </w:pPr>
            <w:r w:rsidRPr="006D6682">
              <w:rPr>
                <w:sz w:val="20"/>
                <w:vertAlign w:val="superscript"/>
                <w:lang w:val="en-US"/>
              </w:rPr>
              <w:t>n</w:t>
            </w:r>
            <w:r w:rsidRPr="006D6682">
              <w:rPr>
                <w:sz w:val="20"/>
              </w:rPr>
              <w:t>: Эпизоды почечной недостаточности включают острую преренальную недостаточность, острую почечную недостаточность, острое повреждение почек, некроз почечных канальцев.</w:t>
            </w:r>
          </w:p>
          <w:p w14:paraId="065B3C5C" w14:textId="77777777" w:rsidR="00201AD2" w:rsidRPr="006D6682" w:rsidRDefault="00201AD2" w:rsidP="00201AD2">
            <w:pPr>
              <w:pStyle w:val="OT"/>
              <w:spacing w:after="0"/>
              <w:rPr>
                <w:sz w:val="20"/>
              </w:rPr>
            </w:pPr>
            <w:r w:rsidRPr="006D6682">
              <w:rPr>
                <w:sz w:val="20"/>
                <w:vertAlign w:val="superscript"/>
              </w:rPr>
              <w:t>о</w:t>
            </w:r>
            <w:r w:rsidRPr="006D6682">
              <w:rPr>
                <w:sz w:val="20"/>
              </w:rPr>
              <w:t>: Негастроинтестинальная фистула включает все случаи образования фистул вне желудочно-</w:t>
            </w:r>
          </w:p>
          <w:p w14:paraId="75274F30" w14:textId="77777777" w:rsidR="00201AD2" w:rsidRPr="006D6682" w:rsidRDefault="00201AD2" w:rsidP="00201AD2">
            <w:pPr>
              <w:pStyle w:val="OT"/>
              <w:spacing w:after="0"/>
              <w:rPr>
                <w:sz w:val="20"/>
              </w:rPr>
            </w:pPr>
            <w:r w:rsidRPr="006D6682">
              <w:rPr>
                <w:sz w:val="20"/>
              </w:rPr>
              <w:t>кишечного тракта, включая трахеальные, трахео-эзофагеальные, эзофагеальные, фистулы женских половых путей и кожные фистулы.</w:t>
            </w:r>
          </w:p>
          <w:p w14:paraId="0015E65E" w14:textId="77777777" w:rsidR="00201AD2" w:rsidRPr="006D6682" w:rsidRDefault="00201AD2" w:rsidP="00201AD2">
            <w:pPr>
              <w:pStyle w:val="OT"/>
              <w:spacing w:after="0"/>
              <w:rPr>
                <w:color w:val="000000"/>
                <w:sz w:val="20"/>
              </w:rPr>
            </w:pPr>
            <w:r w:rsidRPr="006D6682">
              <w:rPr>
                <w:sz w:val="20"/>
              </w:rPr>
              <w:t xml:space="preserve">АЛТ ‒ </w:t>
            </w:r>
            <w:r w:rsidRPr="006D6682">
              <w:rPr>
                <w:color w:val="000000"/>
                <w:sz w:val="20"/>
              </w:rPr>
              <w:t xml:space="preserve">аланинаминотрансфераза. </w:t>
            </w:r>
          </w:p>
          <w:p w14:paraId="6333566C" w14:textId="77777777" w:rsidR="00201AD2" w:rsidRPr="006D6682" w:rsidRDefault="00201AD2" w:rsidP="00201AD2">
            <w:pPr>
              <w:pStyle w:val="OT"/>
              <w:spacing w:after="0"/>
              <w:rPr>
                <w:color w:val="000000"/>
                <w:sz w:val="20"/>
              </w:rPr>
            </w:pPr>
            <w:r w:rsidRPr="006D6682">
              <w:rPr>
                <w:color w:val="000000"/>
                <w:sz w:val="20"/>
              </w:rPr>
              <w:t xml:space="preserve">АСТ </w:t>
            </w:r>
            <w:r w:rsidRPr="006D6682">
              <w:rPr>
                <w:sz w:val="20"/>
              </w:rPr>
              <w:t xml:space="preserve">‒ </w:t>
            </w:r>
            <w:r w:rsidRPr="006D6682">
              <w:rPr>
                <w:color w:val="000000"/>
                <w:sz w:val="20"/>
              </w:rPr>
              <w:t>аспартатаминотрансфераза.</w:t>
            </w:r>
          </w:p>
          <w:p w14:paraId="2C2877F6" w14:textId="79288F2D" w:rsidR="00201AD2" w:rsidRPr="00201AD2" w:rsidRDefault="00201AD2" w:rsidP="00201AD2">
            <w:pPr>
              <w:pStyle w:val="OT"/>
              <w:spacing w:after="0"/>
            </w:pPr>
            <w:r w:rsidRPr="006D6682">
              <w:rPr>
                <w:sz w:val="20"/>
              </w:rPr>
              <w:t xml:space="preserve">ЛПЭ ‒ </w:t>
            </w:r>
            <w:r w:rsidRPr="006D6682">
              <w:rPr>
                <w:color w:val="000000"/>
                <w:sz w:val="20"/>
              </w:rPr>
              <w:t>ладонно-подошвенная эритродизестезия</w:t>
            </w:r>
            <w:r>
              <w:rPr>
                <w:color w:val="000000"/>
              </w:rPr>
              <w:t>.</w:t>
            </w:r>
          </w:p>
        </w:tc>
      </w:tr>
    </w:tbl>
    <w:p w14:paraId="1FB4EE1B" w14:textId="77777777" w:rsidR="00200EBA" w:rsidRDefault="00200EBA" w:rsidP="00200EBA">
      <w:pPr>
        <w:pStyle w:val="3"/>
        <w:tabs>
          <w:tab w:val="left" w:pos="8647"/>
        </w:tabs>
        <w:spacing w:after="240"/>
        <w:rPr>
          <w:rFonts w:ascii="Times New Roman" w:hAnsi="Times New Roman"/>
          <w:color w:val="000000" w:themeColor="text1"/>
        </w:rPr>
      </w:pPr>
      <w:bookmarkStart w:id="274" w:name="bookmark5"/>
      <w:bookmarkStart w:id="275" w:name="_Toc126059776"/>
      <w:bookmarkEnd w:id="272"/>
      <w:r w:rsidRPr="005E6358">
        <w:rPr>
          <w:rFonts w:ascii="Times New Roman" w:hAnsi="Times New Roman"/>
          <w:color w:val="000000" w:themeColor="text1"/>
        </w:rPr>
        <w:lastRenderedPageBreak/>
        <w:t>5.3.</w:t>
      </w:r>
      <w:r>
        <w:rPr>
          <w:rFonts w:ascii="Times New Roman" w:hAnsi="Times New Roman"/>
          <w:color w:val="000000" w:themeColor="text1"/>
        </w:rPr>
        <w:t>6</w:t>
      </w:r>
      <w:r w:rsidRPr="005E6358">
        <w:rPr>
          <w:rFonts w:ascii="Times New Roman" w:hAnsi="Times New Roman"/>
          <w:color w:val="000000" w:themeColor="text1"/>
        </w:rPr>
        <w:t xml:space="preserve">. </w:t>
      </w:r>
      <w:r>
        <w:rPr>
          <w:rFonts w:ascii="Times New Roman" w:hAnsi="Times New Roman"/>
          <w:color w:val="000000" w:themeColor="text1"/>
        </w:rPr>
        <w:t>Передозировка</w:t>
      </w:r>
      <w:bookmarkEnd w:id="275"/>
    </w:p>
    <w:p w14:paraId="7B1F562D" w14:textId="77777777" w:rsidR="00200EBA" w:rsidRPr="000A6F7F" w:rsidRDefault="00200EBA" w:rsidP="00200EBA">
      <w:pPr>
        <w:ind w:firstLine="709"/>
      </w:pPr>
      <w:r w:rsidRPr="000A6F7F">
        <w:t xml:space="preserve">Сообщалось о передозировке препарата </w:t>
      </w:r>
      <w:r>
        <w:rPr>
          <w:lang w:eastAsia="ru-RU" w:bidi="ru-RU"/>
        </w:rPr>
        <w:t>ленватиниб</w:t>
      </w:r>
      <w:r w:rsidRPr="000A6F7F">
        <w:t xml:space="preserve">, включая разовый прием 144 мг, что в 6 раз превышает рекомендуемую суточную дозу. Эти случаи сопровождались возникновением нежелательных реакций, согласующихся с изученным профилем безопасности ленватиниба (например, возникновение почечной или сердечной недостаточности), либо протекали при отсутствии сообщений о нежелательных реакциях. Летальный случай в результате полиорганной недостаточности произошел у пациента, который получил внутрь однократную дозу препарата </w:t>
      </w:r>
      <w:r>
        <w:rPr>
          <w:lang w:eastAsia="ru-RU" w:bidi="ru-RU"/>
        </w:rPr>
        <w:t xml:space="preserve">ленватиниб </w:t>
      </w:r>
      <w:r w:rsidRPr="000A6F7F">
        <w:t>120 мг</w:t>
      </w:r>
      <w:r>
        <w:t>.</w:t>
      </w:r>
    </w:p>
    <w:p w14:paraId="7C39EA6A" w14:textId="77777777" w:rsidR="00200EBA" w:rsidRDefault="00200EBA" w:rsidP="00200EBA">
      <w:pPr>
        <w:pStyle w:val="3"/>
        <w:tabs>
          <w:tab w:val="left" w:pos="8647"/>
        </w:tabs>
        <w:spacing w:after="240"/>
        <w:rPr>
          <w:rFonts w:ascii="Times New Roman" w:eastAsia="Courier New" w:hAnsi="Times New Roman"/>
          <w:szCs w:val="24"/>
          <w:lang w:eastAsia="ru-RU" w:bidi="ru-RU"/>
        </w:rPr>
      </w:pPr>
      <w:bookmarkStart w:id="276" w:name="_Toc126059777"/>
      <w:r w:rsidRPr="005E6358">
        <w:rPr>
          <w:rFonts w:ascii="Times New Roman" w:hAnsi="Times New Roman"/>
          <w:color w:val="000000" w:themeColor="text1"/>
        </w:rPr>
        <w:lastRenderedPageBreak/>
        <w:t>5.3.</w:t>
      </w:r>
      <w:r>
        <w:rPr>
          <w:rFonts w:ascii="Times New Roman" w:hAnsi="Times New Roman"/>
          <w:color w:val="000000" w:themeColor="text1"/>
        </w:rPr>
        <w:t>7</w:t>
      </w:r>
      <w:r w:rsidRPr="005E6358">
        <w:rPr>
          <w:rFonts w:ascii="Times New Roman" w:hAnsi="Times New Roman"/>
          <w:color w:val="000000" w:themeColor="text1"/>
        </w:rPr>
        <w:t xml:space="preserve">. </w:t>
      </w:r>
      <w:r w:rsidRPr="003F11CF">
        <w:rPr>
          <w:rFonts w:ascii="Times New Roman" w:eastAsia="Courier New" w:hAnsi="Times New Roman"/>
          <w:szCs w:val="24"/>
          <w:lang w:eastAsia="ru-RU" w:bidi="ru-RU"/>
        </w:rPr>
        <w:t>Взаимодействие с другими лекарственными средствами</w:t>
      </w:r>
      <w:bookmarkEnd w:id="276"/>
    </w:p>
    <w:p w14:paraId="1E75B6FD" w14:textId="7A562A98" w:rsidR="00200EBA" w:rsidRPr="006D6682" w:rsidRDefault="00200EBA" w:rsidP="00200EBA">
      <w:pPr>
        <w:rPr>
          <w:b/>
          <w:bCs/>
          <w:i/>
          <w:iCs/>
          <w:lang w:eastAsia="ru-RU" w:bidi="ru-RU"/>
        </w:rPr>
      </w:pPr>
      <w:r w:rsidRPr="00F83C20">
        <w:rPr>
          <w:b/>
          <w:bCs/>
          <w:i/>
          <w:iCs/>
          <w:lang w:eastAsia="ru-RU" w:bidi="ru-RU"/>
        </w:rPr>
        <w:t>Ингибиторы или индукторы изофермента СУРЗА4, Р-</w:t>
      </w:r>
      <w:r w:rsidR="006D6682">
        <w:rPr>
          <w:b/>
          <w:bCs/>
          <w:i/>
          <w:iCs/>
          <w:lang w:eastAsia="ru-RU" w:bidi="ru-RU"/>
        </w:rPr>
        <w:t>гликопротеина и BCRP</w:t>
      </w:r>
    </w:p>
    <w:p w14:paraId="24F9CB0C" w14:textId="54AFCAC5" w:rsidR="00200EBA" w:rsidRDefault="00200EBA" w:rsidP="00202E76">
      <w:pPr>
        <w:ind w:firstLine="709"/>
        <w:rPr>
          <w:lang w:eastAsia="ru-RU" w:bidi="ru-RU"/>
        </w:rPr>
      </w:pPr>
      <w:r>
        <w:rPr>
          <w:lang w:eastAsia="ru-RU" w:bidi="ru-RU"/>
        </w:rPr>
        <w:t>Ленватиниб может применяться вне зависимости от совместного приема ингибиторов изофермента СУРЗА4, Р-гликопротеина и BCRP. У здоровых добровольцев кетоконазол (400 мг в течение 18 дней) увеличивал AUC</w:t>
      </w:r>
      <w:r w:rsidRPr="00C56E78">
        <w:rPr>
          <w:vertAlign w:val="subscript"/>
          <w:lang w:eastAsia="ru-RU" w:bidi="ru-RU"/>
        </w:rPr>
        <w:t>0-inf</w:t>
      </w:r>
      <w:r>
        <w:rPr>
          <w:lang w:eastAsia="ru-RU" w:bidi="ru-RU"/>
        </w:rPr>
        <w:t xml:space="preserve"> и AUC</w:t>
      </w:r>
      <w:r w:rsidRPr="00C56E78">
        <w:rPr>
          <w:vertAlign w:val="subscript"/>
          <w:lang w:eastAsia="ru-RU" w:bidi="ru-RU"/>
        </w:rPr>
        <w:t>0-t</w:t>
      </w:r>
      <w:r>
        <w:rPr>
          <w:lang w:eastAsia="ru-RU" w:bidi="ru-RU"/>
        </w:rPr>
        <w:t xml:space="preserve"> ленватиниба (вводимого в виде однократной дозы в День 5) приблизительно на 15%, тогда как С</w:t>
      </w:r>
      <w:r w:rsidRPr="00F97272">
        <w:rPr>
          <w:vertAlign w:val="subscript"/>
          <w:lang w:val="en-US" w:eastAsia="ru-RU" w:bidi="ru-RU"/>
        </w:rPr>
        <w:t>max</w:t>
      </w:r>
      <w:r w:rsidRPr="00F97272">
        <w:rPr>
          <w:lang w:eastAsia="ru-RU" w:bidi="ru-RU"/>
        </w:rPr>
        <w:t xml:space="preserve"> </w:t>
      </w:r>
      <w:r>
        <w:rPr>
          <w:lang w:eastAsia="ru-RU" w:bidi="ru-RU"/>
        </w:rPr>
        <w:t>увеличивалась на 19%. Это подтверждается популяционным фармакокинетическим анализом, который показал, что ингибиторы изофермента СУРЗА4 снимают Cl/F на 7,8%.</w:t>
      </w:r>
    </w:p>
    <w:p w14:paraId="029A37C2" w14:textId="515B856A" w:rsidR="00200EBA" w:rsidRDefault="00200EBA" w:rsidP="00202E76">
      <w:pPr>
        <w:ind w:firstLine="709"/>
        <w:rPr>
          <w:lang w:eastAsia="ru-RU" w:bidi="ru-RU"/>
        </w:rPr>
      </w:pPr>
      <w:r>
        <w:rPr>
          <w:lang w:eastAsia="ru-RU" w:bidi="ru-RU"/>
        </w:rPr>
        <w:t>Ленватиниб может применяться без коррекции дозы с индукторами изофермента СУРЗА4 и Р-гликопротеина, основываясь на исследовании, в котором здоровым добровольцам вводились многократные дозы рифампицина (600 мг в течение 21 дня) и однократная доза ленватиниба (24 мг в День 15). AUC</w:t>
      </w:r>
      <w:r w:rsidRPr="00C56E78">
        <w:rPr>
          <w:vertAlign w:val="subscript"/>
          <w:lang w:eastAsia="ru-RU" w:bidi="ru-RU"/>
        </w:rPr>
        <w:t>0-inf</w:t>
      </w:r>
      <w:r>
        <w:rPr>
          <w:lang w:eastAsia="ru-RU" w:bidi="ru-RU"/>
        </w:rPr>
        <w:t xml:space="preserve"> и AUC</w:t>
      </w:r>
      <w:r w:rsidRPr="00C56E78">
        <w:rPr>
          <w:vertAlign w:val="subscript"/>
          <w:lang w:eastAsia="ru-RU" w:bidi="ru-RU"/>
        </w:rPr>
        <w:t>0</w:t>
      </w:r>
      <w:r w:rsidR="00510E45" w:rsidRPr="00510E45">
        <w:rPr>
          <w:vertAlign w:val="subscript"/>
          <w:lang w:eastAsia="ru-RU" w:bidi="ru-RU"/>
        </w:rPr>
        <w:t xml:space="preserve"> </w:t>
      </w:r>
      <w:r w:rsidR="00510E45" w:rsidRPr="00C56E78">
        <w:rPr>
          <w:vertAlign w:val="subscript"/>
          <w:lang w:eastAsia="ru-RU" w:bidi="ru-RU"/>
        </w:rPr>
        <w:t xml:space="preserve">t </w:t>
      </w:r>
      <w:r w:rsidRPr="00C56E78">
        <w:rPr>
          <w:vertAlign w:val="subscript"/>
          <w:lang w:eastAsia="ru-RU" w:bidi="ru-RU"/>
        </w:rPr>
        <w:t>-</w:t>
      </w:r>
      <w:r>
        <w:rPr>
          <w:lang w:eastAsia="ru-RU" w:bidi="ru-RU"/>
        </w:rPr>
        <w:t xml:space="preserve">снижались примерно на 18%, в то время как </w:t>
      </w:r>
      <w:r w:rsidRPr="00382EC6">
        <w:rPr>
          <w:lang w:eastAsia="ru-RU" w:bidi="ru-RU"/>
        </w:rPr>
        <w:t>С</w:t>
      </w:r>
      <w:r w:rsidRPr="00382EC6">
        <w:rPr>
          <w:vertAlign w:val="subscript"/>
          <w:lang w:eastAsia="ru-RU" w:bidi="ru-RU"/>
        </w:rPr>
        <w:t>max</w:t>
      </w:r>
      <w:r>
        <w:rPr>
          <w:lang w:eastAsia="ru-RU" w:bidi="ru-RU"/>
        </w:rPr>
        <w:t xml:space="preserve"> не изменилась. Эффект индукции изофермента СУРЗА в отдельности оценивали путем сравнения параметров фармакокинетики ленватиниба после однократного или многократного приема рифампицина. Предсказано, что AUC и </w:t>
      </w:r>
      <w:r w:rsidRPr="00382EC6">
        <w:rPr>
          <w:lang w:eastAsia="ru-RU" w:bidi="ru-RU"/>
        </w:rPr>
        <w:t>С</w:t>
      </w:r>
      <w:r w:rsidRPr="00382EC6">
        <w:rPr>
          <w:vertAlign w:val="subscript"/>
          <w:lang w:eastAsia="ru-RU" w:bidi="ru-RU"/>
        </w:rPr>
        <w:t>max</w:t>
      </w:r>
      <w:r>
        <w:rPr>
          <w:lang w:eastAsia="ru-RU" w:bidi="ru-RU"/>
        </w:rPr>
        <w:t xml:space="preserve"> ленватиниба снижаются на 30% и 15%, соответственно, после сильной индукции в отсутствие острого ингибирования Р-гликопротеина. Это подтверждается популяционным фармакокинетическим анализом, который показал, что индукторы изофермента С</w:t>
      </w:r>
      <w:r w:rsidR="006D6682">
        <w:rPr>
          <w:lang w:eastAsia="ru-RU" w:bidi="ru-RU"/>
        </w:rPr>
        <w:t>УРЗА4 увеличивали Cl/F на 30%.</w:t>
      </w:r>
    </w:p>
    <w:p w14:paraId="19CAF3A6" w14:textId="79ED8884" w:rsidR="00200EBA" w:rsidRPr="00F83C20" w:rsidRDefault="00200EBA" w:rsidP="000971D1">
      <w:pPr>
        <w:rPr>
          <w:b/>
          <w:bCs/>
          <w:i/>
          <w:iCs/>
          <w:lang w:eastAsia="ru-RU" w:bidi="ru-RU"/>
        </w:rPr>
      </w:pPr>
      <w:r w:rsidRPr="00F83C20">
        <w:rPr>
          <w:b/>
          <w:bCs/>
          <w:i/>
          <w:iCs/>
          <w:lang w:eastAsia="ru-RU" w:bidi="ru-RU"/>
        </w:rPr>
        <w:t>Препараты, регулирующ</w:t>
      </w:r>
      <w:r w:rsidR="006D6682">
        <w:rPr>
          <w:b/>
          <w:bCs/>
          <w:i/>
          <w:iCs/>
          <w:lang w:eastAsia="ru-RU" w:bidi="ru-RU"/>
        </w:rPr>
        <w:t>ие кислотность желудочного сока</w:t>
      </w:r>
    </w:p>
    <w:p w14:paraId="6E4BFD5C" w14:textId="16A696FA" w:rsidR="00200EBA" w:rsidRDefault="00200EBA" w:rsidP="00202E76">
      <w:pPr>
        <w:ind w:firstLine="709"/>
        <w:rPr>
          <w:lang w:eastAsia="ru-RU" w:bidi="ru-RU"/>
        </w:rPr>
      </w:pPr>
      <w:r>
        <w:rPr>
          <w:lang w:eastAsia="ru-RU" w:bidi="ru-RU"/>
        </w:rPr>
        <w:t>В популяционном фармакокинетическом анализе пациентов, получающих ленватиниб в дозе до 24 мг один раз в сутки, препараты, повышающие pH желудочного сока (блокаторы Н2-рецепторов, ингибиторы протонной помпы, антациды) не оказывали существенного вли</w:t>
      </w:r>
      <w:r w:rsidR="006D6682">
        <w:rPr>
          <w:lang w:eastAsia="ru-RU" w:bidi="ru-RU"/>
        </w:rPr>
        <w:t>яния на экспозицию ленватиниба.</w:t>
      </w:r>
      <w:r>
        <w:rPr>
          <w:lang w:eastAsia="ru-RU" w:bidi="ru-RU"/>
        </w:rPr>
        <w:t xml:space="preserve"> </w:t>
      </w:r>
    </w:p>
    <w:p w14:paraId="63483FF5" w14:textId="12B7F740" w:rsidR="00200EBA" w:rsidRPr="006D6682" w:rsidRDefault="00200EBA" w:rsidP="00200EBA">
      <w:pPr>
        <w:rPr>
          <w:b/>
          <w:bCs/>
          <w:i/>
          <w:iCs/>
          <w:lang w:eastAsia="ru-RU" w:bidi="ru-RU"/>
        </w:rPr>
      </w:pPr>
      <w:r w:rsidRPr="00F83C20">
        <w:rPr>
          <w:b/>
          <w:bCs/>
          <w:i/>
          <w:iCs/>
          <w:lang w:eastAsia="ru-RU" w:bidi="ru-RU"/>
        </w:rPr>
        <w:t>Другие</w:t>
      </w:r>
      <w:r w:rsidR="006D6682">
        <w:rPr>
          <w:b/>
          <w:bCs/>
          <w:i/>
          <w:iCs/>
          <w:lang w:eastAsia="ru-RU" w:bidi="ru-RU"/>
        </w:rPr>
        <w:t xml:space="preserve"> химиотерапевтические препараты</w:t>
      </w:r>
    </w:p>
    <w:p w14:paraId="25F592AC" w14:textId="555E409E" w:rsidR="00200EBA" w:rsidRDefault="00200EBA" w:rsidP="006D6682">
      <w:pPr>
        <w:ind w:firstLine="709"/>
        <w:rPr>
          <w:lang w:eastAsia="ru-RU" w:bidi="ru-RU"/>
        </w:rPr>
      </w:pPr>
      <w:r>
        <w:rPr>
          <w:lang w:eastAsia="ru-RU" w:bidi="ru-RU"/>
        </w:rPr>
        <w:t>Одновременное применение ленватиниба, карбоплатина и паклитаксела не сопровождалось значительными изменениями фармакокинетики какого-либо из трех препаратов. Кроме того, у пациентов с ПKP фармакокинетика ленватиниба не подвергалась значительному влия</w:t>
      </w:r>
      <w:r w:rsidR="006D6682">
        <w:rPr>
          <w:lang w:eastAsia="ru-RU" w:bidi="ru-RU"/>
        </w:rPr>
        <w:t>нию сопутствующего эверолимуса.</w:t>
      </w:r>
    </w:p>
    <w:p w14:paraId="3ABA9800" w14:textId="41EBDB95" w:rsidR="00200EBA" w:rsidRPr="00F83C20" w:rsidRDefault="006D6682" w:rsidP="00200EBA">
      <w:pPr>
        <w:rPr>
          <w:b/>
          <w:bCs/>
          <w:i/>
          <w:iCs/>
          <w:lang w:eastAsia="ru-RU" w:bidi="ru-RU"/>
        </w:rPr>
      </w:pPr>
      <w:r>
        <w:rPr>
          <w:b/>
          <w:bCs/>
          <w:i/>
          <w:iCs/>
          <w:lang w:eastAsia="ru-RU" w:bidi="ru-RU"/>
        </w:rPr>
        <w:t xml:space="preserve">Субстраты изофермента </w:t>
      </w:r>
      <w:r>
        <w:rPr>
          <w:b/>
          <w:bCs/>
          <w:i/>
          <w:iCs/>
          <w:lang w:val="en-US" w:eastAsia="ru-RU" w:bidi="ru-RU"/>
        </w:rPr>
        <w:t>CYP</w:t>
      </w:r>
      <w:r w:rsidRPr="006D6682">
        <w:rPr>
          <w:b/>
          <w:bCs/>
          <w:i/>
          <w:iCs/>
          <w:lang w:eastAsia="ru-RU" w:bidi="ru-RU"/>
        </w:rPr>
        <w:t>3</w:t>
      </w:r>
      <w:r>
        <w:rPr>
          <w:b/>
          <w:bCs/>
          <w:i/>
          <w:iCs/>
          <w:lang w:eastAsia="ru-RU" w:bidi="ru-RU"/>
        </w:rPr>
        <w:t>А4</w:t>
      </w:r>
    </w:p>
    <w:p w14:paraId="2366081A" w14:textId="5830124A" w:rsidR="00200EBA" w:rsidRDefault="00200EBA" w:rsidP="00200EBA">
      <w:pPr>
        <w:ind w:firstLine="709"/>
        <w:rPr>
          <w:lang w:eastAsia="ru-RU" w:bidi="ru-RU"/>
        </w:rPr>
      </w:pPr>
      <w:r>
        <w:rPr>
          <w:lang w:eastAsia="ru-RU" w:bidi="ru-RU"/>
        </w:rPr>
        <w:t xml:space="preserve">Клиническое исследование лекарственного взаимодействия у пациентов с онкологическими заболеваниями показало, что концентрации мидазолама в плазме (чувствительный субстрат </w:t>
      </w:r>
      <w:r w:rsidR="006D6682">
        <w:rPr>
          <w:lang w:val="en-US" w:eastAsia="ru-RU" w:bidi="ru-RU"/>
        </w:rPr>
        <w:t>CYP</w:t>
      </w:r>
      <w:r w:rsidR="006D6682" w:rsidRPr="006D6682">
        <w:rPr>
          <w:lang w:eastAsia="ru-RU" w:bidi="ru-RU"/>
        </w:rPr>
        <w:t>3</w:t>
      </w:r>
      <w:r>
        <w:rPr>
          <w:lang w:eastAsia="ru-RU" w:bidi="ru-RU"/>
        </w:rPr>
        <w:t xml:space="preserve">А4 и Р-гликопротеина) не изменялись в присутствии ленватиниба. Кроме того, у пациентов с ПKP фармакокинетика эверолимуса не подвергалась значительному влиянию </w:t>
      </w:r>
      <w:r w:rsidR="00E52C85">
        <w:rPr>
          <w:lang w:eastAsia="ru-RU" w:bidi="ru-RU"/>
        </w:rPr>
        <w:t xml:space="preserve">при </w:t>
      </w:r>
      <w:r>
        <w:rPr>
          <w:lang w:eastAsia="ru-RU" w:bidi="ru-RU"/>
        </w:rPr>
        <w:t>одновременно</w:t>
      </w:r>
      <w:r w:rsidR="00E52C85">
        <w:rPr>
          <w:lang w:eastAsia="ru-RU" w:bidi="ru-RU"/>
        </w:rPr>
        <w:t>м</w:t>
      </w:r>
      <w:r>
        <w:rPr>
          <w:lang w:eastAsia="ru-RU" w:bidi="ru-RU"/>
        </w:rPr>
        <w:t xml:space="preserve"> прием</w:t>
      </w:r>
      <w:r w:rsidR="00E52C85">
        <w:rPr>
          <w:lang w:eastAsia="ru-RU" w:bidi="ru-RU"/>
        </w:rPr>
        <w:t>е</w:t>
      </w:r>
      <w:r>
        <w:rPr>
          <w:lang w:eastAsia="ru-RU" w:bidi="ru-RU"/>
        </w:rPr>
        <w:t xml:space="preserve"> </w:t>
      </w:r>
      <w:r w:rsidR="00E52C85">
        <w:rPr>
          <w:lang w:eastAsia="ru-RU" w:bidi="ru-RU"/>
        </w:rPr>
        <w:t xml:space="preserve">с </w:t>
      </w:r>
      <w:r>
        <w:rPr>
          <w:lang w:eastAsia="ru-RU" w:bidi="ru-RU"/>
        </w:rPr>
        <w:t>ленватиниб</w:t>
      </w:r>
      <w:r w:rsidR="00E52C85">
        <w:rPr>
          <w:lang w:eastAsia="ru-RU" w:bidi="ru-RU"/>
        </w:rPr>
        <w:t>ом</w:t>
      </w:r>
      <w:r>
        <w:rPr>
          <w:lang w:eastAsia="ru-RU" w:bidi="ru-RU"/>
        </w:rPr>
        <w:t xml:space="preserve">. Значительного лекарственного взаимодействия между ленватинибом и другими субстратами </w:t>
      </w:r>
      <w:r w:rsidR="006D6682">
        <w:rPr>
          <w:lang w:val="en-US" w:eastAsia="ru-RU" w:bidi="ru-RU"/>
        </w:rPr>
        <w:t>CYP</w:t>
      </w:r>
      <w:r w:rsidR="006D6682" w:rsidRPr="006D6682">
        <w:rPr>
          <w:lang w:eastAsia="ru-RU" w:bidi="ru-RU"/>
        </w:rPr>
        <w:t>3</w:t>
      </w:r>
      <w:r>
        <w:rPr>
          <w:lang w:eastAsia="ru-RU" w:bidi="ru-RU"/>
        </w:rPr>
        <w:t>А4 / Р-гликопротеина не ожидается.</w:t>
      </w:r>
    </w:p>
    <w:p w14:paraId="7ECB83E5" w14:textId="6FF96ABD" w:rsidR="00200EBA" w:rsidRDefault="00200EBA" w:rsidP="006D6682">
      <w:pPr>
        <w:ind w:firstLine="709"/>
        <w:rPr>
          <w:lang w:eastAsia="ru-RU" w:bidi="ru-RU"/>
        </w:rPr>
      </w:pPr>
      <w:r>
        <w:rPr>
          <w:lang w:eastAsia="ru-RU" w:bidi="ru-RU"/>
        </w:rPr>
        <w:t xml:space="preserve">Основываясь на моделировании на физиологически обоснованной фармакокинетической модели, разработанной для ленватиниба, значительного риска лекарственного взаимодействия между ленватинибом и мидазоламом (субстрат </w:t>
      </w:r>
      <w:r w:rsidR="006D6682">
        <w:rPr>
          <w:lang w:val="en-US" w:eastAsia="ru-RU" w:bidi="ru-RU"/>
        </w:rPr>
        <w:t>CYP</w:t>
      </w:r>
      <w:r w:rsidR="006D6682" w:rsidRPr="006D6682">
        <w:rPr>
          <w:lang w:eastAsia="ru-RU" w:bidi="ru-RU"/>
        </w:rPr>
        <w:t>3</w:t>
      </w:r>
      <w:r>
        <w:rPr>
          <w:lang w:eastAsia="ru-RU" w:bidi="ru-RU"/>
        </w:rPr>
        <w:t>А4) или репаглинидом (субстрат CYP2C8) в дозе 24 мг ленватиниба не прогнозируется. Это также было подтверждено в клиническом исследовании, определяющем влияние ленватиниба на мидазолам у субъектов с распрос</w:t>
      </w:r>
      <w:r w:rsidR="006D6682">
        <w:rPr>
          <w:lang w:eastAsia="ru-RU" w:bidi="ru-RU"/>
        </w:rPr>
        <w:t>траненными солидными опухолями.</w:t>
      </w:r>
    </w:p>
    <w:p w14:paraId="08890269" w14:textId="4BB38A23" w:rsidR="00200EBA" w:rsidRPr="006D6682" w:rsidRDefault="00200EBA" w:rsidP="00200EBA">
      <w:pPr>
        <w:rPr>
          <w:b/>
          <w:bCs/>
          <w:i/>
          <w:iCs/>
          <w:lang w:eastAsia="ru-RU" w:bidi="ru-RU"/>
        </w:rPr>
      </w:pPr>
      <w:r w:rsidRPr="00F83C20">
        <w:rPr>
          <w:b/>
          <w:bCs/>
          <w:i/>
          <w:iCs/>
          <w:lang w:eastAsia="ru-RU" w:bidi="ru-RU"/>
        </w:rPr>
        <w:t>С</w:t>
      </w:r>
      <w:r w:rsidR="006D6682">
        <w:rPr>
          <w:b/>
          <w:bCs/>
          <w:i/>
          <w:iCs/>
          <w:lang w:eastAsia="ru-RU" w:bidi="ru-RU"/>
        </w:rPr>
        <w:t>убстраты Р-гликопротеина и BCRP</w:t>
      </w:r>
    </w:p>
    <w:p w14:paraId="0B2E22F5" w14:textId="0D70AF88" w:rsidR="00200EBA" w:rsidRDefault="00200EBA" w:rsidP="00202E76">
      <w:pPr>
        <w:ind w:firstLine="709"/>
        <w:rPr>
          <w:lang w:eastAsia="ru-RU" w:bidi="ru-RU"/>
        </w:rPr>
      </w:pPr>
      <w:r>
        <w:rPr>
          <w:lang w:eastAsia="ru-RU" w:bidi="ru-RU"/>
        </w:rPr>
        <w:t>Ленватиниб показал минимальную ингибирующую способность</w:t>
      </w:r>
      <w:r w:rsidR="00E52C85">
        <w:rPr>
          <w:lang w:eastAsia="ru-RU" w:bidi="ru-RU"/>
        </w:rPr>
        <w:t xml:space="preserve"> или отсутствие таковой</w:t>
      </w:r>
      <w:r>
        <w:rPr>
          <w:lang w:eastAsia="ru-RU" w:bidi="ru-RU"/>
        </w:rPr>
        <w:t xml:space="preserve"> в отношении транспортной активности, опосредованной Р-гликопротеином и BCRP. Аналогично, не было обнаружено индукции экспрессии мРНК Р-гликопротеина. </w:t>
      </w:r>
    </w:p>
    <w:p w14:paraId="03F3CD73" w14:textId="457C00D3" w:rsidR="00200EBA" w:rsidRDefault="00200EBA" w:rsidP="00202E76">
      <w:pPr>
        <w:ind w:firstLine="709"/>
        <w:rPr>
          <w:lang w:eastAsia="ru-RU" w:bidi="ru-RU"/>
        </w:rPr>
      </w:pPr>
      <w:r>
        <w:rPr>
          <w:lang w:eastAsia="ru-RU" w:bidi="ru-RU"/>
        </w:rPr>
        <w:lastRenderedPageBreak/>
        <w:t xml:space="preserve">Ленватиниб проявлял ингибирующую активность </w:t>
      </w:r>
      <w:r w:rsidR="005A3430">
        <w:rPr>
          <w:lang w:eastAsia="ru-RU" w:bidi="ru-RU"/>
        </w:rPr>
        <w:t xml:space="preserve">в отношении </w:t>
      </w:r>
      <w:r>
        <w:rPr>
          <w:lang w:eastAsia="ru-RU" w:bidi="ru-RU"/>
        </w:rPr>
        <w:t>OAT1, ОАТЗ, OCT1, OCT2, белок-переносчик органических анионов OATP</w:t>
      </w:r>
      <w:r w:rsidR="00E52C85">
        <w:rPr>
          <w:lang w:eastAsia="ru-RU" w:bidi="ru-RU"/>
        </w:rPr>
        <w:t>1</w:t>
      </w:r>
      <w:r>
        <w:rPr>
          <w:lang w:eastAsia="ru-RU" w:bidi="ru-RU"/>
        </w:rPr>
        <w:t>B1 и BSEP, но проявлял минимальн</w:t>
      </w:r>
      <w:r w:rsidR="00C6709C">
        <w:rPr>
          <w:lang w:eastAsia="ru-RU" w:bidi="ru-RU"/>
        </w:rPr>
        <w:t>ое</w:t>
      </w:r>
      <w:r>
        <w:rPr>
          <w:lang w:eastAsia="ru-RU" w:bidi="ru-RU"/>
        </w:rPr>
        <w:t xml:space="preserve"> либо отсутс</w:t>
      </w:r>
      <w:r w:rsidR="00C6709C">
        <w:rPr>
          <w:lang w:eastAsia="ru-RU" w:bidi="ru-RU"/>
        </w:rPr>
        <w:t>твие</w:t>
      </w:r>
      <w:r>
        <w:rPr>
          <w:lang w:eastAsia="ru-RU" w:bidi="ru-RU"/>
        </w:rPr>
        <w:t xml:space="preserve"> ингибирующ</w:t>
      </w:r>
      <w:r w:rsidR="00C6709C">
        <w:rPr>
          <w:lang w:eastAsia="ru-RU" w:bidi="ru-RU"/>
        </w:rPr>
        <w:t>ей</w:t>
      </w:r>
      <w:r>
        <w:rPr>
          <w:lang w:eastAsia="ru-RU" w:bidi="ru-RU"/>
        </w:rPr>
        <w:t xml:space="preserve"> активност</w:t>
      </w:r>
      <w:r w:rsidR="00C6709C">
        <w:rPr>
          <w:lang w:eastAsia="ru-RU" w:bidi="ru-RU"/>
        </w:rPr>
        <w:t>и</w:t>
      </w:r>
      <w:r>
        <w:rPr>
          <w:lang w:eastAsia="ru-RU" w:bidi="ru-RU"/>
        </w:rPr>
        <w:t xml:space="preserve"> </w:t>
      </w:r>
      <w:r w:rsidR="00C6709C">
        <w:rPr>
          <w:lang w:eastAsia="ru-RU" w:bidi="ru-RU"/>
        </w:rPr>
        <w:t xml:space="preserve">в отношении </w:t>
      </w:r>
      <w:r>
        <w:rPr>
          <w:lang w:eastAsia="ru-RU" w:bidi="ru-RU"/>
        </w:rPr>
        <w:t>OATP1ВЗ и (MATE2)-К. Ленватиниб слабо ингибирует MATE1. В цитозоле печени человека ленватиниб не ингибиру</w:t>
      </w:r>
      <w:r w:rsidR="006D6682">
        <w:rPr>
          <w:lang w:eastAsia="ru-RU" w:bidi="ru-RU"/>
        </w:rPr>
        <w:t>ет активность альдегидоксидазы.</w:t>
      </w:r>
    </w:p>
    <w:p w14:paraId="713862AA" w14:textId="144C3380" w:rsidR="00200EBA" w:rsidRPr="00F83C20" w:rsidRDefault="00200EBA" w:rsidP="00200EBA">
      <w:pPr>
        <w:rPr>
          <w:b/>
          <w:bCs/>
          <w:i/>
          <w:iCs/>
          <w:lang w:eastAsia="ru-RU" w:bidi="ru-RU"/>
        </w:rPr>
      </w:pPr>
      <w:r w:rsidRPr="00F83C20">
        <w:rPr>
          <w:b/>
          <w:bCs/>
          <w:i/>
          <w:iCs/>
          <w:lang w:eastAsia="ru-RU" w:bidi="ru-RU"/>
        </w:rPr>
        <w:t>Пероральные контра</w:t>
      </w:r>
      <w:r w:rsidR="006D6682">
        <w:rPr>
          <w:b/>
          <w:bCs/>
          <w:i/>
          <w:iCs/>
          <w:lang w:eastAsia="ru-RU" w:bidi="ru-RU"/>
        </w:rPr>
        <w:t>цептивы</w:t>
      </w:r>
    </w:p>
    <w:p w14:paraId="1B2DFE89" w14:textId="77777777" w:rsidR="00200EBA" w:rsidRDefault="00200EBA" w:rsidP="00200EBA">
      <w:pPr>
        <w:ind w:firstLine="709"/>
        <w:rPr>
          <w:lang w:eastAsia="ru-RU" w:bidi="ru-RU"/>
        </w:rPr>
      </w:pPr>
      <w:r>
        <w:rPr>
          <w:lang w:eastAsia="ru-RU" w:bidi="ru-RU"/>
        </w:rPr>
        <w:t>В настоящее время неизвестно, может ли ленватиниб снизить эффективность гормональных контрацептивов, поэтому женщинам, использующим гормональные контрацептивы, следует добавить барьерный метод контрацепции.</w:t>
      </w:r>
    </w:p>
    <w:p w14:paraId="4E8A7B1A" w14:textId="77777777" w:rsidR="00200EBA" w:rsidRDefault="00200EBA" w:rsidP="00200EBA">
      <w:pPr>
        <w:pStyle w:val="3"/>
        <w:tabs>
          <w:tab w:val="left" w:pos="8647"/>
        </w:tabs>
        <w:spacing w:after="240"/>
        <w:rPr>
          <w:rFonts w:ascii="Times New Roman" w:eastAsia="Courier New" w:hAnsi="Times New Roman"/>
          <w:szCs w:val="24"/>
          <w:lang w:eastAsia="ru-RU" w:bidi="ru-RU"/>
        </w:rPr>
      </w:pPr>
      <w:bookmarkStart w:id="277" w:name="_Toc126059778"/>
      <w:bookmarkEnd w:id="274"/>
      <w:r w:rsidRPr="005E6358">
        <w:rPr>
          <w:rFonts w:ascii="Times New Roman" w:hAnsi="Times New Roman"/>
          <w:color w:val="000000" w:themeColor="text1"/>
        </w:rPr>
        <w:t>5.3.</w:t>
      </w:r>
      <w:r>
        <w:rPr>
          <w:rFonts w:ascii="Times New Roman" w:hAnsi="Times New Roman"/>
          <w:color w:val="000000" w:themeColor="text1"/>
        </w:rPr>
        <w:t>8</w:t>
      </w:r>
      <w:r w:rsidRPr="005E6358">
        <w:rPr>
          <w:rFonts w:ascii="Times New Roman" w:hAnsi="Times New Roman"/>
          <w:color w:val="000000" w:themeColor="text1"/>
        </w:rPr>
        <w:t xml:space="preserve">. </w:t>
      </w:r>
      <w:r>
        <w:rPr>
          <w:rFonts w:ascii="Times New Roman" w:eastAsia="Courier New" w:hAnsi="Times New Roman"/>
          <w:szCs w:val="24"/>
          <w:lang w:eastAsia="ru-RU" w:bidi="ru-RU"/>
        </w:rPr>
        <w:t>Особые указания</w:t>
      </w:r>
      <w:bookmarkEnd w:id="277"/>
    </w:p>
    <w:p w14:paraId="31A16A2A" w14:textId="77777777" w:rsidR="00200EBA" w:rsidRPr="006D6682" w:rsidRDefault="00200EBA" w:rsidP="00200EBA">
      <w:pPr>
        <w:rPr>
          <w:b/>
          <w:bCs/>
          <w:iCs/>
          <w:lang w:eastAsia="ru-RU" w:bidi="ru-RU"/>
        </w:rPr>
      </w:pPr>
      <w:r w:rsidRPr="006D6682">
        <w:rPr>
          <w:b/>
          <w:bCs/>
          <w:iCs/>
          <w:lang w:eastAsia="ru-RU" w:bidi="ru-RU"/>
        </w:rPr>
        <w:t>Артериальная гипертензия</w:t>
      </w:r>
    </w:p>
    <w:p w14:paraId="18729F4F" w14:textId="77777777" w:rsidR="00200EBA" w:rsidRDefault="00200EBA" w:rsidP="00200EBA">
      <w:pPr>
        <w:rPr>
          <w:lang w:eastAsia="ru-RU" w:bidi="ru-RU"/>
        </w:rPr>
      </w:pPr>
    </w:p>
    <w:p w14:paraId="09432FE1" w14:textId="14058FE7" w:rsidR="00200EBA" w:rsidRDefault="00200EBA" w:rsidP="00202E76">
      <w:pPr>
        <w:ind w:firstLine="709"/>
        <w:rPr>
          <w:lang w:eastAsia="ru-RU" w:bidi="ru-RU"/>
        </w:rPr>
      </w:pPr>
      <w:r>
        <w:rPr>
          <w:lang w:eastAsia="ru-RU" w:bidi="ru-RU"/>
        </w:rPr>
        <w:t>У пациентов, получавших ленватиниб, регистрировалась артериальная гипертензия, которая, как правило, развивалась на ранних этапах лечения (см. раздел «Побочное действие»). Достаточный контроль показателей АД должен быть достигнут до начала лечения ленватинибом. Пациенты со склонностью к артериальной гипертензии должны принимать стабильную дозу антигипертензивной терапии в течение не менее 1 недели до начала терапии ленватинибом. Раннее вы</w:t>
      </w:r>
      <w:r w:rsidR="007A3D0C">
        <w:rPr>
          <w:lang w:eastAsia="ru-RU" w:bidi="ru-RU"/>
        </w:rPr>
        <w:t>я</w:t>
      </w:r>
      <w:r>
        <w:rPr>
          <w:lang w:eastAsia="ru-RU" w:bidi="ru-RU"/>
        </w:rPr>
        <w:t xml:space="preserve">вление и эффективное лечение артериальной гипертензии имеет большое значение для минимизации необходимости во временной приостановке лечения или снижения дозы ленватиниба. Сообщалось о серьезных осложнениях плохо контролируемой гипертензии, включая расслоение аорты. Прием антигипертензивных препаратов должен быть начат сразу после подтверждения повышения АД. Обследование для выявления артериальной гипертензии должно проводиться через одну неделю после начала приема ленватиниба, в течение первых двух месяцев лечения </w:t>
      </w:r>
      <w:r w:rsidR="008B6179" w:rsidRPr="008B6179">
        <w:rPr>
          <w:lang w:eastAsia="ru-RU" w:bidi="ru-RU"/>
        </w:rPr>
        <w:t>‒</w:t>
      </w:r>
      <w:r>
        <w:rPr>
          <w:lang w:eastAsia="ru-RU" w:bidi="ru-RU"/>
        </w:rPr>
        <w:t xml:space="preserve"> каждые 2 недели, затем </w:t>
      </w:r>
      <w:r w:rsidR="008B6179" w:rsidRPr="008B6179">
        <w:rPr>
          <w:lang w:eastAsia="ru-RU" w:bidi="ru-RU"/>
        </w:rPr>
        <w:t>‒</w:t>
      </w:r>
      <w:r>
        <w:rPr>
          <w:lang w:eastAsia="ru-RU" w:bidi="ru-RU"/>
        </w:rPr>
        <w:t xml:space="preserve"> ежемесячно. Выбор антигипертензивной терапии должен быть индивидуализирован с учетом состояния пациента и соответствовать стандартной клинической практике. Для пациентов, имеющих нормальное АД до начала лечения, в случае повышения АД, следует начать антигипертензивную монотерапию препаратом одного из классов антигипертензивных препаратов. Для пациентов, принимающих антигипертензивные препараты до начала лечения ленватинибом, может потребоваться увеличение дозы данного антигипертензивного препарата, либо добавление препарата из дру</w:t>
      </w:r>
      <w:r w:rsidR="006D6682">
        <w:rPr>
          <w:lang w:eastAsia="ru-RU" w:bidi="ru-RU"/>
        </w:rPr>
        <w:t xml:space="preserve">гого класса. </w:t>
      </w:r>
    </w:p>
    <w:p w14:paraId="1D71C507" w14:textId="77777777" w:rsidR="00F65790" w:rsidRDefault="00F65790" w:rsidP="00200EBA">
      <w:pPr>
        <w:rPr>
          <w:b/>
          <w:bCs/>
          <w:iCs/>
          <w:lang w:eastAsia="ru-RU" w:bidi="ru-RU"/>
        </w:rPr>
      </w:pPr>
    </w:p>
    <w:p w14:paraId="71907200" w14:textId="498F6711" w:rsidR="00200EBA" w:rsidRPr="00F65790" w:rsidRDefault="00200EBA" w:rsidP="00200EBA">
      <w:pPr>
        <w:rPr>
          <w:b/>
          <w:bCs/>
          <w:iCs/>
          <w:lang w:eastAsia="ru-RU" w:bidi="ru-RU"/>
        </w:rPr>
      </w:pPr>
      <w:r w:rsidRPr="00F65790">
        <w:rPr>
          <w:b/>
          <w:bCs/>
          <w:iCs/>
          <w:lang w:eastAsia="ru-RU" w:bidi="ru-RU"/>
        </w:rPr>
        <w:t>Протеинурия</w:t>
      </w:r>
    </w:p>
    <w:p w14:paraId="4D72591C" w14:textId="77777777" w:rsidR="00200EBA" w:rsidRPr="00F65790" w:rsidRDefault="00200EBA" w:rsidP="00200EBA">
      <w:pPr>
        <w:rPr>
          <w:lang w:eastAsia="ru-RU" w:bidi="ru-RU"/>
        </w:rPr>
      </w:pPr>
    </w:p>
    <w:p w14:paraId="36D1601D" w14:textId="77777777" w:rsidR="00200EBA" w:rsidRDefault="00200EBA" w:rsidP="00200EBA">
      <w:pPr>
        <w:ind w:firstLine="709"/>
        <w:rPr>
          <w:lang w:eastAsia="ru-RU" w:bidi="ru-RU"/>
        </w:rPr>
      </w:pPr>
      <w:r>
        <w:rPr>
          <w:lang w:eastAsia="ru-RU" w:bidi="ru-RU"/>
        </w:rPr>
        <w:t>У пациентов, получавших ленватиниб, регистрировалась протеинурия, которая, как правило, развивалась на ранних этапах лечения. Необходимо проводить регулярное исследование мочи на наличие белка. При обнаружении в моче значительных количеств белка экспресс-методом (32+) может потребоваться приостановка лечения, коррекция дозы или полная отмена ленватиниба.</w:t>
      </w:r>
    </w:p>
    <w:p w14:paraId="19610351" w14:textId="77777777" w:rsidR="00200EBA" w:rsidRDefault="00200EBA" w:rsidP="00200EBA">
      <w:pPr>
        <w:ind w:firstLine="709"/>
        <w:rPr>
          <w:lang w:eastAsia="ru-RU" w:bidi="ru-RU"/>
        </w:rPr>
      </w:pPr>
    </w:p>
    <w:p w14:paraId="39C8F88B" w14:textId="77777777" w:rsidR="00200EBA" w:rsidRPr="00F65790" w:rsidRDefault="00200EBA" w:rsidP="00200EBA">
      <w:pPr>
        <w:rPr>
          <w:b/>
          <w:bCs/>
          <w:iCs/>
          <w:lang w:eastAsia="ru-RU" w:bidi="ru-RU"/>
        </w:rPr>
      </w:pPr>
      <w:r w:rsidRPr="00F65790">
        <w:rPr>
          <w:b/>
          <w:bCs/>
          <w:iCs/>
          <w:lang w:eastAsia="ru-RU" w:bidi="ru-RU"/>
        </w:rPr>
        <w:t>Гастроинтестинальная токсичность: диарея и обезвоживание</w:t>
      </w:r>
    </w:p>
    <w:p w14:paraId="6DF3B639" w14:textId="77777777" w:rsidR="00200EBA" w:rsidRPr="001A38A1" w:rsidRDefault="00200EBA" w:rsidP="00200EBA">
      <w:pPr>
        <w:rPr>
          <w:b/>
          <w:bCs/>
          <w:i/>
          <w:iCs/>
          <w:lang w:eastAsia="ru-RU" w:bidi="ru-RU"/>
        </w:rPr>
      </w:pPr>
    </w:p>
    <w:p w14:paraId="39A29EB8" w14:textId="77777777" w:rsidR="00200EBA" w:rsidRDefault="00200EBA" w:rsidP="00202E76">
      <w:pPr>
        <w:ind w:firstLine="709"/>
        <w:rPr>
          <w:lang w:eastAsia="ru-RU" w:bidi="ru-RU"/>
        </w:rPr>
      </w:pPr>
      <w:r>
        <w:rPr>
          <w:lang w:eastAsia="ru-RU" w:bidi="ru-RU"/>
        </w:rPr>
        <w:t xml:space="preserve">Диарея часто отмечалась у пациентов, получавших ленватиниб, как правило, в начале курса лечения. Необходимо проводить быструю медикаментозную терапию для купирования диареи, чтобы предотвратить обезвоживание организма. Терапию </w:t>
      </w:r>
      <w:r>
        <w:rPr>
          <w:lang w:eastAsia="ru-RU" w:bidi="ru-RU"/>
        </w:rPr>
        <w:lastRenderedPageBreak/>
        <w:t xml:space="preserve">ленватинибом следует прекратить при сохранении диареи 4 степени, несмотря на проводимую терапию. </w:t>
      </w:r>
    </w:p>
    <w:p w14:paraId="2EAFD5FB" w14:textId="6903204F" w:rsidR="00200EBA" w:rsidRDefault="00200EBA" w:rsidP="00202E76">
      <w:pPr>
        <w:ind w:firstLine="709"/>
        <w:rPr>
          <w:lang w:eastAsia="ru-RU" w:bidi="ru-RU"/>
        </w:rPr>
      </w:pPr>
      <w:r>
        <w:rPr>
          <w:lang w:eastAsia="ru-RU" w:bidi="ru-RU"/>
        </w:rPr>
        <w:t xml:space="preserve">Токсические проявления со стороны </w:t>
      </w:r>
      <w:r w:rsidR="00DB535B">
        <w:rPr>
          <w:lang w:eastAsia="ru-RU" w:bidi="ru-RU"/>
        </w:rPr>
        <w:t>ЖКТ</w:t>
      </w:r>
      <w:r>
        <w:rPr>
          <w:lang w:eastAsia="ru-RU" w:bidi="ru-RU"/>
        </w:rPr>
        <w:t xml:space="preserve"> (включая диарею, тошноту и рвоту) должны подвергаться активному лечению, что позволяет уменьшить риск нарушения функции почек или развития почечной недостаточности. Сообщалось о серьезных нежелательных явлениях, таких как гипокалиемия и гиперкалиемия, следует тщательно контролировать функцию почек и уровень электролитов. </w:t>
      </w:r>
    </w:p>
    <w:p w14:paraId="2AB0CF8F" w14:textId="77777777" w:rsidR="00200EBA" w:rsidRDefault="00200EBA" w:rsidP="00200EBA">
      <w:pPr>
        <w:ind w:firstLine="567"/>
        <w:rPr>
          <w:lang w:eastAsia="ru-RU" w:bidi="ru-RU"/>
        </w:rPr>
      </w:pPr>
    </w:p>
    <w:p w14:paraId="5C175E77" w14:textId="77777777" w:rsidR="00200EBA" w:rsidRPr="00F65790" w:rsidRDefault="00200EBA" w:rsidP="00200EBA">
      <w:pPr>
        <w:rPr>
          <w:b/>
          <w:bCs/>
          <w:iCs/>
          <w:lang w:eastAsia="ru-RU" w:bidi="ru-RU"/>
        </w:rPr>
      </w:pPr>
      <w:r w:rsidRPr="00F65790">
        <w:rPr>
          <w:b/>
          <w:bCs/>
          <w:iCs/>
          <w:lang w:eastAsia="ru-RU" w:bidi="ru-RU"/>
        </w:rPr>
        <w:t>Сердечная дисфункция</w:t>
      </w:r>
    </w:p>
    <w:p w14:paraId="078FD9F2" w14:textId="77777777" w:rsidR="00200EBA" w:rsidRPr="00A477BB" w:rsidRDefault="00200EBA" w:rsidP="00200EBA">
      <w:pPr>
        <w:rPr>
          <w:b/>
          <w:bCs/>
          <w:i/>
          <w:iCs/>
          <w:lang w:eastAsia="ru-RU" w:bidi="ru-RU"/>
        </w:rPr>
      </w:pPr>
    </w:p>
    <w:p w14:paraId="34A8BCCE" w14:textId="77777777" w:rsidR="00200EBA" w:rsidRDefault="00200EBA" w:rsidP="00202E76">
      <w:pPr>
        <w:ind w:firstLine="709"/>
        <w:rPr>
          <w:lang w:eastAsia="ru-RU" w:bidi="ru-RU"/>
        </w:rPr>
      </w:pPr>
      <w:r>
        <w:rPr>
          <w:lang w:eastAsia="ru-RU" w:bidi="ru-RU"/>
        </w:rPr>
        <w:t xml:space="preserve">У пациентов, получавших ленватиниб, регистрировалась сердечная недостаточность, а также снижение фракции выброса левого желудочка (см. раздел «Побочное действие»). Пациенты должны проходить обследование для вьывления симптомов и клинических признаков декомпенсации функции сердца, наличие которых может потребовать временной приостановки лечения, коррекции дозы препарата или его полной отмены. </w:t>
      </w:r>
    </w:p>
    <w:p w14:paraId="486004E6" w14:textId="77777777" w:rsidR="00200EBA" w:rsidRDefault="00200EBA" w:rsidP="00200EBA">
      <w:pPr>
        <w:rPr>
          <w:lang w:eastAsia="ru-RU" w:bidi="ru-RU"/>
        </w:rPr>
      </w:pPr>
    </w:p>
    <w:p w14:paraId="26A8D222" w14:textId="77777777" w:rsidR="00200EBA" w:rsidRPr="00F65790" w:rsidRDefault="00200EBA" w:rsidP="00200EBA">
      <w:pPr>
        <w:rPr>
          <w:b/>
          <w:bCs/>
          <w:iCs/>
          <w:lang w:eastAsia="ru-RU" w:bidi="ru-RU"/>
        </w:rPr>
      </w:pPr>
      <w:r w:rsidRPr="00F65790">
        <w:rPr>
          <w:b/>
          <w:bCs/>
          <w:iCs/>
          <w:lang w:eastAsia="ru-RU" w:bidi="ru-RU"/>
        </w:rPr>
        <w:t>Синдром задней обратимой энцефалопатии (PRES), синдром обратимой задней лейкоэнцефалопатии RPLS)</w:t>
      </w:r>
    </w:p>
    <w:p w14:paraId="35922F61" w14:textId="77777777" w:rsidR="00200EBA" w:rsidRPr="00C11B5E" w:rsidRDefault="00200EBA" w:rsidP="00200EBA">
      <w:pPr>
        <w:rPr>
          <w:b/>
          <w:bCs/>
          <w:i/>
          <w:iCs/>
          <w:lang w:eastAsia="ru-RU" w:bidi="ru-RU"/>
        </w:rPr>
      </w:pPr>
    </w:p>
    <w:p w14:paraId="44306B96" w14:textId="37FB6CB6" w:rsidR="00200EBA" w:rsidRDefault="00200EBA" w:rsidP="00202E76">
      <w:pPr>
        <w:ind w:firstLine="709"/>
        <w:rPr>
          <w:lang w:eastAsia="ru-RU" w:bidi="ru-RU"/>
        </w:rPr>
      </w:pPr>
      <w:r>
        <w:rPr>
          <w:lang w:eastAsia="ru-RU" w:bidi="ru-RU"/>
        </w:rPr>
        <w:t xml:space="preserve">У пациентов, получавших ленватиниб, диагностировали синдром задней обратимой энцефалопатии (PRES, также известный как RPLS) (с частотой менее 1%) Данный синдром представляет собой неврологическое заболевание, клиническая картина которого может включать головную боль, судороги, заторможенность, спутанность сознания, расстройство ментальных способностей, слепоту, нарушение зрения и другие неврологические симптомы. Может иметь место артериальная гипертензия от умеренной до тяжелой степени. Для подтверждения диагноза PRES необходимо проведение магнитно-резонансной томографии. Должны быть приняты соответствующие меры для контроля показателей артериального давления. У пациентов с симптомами и клиническими признаками PRES может потребоваться временное прекращение лечения, коррекция дозы препарата или его полная отмена. </w:t>
      </w:r>
    </w:p>
    <w:p w14:paraId="109C410C" w14:textId="77777777" w:rsidR="00200EBA" w:rsidRDefault="00200EBA" w:rsidP="00200EBA">
      <w:pPr>
        <w:ind w:firstLine="851"/>
        <w:rPr>
          <w:lang w:eastAsia="ru-RU" w:bidi="ru-RU"/>
        </w:rPr>
      </w:pPr>
    </w:p>
    <w:p w14:paraId="55781DE2" w14:textId="77777777" w:rsidR="00200EBA" w:rsidRPr="00F65790" w:rsidRDefault="00200EBA" w:rsidP="00200EBA">
      <w:pPr>
        <w:rPr>
          <w:b/>
          <w:bCs/>
          <w:iCs/>
          <w:lang w:eastAsia="ru-RU" w:bidi="ru-RU"/>
        </w:rPr>
      </w:pPr>
      <w:r w:rsidRPr="00F65790">
        <w:rPr>
          <w:b/>
          <w:bCs/>
          <w:iCs/>
          <w:lang w:eastAsia="ru-RU" w:bidi="ru-RU"/>
        </w:rPr>
        <w:t>Артериальные тромбоэмболии</w:t>
      </w:r>
    </w:p>
    <w:p w14:paraId="7C1F4D9A" w14:textId="77777777" w:rsidR="00200EBA" w:rsidRDefault="00200EBA" w:rsidP="00200EBA">
      <w:pPr>
        <w:rPr>
          <w:lang w:eastAsia="ru-RU" w:bidi="ru-RU"/>
        </w:rPr>
      </w:pPr>
    </w:p>
    <w:p w14:paraId="57F0F95E" w14:textId="4E2DBD62" w:rsidR="00200EBA" w:rsidRDefault="00200EBA" w:rsidP="00202E76">
      <w:pPr>
        <w:ind w:firstLine="709"/>
        <w:rPr>
          <w:lang w:eastAsia="ru-RU" w:bidi="ru-RU"/>
        </w:rPr>
      </w:pPr>
      <w:r>
        <w:rPr>
          <w:lang w:eastAsia="ru-RU" w:bidi="ru-RU"/>
        </w:rPr>
        <w:t xml:space="preserve">У пациентов, получавших ленватиниб, регистрировались заболевания из группы </w:t>
      </w:r>
      <w:bookmarkStart w:id="278" w:name="_Hlk118226162"/>
      <w:r>
        <w:rPr>
          <w:lang w:eastAsia="ru-RU" w:bidi="ru-RU"/>
        </w:rPr>
        <w:t>артериальных тромбоэмболий</w:t>
      </w:r>
      <w:bookmarkEnd w:id="278"/>
      <w:r>
        <w:rPr>
          <w:lang w:eastAsia="ru-RU" w:bidi="ru-RU"/>
        </w:rPr>
        <w:t xml:space="preserve">, в том числе цереброваскулярные расстройства, транзиторные ишемические атаки и инфаркт миокарда. Ленватиниб не исследовался у пациентов с </w:t>
      </w:r>
      <w:r w:rsidR="00D87B8A">
        <w:rPr>
          <w:lang w:eastAsia="ru-RU" w:bidi="ru-RU"/>
        </w:rPr>
        <w:t>артериальными тромбоэмболиями</w:t>
      </w:r>
      <w:r>
        <w:rPr>
          <w:lang w:eastAsia="ru-RU" w:bidi="ru-RU"/>
        </w:rPr>
        <w:t>, перенесенными в течение предшествующих 6 месяцев, и поэтому его следует использовать с осторожностью у таких пациентов. Решение о начале лечения должно быть основано на оценке риск-польза для конкретного пациента. При возникновении артериальной тромбоэмболии терапию ленватинибом следует отменить.</w:t>
      </w:r>
    </w:p>
    <w:p w14:paraId="529B5EB1" w14:textId="77777777" w:rsidR="00200EBA" w:rsidRDefault="00200EBA" w:rsidP="00200EBA">
      <w:pPr>
        <w:ind w:firstLine="851"/>
        <w:rPr>
          <w:lang w:eastAsia="ru-RU" w:bidi="ru-RU"/>
        </w:rPr>
      </w:pPr>
    </w:p>
    <w:p w14:paraId="2D8C9A72" w14:textId="77777777" w:rsidR="00200EBA" w:rsidRPr="00F65790" w:rsidRDefault="00200EBA" w:rsidP="00200EBA">
      <w:pPr>
        <w:rPr>
          <w:b/>
          <w:bCs/>
          <w:iCs/>
          <w:lang w:eastAsia="ru-RU" w:bidi="ru-RU"/>
        </w:rPr>
      </w:pPr>
      <w:r w:rsidRPr="00F65790">
        <w:rPr>
          <w:b/>
          <w:bCs/>
          <w:iCs/>
          <w:lang w:eastAsia="ru-RU" w:bidi="ru-RU"/>
        </w:rPr>
        <w:t>Женщины с детородным потенциалом</w:t>
      </w:r>
    </w:p>
    <w:p w14:paraId="060DE1B5" w14:textId="77777777" w:rsidR="00200EBA" w:rsidRPr="00C618F7" w:rsidRDefault="00200EBA" w:rsidP="00200EBA">
      <w:pPr>
        <w:rPr>
          <w:b/>
          <w:bCs/>
          <w:i/>
          <w:iCs/>
          <w:lang w:eastAsia="ru-RU" w:bidi="ru-RU"/>
        </w:rPr>
      </w:pPr>
    </w:p>
    <w:p w14:paraId="5D988B82" w14:textId="77777777" w:rsidR="00200EBA" w:rsidRDefault="00200EBA" w:rsidP="00202E76">
      <w:pPr>
        <w:ind w:firstLine="709"/>
        <w:rPr>
          <w:lang w:eastAsia="ru-RU" w:bidi="ru-RU"/>
        </w:rPr>
      </w:pPr>
      <w:r>
        <w:rPr>
          <w:lang w:eastAsia="ru-RU" w:bidi="ru-RU"/>
        </w:rPr>
        <w:t xml:space="preserve">Женщинам с детородным потенциалом следует использовать эффективные методы контрацепции во время терапии ленватинибом и на протяжении, по меньшей мере, одного месяца после завершения лечения. На настоящий момент неизвестно, повышает ли </w:t>
      </w:r>
      <w:r>
        <w:rPr>
          <w:lang w:eastAsia="ru-RU" w:bidi="ru-RU"/>
        </w:rPr>
        <w:lastRenderedPageBreak/>
        <w:t>ленватиниб риск развития тромбоэмболии артерий при одновременном приеме с пероральными контрацептивами.</w:t>
      </w:r>
    </w:p>
    <w:p w14:paraId="402CE141" w14:textId="77777777" w:rsidR="00200EBA" w:rsidRDefault="00200EBA" w:rsidP="00200EBA">
      <w:pPr>
        <w:rPr>
          <w:lang w:eastAsia="ru-RU" w:bidi="ru-RU"/>
        </w:rPr>
      </w:pPr>
      <w:r>
        <w:rPr>
          <w:lang w:eastAsia="ru-RU" w:bidi="ru-RU"/>
        </w:rPr>
        <w:t xml:space="preserve"> </w:t>
      </w:r>
    </w:p>
    <w:p w14:paraId="14CA4B17" w14:textId="77777777" w:rsidR="00200EBA" w:rsidRPr="00F65790" w:rsidRDefault="00200EBA" w:rsidP="00200EBA">
      <w:pPr>
        <w:rPr>
          <w:b/>
          <w:bCs/>
          <w:iCs/>
          <w:lang w:eastAsia="ru-RU" w:bidi="ru-RU"/>
        </w:rPr>
      </w:pPr>
      <w:r w:rsidRPr="00F65790">
        <w:rPr>
          <w:b/>
          <w:bCs/>
          <w:iCs/>
          <w:lang w:eastAsia="ru-RU" w:bidi="ru-RU"/>
        </w:rPr>
        <w:t>Кровотечения и тромбоцитопении</w:t>
      </w:r>
    </w:p>
    <w:p w14:paraId="2FAF67FB" w14:textId="77777777" w:rsidR="00200EBA" w:rsidRDefault="00200EBA" w:rsidP="00200EBA">
      <w:pPr>
        <w:rPr>
          <w:lang w:eastAsia="ru-RU" w:bidi="ru-RU"/>
        </w:rPr>
      </w:pPr>
    </w:p>
    <w:p w14:paraId="7734CB9E" w14:textId="77777777" w:rsidR="00200EBA" w:rsidRDefault="00200EBA" w:rsidP="00202E76">
      <w:pPr>
        <w:ind w:firstLine="709"/>
        <w:rPr>
          <w:lang w:eastAsia="ru-RU" w:bidi="ru-RU"/>
        </w:rPr>
      </w:pPr>
      <w:r>
        <w:rPr>
          <w:lang w:eastAsia="ru-RU" w:bidi="ru-RU"/>
        </w:rPr>
        <w:t xml:space="preserve">У пациентов, получавших ленватиниб, регистрировались серьезные кровотечения. Наиболее часто сообщалось о легком носовом кровотечении. Также сообщалось о серьезных случаях тромбоцитопении, которая может увеличивать риск развития кровотечений. </w:t>
      </w:r>
    </w:p>
    <w:p w14:paraId="3F745885" w14:textId="77777777" w:rsidR="00200EBA" w:rsidRDefault="00200EBA" w:rsidP="00202E76">
      <w:pPr>
        <w:ind w:firstLine="709"/>
        <w:rPr>
          <w:lang w:eastAsia="ru-RU" w:bidi="ru-RU"/>
        </w:rPr>
      </w:pPr>
      <w:r>
        <w:rPr>
          <w:lang w:eastAsia="ru-RU" w:bidi="ru-RU"/>
        </w:rPr>
        <w:t>Сообщалось о серьезных кровотечениях, связанных с опухолью, включая смертельные случаи у пациентов, получавших ленватиниб, а также о кровотечениях, связанных с тромбоцитопенией.</w:t>
      </w:r>
    </w:p>
    <w:p w14:paraId="6D74C459" w14:textId="77777777" w:rsidR="00200EBA" w:rsidRDefault="00200EBA" w:rsidP="00202E76">
      <w:pPr>
        <w:ind w:firstLine="709"/>
        <w:rPr>
          <w:lang w:eastAsia="ru-RU" w:bidi="ru-RU"/>
        </w:rPr>
      </w:pPr>
      <w:r>
        <w:rPr>
          <w:lang w:eastAsia="ru-RU" w:bidi="ru-RU"/>
        </w:rPr>
        <w:t xml:space="preserve">Из-за потенциального риска серьезного кровотечения, связанного с уменьшением или некрозом опухоли на фоне терапии ленватинибом, следует учитывать степень инвазии опухоли, инфильтрацию крупных кровеносных сосудов (например, сонной артерии). В случае возникновения кровотечения или тромбоцитопении может потребоваться временное прекращение лечения, коррекция дозы препарата или его полная отмена. </w:t>
      </w:r>
    </w:p>
    <w:p w14:paraId="339D88F6" w14:textId="77777777" w:rsidR="00200EBA" w:rsidRDefault="00200EBA" w:rsidP="00200EBA">
      <w:pPr>
        <w:rPr>
          <w:lang w:eastAsia="ru-RU" w:bidi="ru-RU"/>
        </w:rPr>
      </w:pPr>
    </w:p>
    <w:p w14:paraId="3D9C1E4F" w14:textId="77777777" w:rsidR="00200EBA" w:rsidRPr="00F65790" w:rsidRDefault="00200EBA" w:rsidP="00200EBA">
      <w:pPr>
        <w:rPr>
          <w:b/>
          <w:bCs/>
          <w:iCs/>
          <w:lang w:eastAsia="ru-RU" w:bidi="ru-RU"/>
        </w:rPr>
      </w:pPr>
      <w:r w:rsidRPr="00F65790">
        <w:rPr>
          <w:b/>
          <w:bCs/>
          <w:iCs/>
          <w:lang w:eastAsia="ru-RU" w:bidi="ru-RU"/>
        </w:rPr>
        <w:t>Образование фистул и гастроинтестинальной перфорации</w:t>
      </w:r>
    </w:p>
    <w:p w14:paraId="2943877B" w14:textId="77777777" w:rsidR="00200EBA" w:rsidRPr="0014018F" w:rsidRDefault="00200EBA" w:rsidP="00200EBA">
      <w:pPr>
        <w:rPr>
          <w:b/>
          <w:bCs/>
          <w:lang w:eastAsia="ru-RU" w:bidi="ru-RU"/>
        </w:rPr>
      </w:pPr>
    </w:p>
    <w:p w14:paraId="1EB137CD" w14:textId="77777777" w:rsidR="00200EBA" w:rsidRDefault="00200EBA" w:rsidP="00202E76">
      <w:pPr>
        <w:ind w:firstLine="709"/>
        <w:rPr>
          <w:lang w:eastAsia="ru-RU" w:bidi="ru-RU"/>
        </w:rPr>
      </w:pPr>
      <w:r>
        <w:rPr>
          <w:lang w:eastAsia="ru-RU" w:bidi="ru-RU"/>
        </w:rPr>
        <w:t>У пациентов, получавших ленватиниб, регистрировались случаи образования фистул или гастроинтестинальной перфорации. В большинстве случаев образование фистул или гастроинтестинальная перфорация имели место у пациентов с наличием факторов риска, к которым относились перенесенные хирургические операции или лучевая терапия. В случае образования фистул или гастроинтестинальной перфорации может потребоваться временное прекращение лечения, коррекция дозы препарата или его полная отмена.</w:t>
      </w:r>
    </w:p>
    <w:p w14:paraId="0FB67D35" w14:textId="77777777" w:rsidR="00200EBA" w:rsidRDefault="00200EBA" w:rsidP="00200EBA">
      <w:pPr>
        <w:rPr>
          <w:lang w:eastAsia="ru-RU" w:bidi="ru-RU"/>
        </w:rPr>
      </w:pPr>
    </w:p>
    <w:p w14:paraId="66EE038A" w14:textId="77777777" w:rsidR="00200EBA" w:rsidRPr="00F65790" w:rsidRDefault="00200EBA" w:rsidP="00200EBA">
      <w:pPr>
        <w:rPr>
          <w:b/>
          <w:bCs/>
          <w:iCs/>
          <w:lang w:eastAsia="ru-RU" w:bidi="ru-RU"/>
        </w:rPr>
      </w:pPr>
      <w:r w:rsidRPr="00F65790">
        <w:rPr>
          <w:b/>
          <w:bCs/>
          <w:iCs/>
          <w:lang w:eastAsia="ru-RU" w:bidi="ru-RU"/>
        </w:rPr>
        <w:t>Образование фистул, отличных от гастроинтестинальных</w:t>
      </w:r>
    </w:p>
    <w:p w14:paraId="540AA231" w14:textId="77777777" w:rsidR="00200EBA" w:rsidRDefault="00200EBA" w:rsidP="00200EBA">
      <w:pPr>
        <w:rPr>
          <w:lang w:eastAsia="ru-RU" w:bidi="ru-RU"/>
        </w:rPr>
      </w:pPr>
    </w:p>
    <w:p w14:paraId="2823FCAE" w14:textId="5542A567" w:rsidR="00200EBA" w:rsidRDefault="00200EBA" w:rsidP="000971D1">
      <w:pPr>
        <w:ind w:firstLine="709"/>
        <w:rPr>
          <w:lang w:eastAsia="ru-RU" w:bidi="ru-RU"/>
        </w:rPr>
      </w:pPr>
      <w:r>
        <w:rPr>
          <w:lang w:eastAsia="ru-RU" w:bidi="ru-RU"/>
        </w:rPr>
        <w:t>Пациенты могут подвергаться повышенному риску образования фистул при терапии ленватинибом. Случаи образования или увеличения фистул, затрагивающих области тела, помимо желудка или кишечника, наблюдались в клинических исследованиях и в период пострегистрационного применения (например, трахеальные, трахео-эзофагеальные, эзофагеальные, кожные, фарингеальные, в женских половых органах). Также сообщалось о случаях развития пневмоторакса, как с, так и без четкого доказательства присутствия бронхоплевральной фистулы. Некоторые случаи гастроинтестинальной перфорации, фистул и пневмоторакса ассоциировались с регрессией или некрозом опухоли.</w:t>
      </w:r>
    </w:p>
    <w:p w14:paraId="07A15730" w14:textId="77777777" w:rsidR="00200EBA" w:rsidRDefault="00200EBA" w:rsidP="00202E76">
      <w:pPr>
        <w:ind w:firstLine="709"/>
        <w:rPr>
          <w:lang w:eastAsia="ru-RU" w:bidi="ru-RU"/>
        </w:rPr>
      </w:pPr>
      <w:r>
        <w:rPr>
          <w:lang w:eastAsia="ru-RU" w:bidi="ru-RU"/>
        </w:rPr>
        <w:t>Предшествующие хирургические вмешательства и лучевая терапия могут быть факторами риска. Не следует начинать терапию ленватинибом у пациентов с фистулами, чтобы избежать ухудшения. Следует прекратить прием препарата у пациентов с поражением пищевода или трахеобронхиального тракта и любой фистулой 4 степени тяжести. Информация о прерывании лечения или снижения дозы для управления такими нежелательными явлениями ограничена, но в некоторых случаях наблюдалось ухудшение, поэтому следует соблюдать осторожность. Ленватиниб может оказывать отрицательное воздействие на процесс заживления ран, как и другие препараты этого класса.</w:t>
      </w:r>
    </w:p>
    <w:p w14:paraId="539A73D9" w14:textId="77777777" w:rsidR="00200EBA" w:rsidRDefault="00200EBA" w:rsidP="00200EBA">
      <w:pPr>
        <w:rPr>
          <w:lang w:eastAsia="ru-RU" w:bidi="ru-RU"/>
        </w:rPr>
      </w:pPr>
    </w:p>
    <w:p w14:paraId="32829C61" w14:textId="77777777" w:rsidR="0054382D" w:rsidRDefault="0054382D" w:rsidP="00200EBA">
      <w:pPr>
        <w:rPr>
          <w:b/>
          <w:bCs/>
          <w:iCs/>
          <w:lang w:eastAsia="ru-RU" w:bidi="ru-RU"/>
        </w:rPr>
        <w:sectPr w:rsidR="0054382D" w:rsidSect="00AB01E2">
          <w:pgSz w:w="11906" w:h="16838"/>
          <w:pgMar w:top="1134" w:right="849" w:bottom="1134" w:left="1701" w:header="708" w:footer="709" w:gutter="0"/>
          <w:cols w:space="708"/>
          <w:docGrid w:linePitch="360"/>
        </w:sectPr>
      </w:pPr>
    </w:p>
    <w:p w14:paraId="675B3A80" w14:textId="778E8B4A" w:rsidR="00200EBA" w:rsidRPr="00F65790" w:rsidRDefault="00200EBA" w:rsidP="00200EBA">
      <w:pPr>
        <w:rPr>
          <w:b/>
          <w:bCs/>
          <w:iCs/>
          <w:lang w:eastAsia="ru-RU" w:bidi="ru-RU"/>
        </w:rPr>
      </w:pPr>
      <w:r w:rsidRPr="00F65790">
        <w:rPr>
          <w:b/>
          <w:bCs/>
          <w:iCs/>
          <w:lang w:eastAsia="ru-RU" w:bidi="ru-RU"/>
        </w:rPr>
        <w:lastRenderedPageBreak/>
        <w:t>Удлинение интервала QT</w:t>
      </w:r>
    </w:p>
    <w:p w14:paraId="31E02534" w14:textId="77777777" w:rsidR="00200EBA" w:rsidRPr="00887C88" w:rsidRDefault="00200EBA" w:rsidP="00200EBA">
      <w:pPr>
        <w:rPr>
          <w:b/>
          <w:bCs/>
          <w:lang w:eastAsia="ru-RU" w:bidi="ru-RU"/>
        </w:rPr>
      </w:pPr>
    </w:p>
    <w:p w14:paraId="7F001A86" w14:textId="377341DB" w:rsidR="00200EBA" w:rsidRDefault="00200EBA" w:rsidP="00202E76">
      <w:pPr>
        <w:ind w:firstLine="709"/>
        <w:rPr>
          <w:lang w:eastAsia="ru-RU" w:bidi="ru-RU"/>
        </w:rPr>
      </w:pPr>
      <w:r>
        <w:rPr>
          <w:lang w:eastAsia="ru-RU" w:bidi="ru-RU"/>
        </w:rPr>
        <w:t xml:space="preserve">Удлинение интервала QT/QTc у пациентов, получавших ленватиниб, встречалось чаще, чем у пациентов, получавших плацебо. Медиана времени до возникновения удлинения интервала QTc составляло 16,1 недели в исследовании </w:t>
      </w:r>
      <w:r w:rsidR="00D87B8A">
        <w:rPr>
          <w:lang w:eastAsia="ru-RU" w:bidi="ru-RU"/>
        </w:rPr>
        <w:t xml:space="preserve">дифференцированного </w:t>
      </w:r>
      <w:r>
        <w:rPr>
          <w:lang w:eastAsia="ru-RU" w:bidi="ru-RU"/>
        </w:rPr>
        <w:t xml:space="preserve">РЩЖ, 31,1 недели в исследовании монотерапии ГЦР и 30 недель в исследовании ПKP в комбинации. Следует проводить постоянный мониторинг электрокардиограмм с особым вниманием к пациентам с врожденным синдромом удлиненного интервала QT, застойной сердечной недостаточностью или брадиаритмией, а также у пациентов, получающих лекарственные препараты с известной способностью удлинять интервал QT, включая антиаритмические препараты классов </w:t>
      </w:r>
      <w:r w:rsidR="00D87B8A">
        <w:rPr>
          <w:lang w:val="en-US" w:eastAsia="ru-RU" w:bidi="ru-RU"/>
        </w:rPr>
        <w:t>I</w:t>
      </w:r>
      <w:r>
        <w:rPr>
          <w:lang w:eastAsia="ru-RU" w:bidi="ru-RU"/>
        </w:rPr>
        <w:t xml:space="preserve">a и III. В случае удлинения интервала QT более чем на 500 мс прием ленватиниба должен быть приостановлен. При восстановлении интервала QTc до первоначального уровня или не более 480 мс прием ленватиниба может быть возобновлен в сниженной дозе. </w:t>
      </w:r>
    </w:p>
    <w:p w14:paraId="42067054" w14:textId="77777777" w:rsidR="00200EBA" w:rsidRDefault="00200EBA" w:rsidP="00202E76">
      <w:pPr>
        <w:ind w:firstLine="709"/>
        <w:rPr>
          <w:lang w:eastAsia="ru-RU" w:bidi="ru-RU"/>
        </w:rPr>
      </w:pPr>
      <w:r>
        <w:rPr>
          <w:lang w:eastAsia="ru-RU" w:bidi="ru-RU"/>
        </w:rPr>
        <w:t>Нарушения баланса электролитов, такие как гипокалиемия, гипокальциемия и гипомагниемия увеличивают риск удлинения интервала QT, поэтому следует осуществлять контроль и коррекцию баланса электролитов у всех пациентов до начала лечения. В процессе лечения следует проводить периодический мониторинг ЭКГ и электролитов (магния, калия и кальция). Контроль уровня кальция в крови во время терапии ленватинибом следует проводить не реже, чем раз в месяц и корректировать его в случае необходимости. Терапию следует прервать или скорректировать дозу ленватиниба по мере необходимости, в зависимости от степени тяжести, наличия изменений на ЭКГ, а также сохранения гипокальциемии.</w:t>
      </w:r>
    </w:p>
    <w:p w14:paraId="0C1024DB" w14:textId="5BB24A0B" w:rsidR="00200EBA" w:rsidRDefault="00200EBA" w:rsidP="00202E76">
      <w:pPr>
        <w:ind w:firstLine="709"/>
        <w:rPr>
          <w:lang w:eastAsia="ru-RU" w:bidi="ru-RU"/>
        </w:rPr>
      </w:pPr>
      <w:r>
        <w:rPr>
          <w:lang w:eastAsia="ru-RU" w:bidi="ru-RU"/>
        </w:rPr>
        <w:t xml:space="preserve"> Нарушение с</w:t>
      </w:r>
      <w:r w:rsidR="00D87B8A">
        <w:rPr>
          <w:lang w:eastAsia="ru-RU" w:bidi="ru-RU"/>
        </w:rPr>
        <w:t>у</w:t>
      </w:r>
      <w:r>
        <w:rPr>
          <w:lang w:eastAsia="ru-RU" w:bidi="ru-RU"/>
        </w:rPr>
        <w:t>прессии уровня ТТГ в крови/дисфункция щитовидной железы Ленватиниб нарушает экзогенную супрессию ТТГ (см. раздел «Побочное действие»).</w:t>
      </w:r>
    </w:p>
    <w:p w14:paraId="62628CF8" w14:textId="61CF7FE1" w:rsidR="00200EBA" w:rsidRDefault="00200EBA" w:rsidP="00202E76">
      <w:pPr>
        <w:ind w:firstLine="709"/>
        <w:rPr>
          <w:lang w:eastAsia="ru-RU" w:bidi="ru-RU"/>
        </w:rPr>
      </w:pPr>
      <w:r>
        <w:rPr>
          <w:lang w:eastAsia="ru-RU" w:bidi="ru-RU"/>
        </w:rPr>
        <w:t>У пациентов, получавших ленватиниб в исследовании ПKP, с высокой частотой б</w:t>
      </w:r>
      <w:r w:rsidR="00D87B8A">
        <w:rPr>
          <w:lang w:eastAsia="ru-RU" w:bidi="ru-RU"/>
        </w:rPr>
        <w:t>ыл</w:t>
      </w:r>
      <w:r>
        <w:rPr>
          <w:lang w:eastAsia="ru-RU" w:bidi="ru-RU"/>
        </w:rPr>
        <w:t>и зарегистрированы случаи гипотиреоза (см. раздел ‹Побочное действие»).</w:t>
      </w:r>
    </w:p>
    <w:p w14:paraId="79C6F4C2" w14:textId="77777777" w:rsidR="00200EBA" w:rsidRDefault="00200EBA" w:rsidP="00200EBA">
      <w:pPr>
        <w:ind w:firstLine="709"/>
        <w:rPr>
          <w:lang w:eastAsia="ru-RU" w:bidi="ru-RU"/>
        </w:rPr>
      </w:pPr>
      <w:r>
        <w:rPr>
          <w:lang w:eastAsia="ru-RU" w:bidi="ru-RU"/>
        </w:rPr>
        <w:t>Мониторинг функции щитовидной железы следует проводить до начала, а также ежемесячно в процессе лечения ленватинибом. Лечение гипотиреоза следует проводить в соответствии с принятыми стандартами лечения до достижения эутиреоидного состояния.</w:t>
      </w:r>
    </w:p>
    <w:p w14:paraId="60A8C18B" w14:textId="77777777" w:rsidR="00200EBA" w:rsidRDefault="00200EBA" w:rsidP="00200EBA">
      <w:pPr>
        <w:rPr>
          <w:b/>
          <w:bCs/>
          <w:lang w:eastAsia="ru-RU" w:bidi="ru-RU"/>
        </w:rPr>
      </w:pPr>
    </w:p>
    <w:p w14:paraId="4515D021" w14:textId="77777777" w:rsidR="00200EBA" w:rsidRPr="00F65790" w:rsidRDefault="00200EBA" w:rsidP="00200EBA">
      <w:pPr>
        <w:rPr>
          <w:b/>
          <w:bCs/>
          <w:iCs/>
          <w:lang w:eastAsia="ru-RU" w:bidi="ru-RU"/>
        </w:rPr>
      </w:pPr>
      <w:r w:rsidRPr="00F65790">
        <w:rPr>
          <w:b/>
          <w:bCs/>
          <w:iCs/>
          <w:lang w:eastAsia="ru-RU" w:bidi="ru-RU"/>
        </w:rPr>
        <w:t>Осложнения заживления ран</w:t>
      </w:r>
    </w:p>
    <w:p w14:paraId="70DE6BA2" w14:textId="77777777" w:rsidR="00200EBA" w:rsidRPr="00F52250" w:rsidRDefault="00200EBA" w:rsidP="00200EBA">
      <w:pPr>
        <w:rPr>
          <w:b/>
          <w:bCs/>
          <w:lang w:eastAsia="ru-RU" w:bidi="ru-RU"/>
        </w:rPr>
      </w:pPr>
    </w:p>
    <w:p w14:paraId="1FD42A67" w14:textId="77777777" w:rsidR="00200EBA" w:rsidRDefault="00200EBA" w:rsidP="00202E76">
      <w:pPr>
        <w:ind w:firstLine="709"/>
        <w:rPr>
          <w:lang w:eastAsia="ru-RU" w:bidi="ru-RU"/>
        </w:rPr>
      </w:pPr>
      <w:r>
        <w:rPr>
          <w:lang w:eastAsia="ru-RU" w:bidi="ru-RU"/>
        </w:rPr>
        <w:t>Формальных исследований влияния ленватиниба на заживление ран не проводилось. Сообщалось о нарушении заживления ран у пациентов, получавших ленватиниб. Пациентам, планирующим серьезные хирургические вмешательства, рекомендуется временная приостановка приема ленватиниба. Клинический опыт относительно сроков возобновления лечения после серьезного хирургического вмешательства ограничен.</w:t>
      </w:r>
    </w:p>
    <w:p w14:paraId="296B7155" w14:textId="77777777" w:rsidR="00200EBA" w:rsidRDefault="00200EBA" w:rsidP="00200EBA">
      <w:pPr>
        <w:ind w:firstLine="567"/>
        <w:rPr>
          <w:lang w:eastAsia="ru-RU" w:bidi="ru-RU"/>
        </w:rPr>
      </w:pPr>
      <w:r>
        <w:rPr>
          <w:lang w:eastAsia="ru-RU" w:bidi="ru-RU"/>
        </w:rPr>
        <w:t>Таким образом, решение о возобновлении терапии ленватинибом должно основываться на клинической оценке заживления ран.</w:t>
      </w:r>
    </w:p>
    <w:p w14:paraId="19E7A166" w14:textId="77777777" w:rsidR="00200EBA" w:rsidRDefault="00200EBA" w:rsidP="00200EBA">
      <w:pPr>
        <w:rPr>
          <w:lang w:eastAsia="ru-RU" w:bidi="ru-RU"/>
        </w:rPr>
      </w:pPr>
    </w:p>
    <w:p w14:paraId="66277F86" w14:textId="77777777" w:rsidR="00200EBA" w:rsidRPr="00F65790" w:rsidRDefault="00200EBA" w:rsidP="00200EBA">
      <w:pPr>
        <w:rPr>
          <w:b/>
          <w:bCs/>
          <w:iCs/>
          <w:lang w:eastAsia="ru-RU" w:bidi="ru-RU"/>
        </w:rPr>
      </w:pPr>
      <w:r w:rsidRPr="00F65790">
        <w:rPr>
          <w:b/>
          <w:bCs/>
          <w:iCs/>
          <w:lang w:eastAsia="ru-RU" w:bidi="ru-RU"/>
        </w:rPr>
        <w:t>Остеонекроз челюсти</w:t>
      </w:r>
    </w:p>
    <w:p w14:paraId="14541DBC" w14:textId="77777777" w:rsidR="00200EBA" w:rsidRPr="00101CD5" w:rsidRDefault="00200EBA" w:rsidP="00200EBA">
      <w:pPr>
        <w:rPr>
          <w:i/>
          <w:iCs/>
          <w:lang w:eastAsia="ru-RU" w:bidi="ru-RU"/>
        </w:rPr>
      </w:pPr>
    </w:p>
    <w:p w14:paraId="7A0577E8" w14:textId="77777777" w:rsidR="00200EBA" w:rsidRPr="00036B42" w:rsidRDefault="00200EBA" w:rsidP="00202E76">
      <w:pPr>
        <w:ind w:firstLine="709"/>
        <w:rPr>
          <w:lang w:eastAsia="ru-RU" w:bidi="ru-RU"/>
        </w:rPr>
      </w:pPr>
      <w:r>
        <w:rPr>
          <w:lang w:eastAsia="ru-RU" w:bidi="ru-RU"/>
        </w:rPr>
        <w:t xml:space="preserve">Сообщалось о случаях развития остеонекроза челюсти при применении ленватиниба Инвазивные стоматологические процедуры являются подтвержденным фактором риска развития остеонекроза челюсти. Перед началом применения ленватиниба рекомендуется рассмотреть возможность стоматологического осмотра и соответствующего профилактического лечения. Пациентам следует рекомендовать периодические </w:t>
      </w:r>
      <w:r>
        <w:rPr>
          <w:lang w:eastAsia="ru-RU" w:bidi="ru-RU"/>
        </w:rPr>
        <w:lastRenderedPageBreak/>
        <w:t>стоматологические осмотры и процедуры по гигиене полости рта во время применения ленватиниба. По возможности следует избегать инвазивных стоматологических процедур во время терапии ленватинибом. Следует соблюдать осторожность при назначении ленватиниба пациентам, получающим препараты, связанные с риском развития остеонекроза челюсти, такие как бисфосфонаты и деносумаб.</w:t>
      </w:r>
    </w:p>
    <w:p w14:paraId="3ED5EB7A" w14:textId="77777777" w:rsidR="00200EBA" w:rsidRDefault="00200EBA" w:rsidP="00200EBA">
      <w:pPr>
        <w:pStyle w:val="3"/>
        <w:spacing w:after="240"/>
        <w:rPr>
          <w:rFonts w:ascii="Times New Roman" w:hAnsi="Times New Roman"/>
          <w:color w:val="000000" w:themeColor="text1"/>
        </w:rPr>
      </w:pPr>
      <w:bookmarkStart w:id="279" w:name="_Toc81410160"/>
      <w:bookmarkStart w:id="280" w:name="_Toc126059779"/>
      <w:r>
        <w:rPr>
          <w:rFonts w:ascii="Times New Roman" w:hAnsi="Times New Roman"/>
          <w:color w:val="000000" w:themeColor="text1"/>
        </w:rPr>
        <w:t>5.3.9 Влияние на способность управлять транспортными средствами и механизмами</w:t>
      </w:r>
      <w:bookmarkEnd w:id="279"/>
      <w:bookmarkEnd w:id="280"/>
    </w:p>
    <w:p w14:paraId="329072E2" w14:textId="3C4C9E80" w:rsidR="00200EBA" w:rsidRPr="0054382D" w:rsidRDefault="00200EBA" w:rsidP="0054382D">
      <w:pPr>
        <w:ind w:firstLine="709"/>
        <w:rPr>
          <w:rStyle w:val="src"/>
        </w:rPr>
      </w:pPr>
      <w:r w:rsidRPr="00CA24C8">
        <w:t>Исследования влияния ленватиниба на способность управлять транспортными средствами, механизмами не проводились. Ленватиниб может вызывать побочные эффекты, такие как утомляемость и головокружение. Пациенты, у которых имеют место эти симптомы, должны соблюдать осторожность при управлении автотранспортом и работе с движущимися механизмами.</w:t>
      </w:r>
    </w:p>
    <w:p w14:paraId="50B8C2C8" w14:textId="328763E0" w:rsidR="00200EBA" w:rsidRDefault="00201AD2" w:rsidP="0054382D">
      <w:pPr>
        <w:pStyle w:val="12"/>
        <w:spacing w:line="240" w:lineRule="auto"/>
        <w:rPr>
          <w:rStyle w:val="src"/>
          <w:rFonts w:cs="Times New Roman"/>
          <w:color w:val="000000" w:themeColor="text1"/>
          <w:szCs w:val="24"/>
        </w:rPr>
      </w:pPr>
      <w:bookmarkStart w:id="281" w:name="_Toc126059780"/>
      <w:r>
        <w:rPr>
          <w:rStyle w:val="src"/>
          <w:rFonts w:cs="Times New Roman"/>
          <w:color w:val="000000" w:themeColor="text1"/>
          <w:szCs w:val="24"/>
        </w:rPr>
        <w:t xml:space="preserve">6. </w:t>
      </w:r>
      <w:r w:rsidR="00200EBA" w:rsidRPr="005E6358">
        <w:rPr>
          <w:rStyle w:val="src"/>
          <w:rFonts w:cs="Times New Roman"/>
          <w:color w:val="000000" w:themeColor="text1"/>
          <w:szCs w:val="24"/>
        </w:rPr>
        <w:t>ЗАКЛЮЧЕНИЕ</w:t>
      </w:r>
      <w:bookmarkEnd w:id="281"/>
    </w:p>
    <w:p w14:paraId="7E990427" w14:textId="77777777" w:rsidR="008F5509" w:rsidRDefault="008F5509" w:rsidP="008F5509">
      <w:pPr>
        <w:ind w:firstLine="708"/>
        <w:rPr>
          <w:lang w:eastAsia="ru-RU"/>
        </w:rPr>
      </w:pPr>
      <w:r>
        <w:rPr>
          <w:lang w:eastAsia="ru-RU"/>
        </w:rPr>
        <w:t xml:space="preserve">Ленватиниб является ингибитором тирозинкиназы I типа, проявляющим выраженную антиангиогенную активность при лечении рака. Проявляя активность при множественных солидных опухолях, препарат был одобрен при дифференцированном раке щитовидной железы (РЩЖ), гепатоцеллюлярной карциноме (ГЦК), почечно-клеточной карциноме и при лечении рака эндометрия (РЭ) как в качестве монотерапии или в комбинированной химиотерапии. Кроме того, ленватиниб продемонстрировал многообещающие результаты при некоторых других типах опухолей, включая медуллярный рак, анапластический РЩЖ, аденоидно-кистозный рак. </w:t>
      </w:r>
    </w:p>
    <w:p w14:paraId="5381DF01" w14:textId="77777777" w:rsidR="008F5509" w:rsidRPr="00AF7CFB" w:rsidRDefault="008F5509" w:rsidP="008F5509">
      <w:pPr>
        <w:ind w:firstLine="851"/>
        <w:rPr>
          <w:color w:val="000000" w:themeColor="text1"/>
        </w:rPr>
      </w:pPr>
      <w:r w:rsidRPr="00AF7CFB">
        <w:rPr>
          <w:color w:val="000000" w:themeColor="text1"/>
        </w:rPr>
        <w:t xml:space="preserve">Для изучения ленватиниба было проведено большое количество доклинических исследований. Эти исследования включали серию исследований как </w:t>
      </w:r>
      <w:r w:rsidRPr="00AF7CFB">
        <w:rPr>
          <w:i/>
          <w:iCs/>
          <w:color w:val="000000" w:themeColor="text1"/>
        </w:rPr>
        <w:t>in vitro</w:t>
      </w:r>
      <w:r w:rsidRPr="00AF7CFB">
        <w:rPr>
          <w:color w:val="000000" w:themeColor="text1"/>
        </w:rPr>
        <w:t xml:space="preserve">, так и </w:t>
      </w:r>
      <w:r w:rsidRPr="00AF7CFB">
        <w:rPr>
          <w:i/>
          <w:iCs/>
          <w:color w:val="000000" w:themeColor="text1"/>
        </w:rPr>
        <w:t>in vivo</w:t>
      </w:r>
      <w:r w:rsidRPr="00AF7CFB">
        <w:rPr>
          <w:color w:val="000000" w:themeColor="text1"/>
        </w:rPr>
        <w:t xml:space="preserve">, в результате которых были хорошо изучены фармакодинамические, фармакокинетические и токсикологические свойства ленватиниба. </w:t>
      </w:r>
    </w:p>
    <w:p w14:paraId="6FB81832" w14:textId="77777777" w:rsidR="008F5509" w:rsidRDefault="008F5509" w:rsidP="008F5509">
      <w:pPr>
        <w:ind w:firstLine="708"/>
        <w:rPr>
          <w:lang w:eastAsia="ru-RU"/>
        </w:rPr>
      </w:pPr>
      <w:r>
        <w:rPr>
          <w:lang w:eastAsia="ru-RU"/>
        </w:rPr>
        <w:t xml:space="preserve">Эффективность лекарственных препаратов, содержащих ленватиниб, в качестве средства для лечения множественных солидных опухолях (дифференцированный РЩЖ, </w:t>
      </w:r>
      <w:r>
        <w:t>ГЦК</w:t>
      </w:r>
      <w:r>
        <w:rPr>
          <w:lang w:eastAsia="ru-RU"/>
        </w:rPr>
        <w:t>, почечно-клеточная карцинома, РЭ) как в качестве монотерапии или в комбинированной химиотерапии у взрослых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ленватиниба в составе комбинированной терапии солидных опухолей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78C92204" w14:textId="77777777" w:rsidR="008F5509" w:rsidRDefault="008F5509" w:rsidP="008F5509">
      <w:pPr>
        <w:ind w:firstLine="851"/>
      </w:pPr>
      <w:r>
        <w:t>При изучении безопасности был сделан вывод, что лечение ленватинибом сопровождается целым рядом побочных реакций. Однако, ленватиниб является препаратом с управляемым профилем безопасности. При развитии побочных реакций и непереносимой токсичности разработаны схемы к</w:t>
      </w:r>
      <w:r w:rsidRPr="00F95846">
        <w:t>оррекция дозы при нежелательных реакциях</w:t>
      </w:r>
      <w:r>
        <w:t xml:space="preserve"> для всех показаний препарата, а также разработаны режимы модификации дозы при различных, связанных с приемом препарата состояниях (артериальная гипертензия, диарея, сердечная недостаточность, гепатотоксичность).</w:t>
      </w:r>
    </w:p>
    <w:p w14:paraId="572AFF31" w14:textId="77777777" w:rsidR="008F5509" w:rsidRPr="00F10AF6" w:rsidRDefault="008F5509" w:rsidP="008F5509">
      <w:pPr>
        <w:ind w:firstLine="851"/>
      </w:pPr>
      <w:r w:rsidRPr="00F10AF6">
        <w:t xml:space="preserve">С учетом медицинской, клинико-эпидемиологической и социально-экономической значимости лечения дифференцированного РЩЖ, ГЦК, ПКР и РЭ, регистрация нового отечественного воспроизведенного лекарственного препарата </w:t>
      </w:r>
      <w:r w:rsidRPr="00F10AF6">
        <w:rPr>
          <w:lang w:eastAsia="ru-RU"/>
        </w:rPr>
        <w:t>DT-LNV</w:t>
      </w:r>
      <w:r w:rsidRPr="00F10AF6">
        <w:t xml:space="preserve"> (МНН: </w:t>
      </w:r>
      <w:r w:rsidRPr="00F10AF6">
        <w:rPr>
          <w:bCs/>
          <w:color w:val="000000" w:themeColor="text1"/>
        </w:rPr>
        <w:t>ленватиниб)</w:t>
      </w:r>
      <w:r w:rsidRPr="00F10AF6">
        <w:t xml:space="preserve">, капсулы 4 мг, 10 мг (производитель: АО «Р-Фарм», Россия), позволит снизить высокую </w:t>
      </w:r>
      <w:r w:rsidRPr="00F10AF6">
        <w:lastRenderedPageBreak/>
        <w:t>стоимость противоопухолевых препаратов нового поколения и сделает доступным лечение большему количеству онкологических пациентов.</w:t>
      </w:r>
    </w:p>
    <w:p w14:paraId="472ACDF4" w14:textId="14B52BA4" w:rsidR="00504969" w:rsidRDefault="00504969" w:rsidP="00504969">
      <w:pPr>
        <w:ind w:firstLine="709"/>
        <w:rPr>
          <w:color w:val="000000" w:themeColor="text1"/>
        </w:rPr>
      </w:pPr>
      <w:r w:rsidRPr="00504969">
        <w:rPr>
          <w:lang w:eastAsia="ru-RU"/>
        </w:rPr>
        <w:t>DT-LNV</w:t>
      </w:r>
      <w:r w:rsidRPr="00D050C7">
        <w:rPr>
          <w:color w:val="000000" w:themeColor="text1"/>
        </w:rPr>
        <w:t xml:space="preserve">, </w:t>
      </w:r>
      <w:r w:rsidR="00201AD2">
        <w:t xml:space="preserve">ткапсулы, 4 и 10 </w:t>
      </w:r>
      <w:r w:rsidRPr="00D050C7">
        <w:t>мг</w:t>
      </w:r>
      <w:r w:rsidRPr="00D050C7">
        <w:rPr>
          <w:color w:val="000000" w:themeColor="text1"/>
        </w:rPr>
        <w:t xml:space="preserve"> (</w:t>
      </w:r>
      <w:r w:rsidRPr="00D050C7">
        <w:rPr>
          <w:lang w:eastAsia="ru-RU"/>
        </w:rPr>
        <w:t>АО «Р-Фарм», Россия</w:t>
      </w:r>
      <w:r w:rsidRPr="00D050C7">
        <w:rPr>
          <w:color w:val="000000" w:themeColor="text1"/>
        </w:rPr>
        <w:t xml:space="preserve">) представляет собой воспроизведенный препарат по отношению к референтному препарату </w:t>
      </w:r>
      <w:r w:rsidRPr="00504969">
        <w:rPr>
          <w:rFonts w:eastAsia="Calibri"/>
        </w:rPr>
        <w:t>ленватиниб</w:t>
      </w:r>
      <w:r w:rsidRPr="00D050C7">
        <w:rPr>
          <w:color w:val="000000" w:themeColor="text1"/>
        </w:rPr>
        <w:t xml:space="preserve">а - </w:t>
      </w:r>
      <w:r w:rsidRPr="00504969">
        <w:rPr>
          <w:rFonts w:eastAsia="Calibri"/>
        </w:rPr>
        <w:t>Ленвима</w:t>
      </w:r>
      <w:r w:rsidRPr="00D050C7">
        <w:rPr>
          <w:vertAlign w:val="superscript"/>
        </w:rPr>
        <w:t>®</w:t>
      </w:r>
      <w:r w:rsidR="00F65790">
        <w:t>, капсулы, 4 и 10</w:t>
      </w:r>
      <w:r w:rsidRPr="00D050C7">
        <w:t xml:space="preserve"> мг (</w:t>
      </w:r>
      <w:r w:rsidRPr="00504969">
        <w:rPr>
          <w:lang w:eastAsia="ru-RU"/>
        </w:rPr>
        <w:t>Эйсай Юроп Лимитед, Соединенное Королевство</w:t>
      </w:r>
      <w:r w:rsidRPr="00D050C7">
        <w:t>)</w:t>
      </w:r>
      <w:r w:rsidRPr="00D050C7">
        <w:rPr>
          <w:color w:val="000000" w:themeColor="text1"/>
        </w:rPr>
        <w:t xml:space="preserve">. Он полностью соответствует по качественному и количественному составу действующего и вспомогательных веществ, дозировке и форме выпуска препарату </w:t>
      </w:r>
      <w:r w:rsidRPr="00504969">
        <w:rPr>
          <w:rFonts w:eastAsia="Calibri"/>
        </w:rPr>
        <w:t>Ленвима</w:t>
      </w:r>
      <w:r w:rsidRPr="00D050C7">
        <w:rPr>
          <w:vertAlign w:val="superscript"/>
        </w:rPr>
        <w:t xml:space="preserve"> ®</w:t>
      </w:r>
      <w:r w:rsidRPr="00D050C7">
        <w:rPr>
          <w:color w:val="000000" w:themeColor="text1"/>
        </w:rPr>
        <w:t>, 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735A3EA8" w14:textId="77777777" w:rsidR="00200EBA" w:rsidRDefault="00200EBA" w:rsidP="00F24765">
      <w:pPr>
        <w:ind w:firstLine="708"/>
        <w:rPr>
          <w:color w:val="000000"/>
        </w:rPr>
      </w:pPr>
    </w:p>
    <w:sectPr w:rsidR="00200EBA" w:rsidSect="00AB01E2">
      <w:pgSz w:w="11906" w:h="16838"/>
      <w:pgMar w:top="1134" w:right="849" w:bottom="1134" w:left="1701" w:header="708"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004EE" w16cid:durableId="27540426"/>
  <w16cid:commentId w16cid:paraId="63280B9E" w16cid:durableId="27540427"/>
  <w16cid:commentId w16cid:paraId="4570FC8D" w16cid:durableId="27540428"/>
  <w16cid:commentId w16cid:paraId="5E127243" w16cid:durableId="27540429"/>
  <w16cid:commentId w16cid:paraId="211083C7" w16cid:durableId="2754042A"/>
  <w16cid:commentId w16cid:paraId="43EB57D4" w16cid:durableId="2754042B"/>
  <w16cid:commentId w16cid:paraId="5BD5757F" w16cid:durableId="2754042C"/>
  <w16cid:commentId w16cid:paraId="605D53E5" w16cid:durableId="2754042D"/>
  <w16cid:commentId w16cid:paraId="184C3A3D" w16cid:durableId="2754042E"/>
  <w16cid:commentId w16cid:paraId="060F6035" w16cid:durableId="2754042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DAEE4" w14:textId="77777777" w:rsidR="00327951" w:rsidRDefault="00327951" w:rsidP="00E30437">
      <w:r>
        <w:separator/>
      </w:r>
    </w:p>
  </w:endnote>
  <w:endnote w:type="continuationSeparator" w:id="0">
    <w:p w14:paraId="6E61D7C3" w14:textId="77777777" w:rsidR="00327951" w:rsidRDefault="00327951" w:rsidP="00E3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00"/>
    <w:family w:val="roman"/>
    <w:notTrueType/>
    <w:pitch w:val="variable"/>
    <w:sig w:usb0="00000003" w:usb1="08070000" w:usb2="00000010" w:usb3="00000000" w:csb0="0002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00"/>
    <w:family w:val="auto"/>
    <w:notTrueType/>
    <w:pitch w:val="variable"/>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3" w:usb1="09060000" w:usb2="00000010" w:usb3="00000000" w:csb0="00080001"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SimSun">
    <w:altName w:val="§­§°§®§Ц"/>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E36A78" w:rsidRPr="00AB01E2" w:rsidRDefault="00E36A78" w:rsidP="00BF01A9">
    <w:pPr>
      <w:rPr>
        <w:sz w:val="20"/>
      </w:rPr>
    </w:pPr>
  </w:p>
  <w:tbl>
    <w:tblPr>
      <w:tblW w:w="9498" w:type="dxa"/>
      <w:tblInd w:w="-142" w:type="dxa"/>
      <w:tblLook w:val="04A0" w:firstRow="1" w:lastRow="0" w:firstColumn="1" w:lastColumn="0" w:noHBand="0" w:noVBand="1"/>
    </w:tblPr>
    <w:tblGrid>
      <w:gridCol w:w="3261"/>
      <w:gridCol w:w="3544"/>
      <w:gridCol w:w="2693"/>
    </w:tblGrid>
    <w:tr w:rsidR="00E36A78" w:rsidRPr="00A624A0" w14:paraId="48E32660" w14:textId="77777777" w:rsidTr="006A403D">
      <w:tc>
        <w:tcPr>
          <w:tcW w:w="3261" w:type="dxa"/>
          <w:hideMark/>
        </w:tcPr>
        <w:p w14:paraId="6463542A" w14:textId="77777777" w:rsidR="00E36A78" w:rsidRPr="006A403D" w:rsidRDefault="00E36A78" w:rsidP="006A403D">
          <w:pPr>
            <w:tabs>
              <w:tab w:val="center" w:pos="4395"/>
              <w:tab w:val="right" w:pos="9355"/>
            </w:tabs>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5034A123" w:rsidR="00E36A78" w:rsidRPr="00E34EAC" w:rsidRDefault="00E36A78" w:rsidP="00B469BA">
          <w:pPr>
            <w:tabs>
              <w:tab w:val="center" w:pos="4395"/>
              <w:tab w:val="right" w:pos="9355"/>
            </w:tabs>
            <w:ind w:left="34"/>
            <w:jc w:val="center"/>
            <w:rPr>
              <w:rFonts w:eastAsia="Times New Roman"/>
              <w:lang w:eastAsia="en-US"/>
            </w:rPr>
          </w:pPr>
          <w:r>
            <w:rPr>
              <w:rFonts w:eastAsia="Times New Roman"/>
              <w:lang w:eastAsia="en-US"/>
            </w:rPr>
            <w:t>Версия 1.0 от 30</w:t>
          </w:r>
          <w:r w:rsidRPr="005F12B8">
            <w:rPr>
              <w:rFonts w:eastAsia="Times New Roman"/>
              <w:lang w:eastAsia="en-US"/>
            </w:rPr>
            <w:t>-</w:t>
          </w:r>
          <w:r>
            <w:rPr>
              <w:rFonts w:eastAsia="Times New Roman"/>
              <w:lang w:eastAsia="en-US"/>
            </w:rPr>
            <w:t>янв</w:t>
          </w:r>
          <w:r w:rsidRPr="005F12B8">
            <w:rPr>
              <w:rFonts w:eastAsia="Times New Roman"/>
              <w:lang w:eastAsia="en-US"/>
            </w:rPr>
            <w:t>-202</w:t>
          </w:r>
          <w:r>
            <w:rPr>
              <w:rFonts w:eastAsia="Times New Roman"/>
              <w:lang w:eastAsia="en-US"/>
            </w:rPr>
            <w:t>3</w:t>
          </w:r>
          <w:r w:rsidRPr="005F12B8">
            <w:rPr>
              <w:rFonts w:eastAsia="Times New Roman"/>
              <w:lang w:eastAsia="en-US"/>
            </w:rPr>
            <w:t xml:space="preserve"> г.</w:t>
          </w:r>
        </w:p>
      </w:tc>
      <w:tc>
        <w:tcPr>
          <w:tcW w:w="2693" w:type="dxa"/>
          <w:hideMark/>
        </w:tcPr>
        <w:p w14:paraId="2118A0F2" w14:textId="003CA936" w:rsidR="00E36A78" w:rsidRPr="00A624A0" w:rsidRDefault="00E36A78" w:rsidP="006A403D">
          <w:pPr>
            <w:tabs>
              <w:tab w:val="center" w:pos="4395"/>
              <w:tab w:val="right" w:pos="9355"/>
            </w:tabs>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C21460">
            <w:rPr>
              <w:rFonts w:eastAsia="Times New Roman"/>
              <w:noProof/>
              <w:lang w:eastAsia="en-US"/>
            </w:rPr>
            <w:t>4</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C21460">
            <w:rPr>
              <w:rFonts w:eastAsia="Times New Roman"/>
              <w:noProof/>
              <w:lang w:eastAsia="en-US"/>
            </w:rPr>
            <w:t>110</w:t>
          </w:r>
          <w:r>
            <w:rPr>
              <w:rFonts w:eastAsia="Times New Roman"/>
              <w:lang w:eastAsia="en-US"/>
            </w:rPr>
            <w:fldChar w:fldCharType="end"/>
          </w:r>
        </w:p>
      </w:tc>
    </w:tr>
  </w:tbl>
  <w:p w14:paraId="09E6F73C" w14:textId="77777777" w:rsidR="00E36A78" w:rsidRPr="00762053" w:rsidRDefault="00E36A78" w:rsidP="00AB01E2">
    <w:pPr>
      <w:pStyle w:val="a6"/>
      <w:tabs>
        <w:tab w:val="left" w:pos="2268"/>
      </w:tabs>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0C687" w14:textId="77777777" w:rsidR="00327951" w:rsidRDefault="00327951" w:rsidP="00E30437">
      <w:r>
        <w:separator/>
      </w:r>
    </w:p>
  </w:footnote>
  <w:footnote w:type="continuationSeparator" w:id="0">
    <w:p w14:paraId="6185CE6E" w14:textId="77777777" w:rsidR="00327951" w:rsidRDefault="00327951" w:rsidP="00E30437">
      <w:r>
        <w:continuationSeparator/>
      </w:r>
    </w:p>
  </w:footnote>
  <w:footnote w:id="1">
    <w:p w14:paraId="7D14F177" w14:textId="27DC68B0" w:rsidR="00E36A78" w:rsidRPr="002F053D" w:rsidRDefault="00E36A78" w:rsidP="004B1812">
      <w:pPr>
        <w:pStyle w:val="ad"/>
        <w:jc w:val="both"/>
      </w:pPr>
      <w:bookmarkStart w:id="37" w:name="_Hlk117245241"/>
      <w:bookmarkStart w:id="38" w:name="_Hlk117245242"/>
      <w:r w:rsidRPr="00D050C7">
        <w:rPr>
          <w:vertAlign w:val="superscript"/>
        </w:rPr>
        <w:t>1</w:t>
      </w:r>
      <w:r>
        <w:t xml:space="preserve"> </w:t>
      </w:r>
      <w:r w:rsidRPr="002F053D">
        <w:t>Пятибальная шкала, которая используется для оценки общего состояния онкологического больного (Eastern Cooperative Oncology Group) https://ecog-acrin.org/resources/ecog-performance-status/</w:t>
      </w:r>
      <w:r w:rsidRPr="002F053D" w:rsidDel="00800532">
        <w:t xml:space="preserve"> </w:t>
      </w:r>
      <w:bookmarkEnd w:id="37"/>
      <w:bookmarkEnd w:id="38"/>
    </w:p>
  </w:footnote>
  <w:footnote w:id="2">
    <w:p w14:paraId="3AF1BF95" w14:textId="70BEE4D8" w:rsidR="00E36A78" w:rsidRPr="009964DD" w:rsidRDefault="00E36A78" w:rsidP="009964DD">
      <w:pPr>
        <w:pStyle w:val="ab"/>
        <w:spacing w:before="0" w:beforeAutospacing="0"/>
        <w:jc w:val="both"/>
        <w:rPr>
          <w:sz w:val="20"/>
          <w:szCs w:val="20"/>
          <w:lang w:val="en-US"/>
        </w:rPr>
      </w:pPr>
      <w:r w:rsidRPr="00FA040A">
        <w:rPr>
          <w:rStyle w:val="af"/>
          <w:sz w:val="20"/>
          <w:szCs w:val="20"/>
        </w:rPr>
        <w:footnoteRef/>
      </w:r>
      <w:r w:rsidRPr="00FA040A">
        <w:rPr>
          <w:sz w:val="20"/>
          <w:szCs w:val="20"/>
          <w:lang w:val="en-US"/>
        </w:rPr>
        <w:t xml:space="preserve"> </w:t>
      </w:r>
      <w:r w:rsidRPr="00D050C7">
        <w:rPr>
          <w:sz w:val="20"/>
          <w:szCs w:val="20"/>
          <w:lang w:val="en-US"/>
        </w:rPr>
        <w:t xml:space="preserve">Lee L, D’Angelo P, Verbel D, Martinez G, Aluri J, Brimhall D. A randomized, three-treatment, three-period, six-sequence-crossover, single-center, bioequivalence study to evaluate the impact of different 10-mg crystalline forms on the pharmacokinetics of lenvatinib in healthy volunteers. Int J Clin Pharmacol Ther. </w:t>
      </w:r>
      <w:r w:rsidRPr="00D050C7">
        <w:rPr>
          <w:sz w:val="20"/>
          <w:szCs w:val="20"/>
        </w:rPr>
        <w:t>февраль</w:t>
      </w:r>
      <w:r w:rsidRPr="00D050C7">
        <w:rPr>
          <w:sz w:val="20"/>
          <w:szCs w:val="20"/>
          <w:lang w:val="en-US"/>
        </w:rPr>
        <w:t xml:space="preserve"> 2015 </w:t>
      </w:r>
      <w:r w:rsidRPr="00D050C7">
        <w:rPr>
          <w:sz w:val="20"/>
          <w:szCs w:val="20"/>
        </w:rPr>
        <w:t>г</w:t>
      </w:r>
      <w:r w:rsidRPr="00D050C7">
        <w:rPr>
          <w:sz w:val="20"/>
          <w:szCs w:val="20"/>
          <w:lang w:val="en-US"/>
        </w:rPr>
        <w:t>.;53(2):190–8</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E36A78" w:rsidRPr="008C1807" w14:paraId="2042EAC4" w14:textId="77777777" w:rsidTr="00E34EAC">
      <w:tc>
        <w:tcPr>
          <w:tcW w:w="4564" w:type="dxa"/>
          <w:hideMark/>
        </w:tcPr>
        <w:p w14:paraId="2C841E81" w14:textId="77777777" w:rsidR="00E36A78" w:rsidRDefault="00E36A78" w:rsidP="000108BC">
          <w:pPr>
            <w:tabs>
              <w:tab w:val="center" w:pos="4677"/>
              <w:tab w:val="right" w:pos="9355"/>
            </w:tabs>
            <w:jc w:val="left"/>
            <w:rPr>
              <w:rFonts w:eastAsia="Times New Roman"/>
              <w:lang w:eastAsia="en-US"/>
            </w:rPr>
          </w:pPr>
        </w:p>
        <w:p w14:paraId="7C3DA670" w14:textId="77777777" w:rsidR="00E36A78" w:rsidRPr="00D050C7" w:rsidRDefault="00E36A78" w:rsidP="00C81AA5">
          <w:pPr>
            <w:tabs>
              <w:tab w:val="center" w:pos="4677"/>
              <w:tab w:val="right" w:pos="9355"/>
            </w:tabs>
            <w:jc w:val="left"/>
            <w:rPr>
              <w:rFonts w:eastAsia="Times New Roman"/>
              <w:lang w:eastAsia="en-US"/>
            </w:rPr>
          </w:pPr>
          <w:r w:rsidRPr="00D050C7">
            <w:rPr>
              <w:rFonts w:eastAsia="Times New Roman"/>
              <w:szCs w:val="22"/>
              <w:lang w:eastAsia="en-US"/>
            </w:rPr>
            <w:t>Брошюра исследователя</w:t>
          </w:r>
        </w:p>
        <w:p w14:paraId="69469BFF" w14:textId="39A36D03" w:rsidR="00E36A78" w:rsidRPr="00D050C7" w:rsidRDefault="00E36A78" w:rsidP="00A1710A">
          <w:pPr>
            <w:tabs>
              <w:tab w:val="center" w:pos="4677"/>
              <w:tab w:val="right" w:pos="9355"/>
            </w:tabs>
            <w:jc w:val="left"/>
          </w:pPr>
          <w:r w:rsidRPr="00D050C7">
            <w:rPr>
              <w:rFonts w:eastAsia="Times New Roman"/>
              <w:lang w:eastAsia="en-US"/>
            </w:rPr>
            <w:t xml:space="preserve">Номер протокола: </w:t>
          </w:r>
          <w:r w:rsidRPr="00D050C7">
            <w:rPr>
              <w:rFonts w:eastAsia="Calibri"/>
              <w:lang w:val="en-US"/>
            </w:rPr>
            <w:t>CL</w:t>
          </w:r>
          <w:r w:rsidRPr="00D050C7">
            <w:rPr>
              <w:rFonts w:eastAsia="Calibri"/>
            </w:rPr>
            <w:t>011056162</w:t>
          </w:r>
        </w:p>
        <w:p w14:paraId="1A5208CD" w14:textId="2B752423" w:rsidR="00E36A78" w:rsidRPr="00986AA3" w:rsidRDefault="00E36A78" w:rsidP="00A1710A">
          <w:pPr>
            <w:tabs>
              <w:tab w:val="center" w:pos="4677"/>
              <w:tab w:val="right" w:pos="9355"/>
            </w:tabs>
            <w:jc w:val="left"/>
            <w:rPr>
              <w:rFonts w:eastAsia="Times New Roman"/>
              <w:lang w:eastAsia="en-US"/>
            </w:rPr>
          </w:pPr>
          <w:r w:rsidRPr="00D050C7">
            <w:t xml:space="preserve">Спонсор: АО «Р-Фарм», </w:t>
          </w:r>
          <w:r>
            <w:t>Россия</w:t>
          </w:r>
        </w:p>
      </w:tc>
      <w:tc>
        <w:tcPr>
          <w:tcW w:w="5076" w:type="dxa"/>
          <w:hideMark/>
        </w:tcPr>
        <w:p w14:paraId="582861F5" w14:textId="77777777" w:rsidR="00E36A78" w:rsidRPr="008C1807" w:rsidRDefault="00E36A78" w:rsidP="000108BC">
          <w:pPr>
            <w:tabs>
              <w:tab w:val="center" w:pos="4677"/>
              <w:tab w:val="right" w:pos="9355"/>
            </w:tabs>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16"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E36A78" w:rsidRPr="00AB01E2" w:rsidRDefault="00E36A78" w:rsidP="00A26EEC">
    <w:pPr>
      <w:tabs>
        <w:tab w:val="center" w:pos="4677"/>
        <w:tab w:val="right" w:pos="9355"/>
      </w:tabs>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E36A78" w:rsidRDefault="00E36A78" w:rsidP="008A1A8F">
    <w:pPr>
      <w:pStyle w:val="a4"/>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17"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E36A78" w:rsidRDefault="00E36A78">
    <w:pPr>
      <w:pStyle w:val="a4"/>
    </w:pPr>
    <w:r>
      <w:t>BCD-033-2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377"/>
    <w:multiLevelType w:val="hybridMultilevel"/>
    <w:tmpl w:val="31C82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660790"/>
    <w:multiLevelType w:val="hybridMultilevel"/>
    <w:tmpl w:val="C1F42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5B4081"/>
    <w:multiLevelType w:val="hybridMultilevel"/>
    <w:tmpl w:val="D1FAF0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855ACC"/>
    <w:multiLevelType w:val="hybridMultilevel"/>
    <w:tmpl w:val="329611D2"/>
    <w:lvl w:ilvl="0" w:tplc="ED4637E8">
      <w:start w:val="1"/>
      <w:numFmt w:val="decimal"/>
      <w:lvlText w:val="%1."/>
      <w:lvlJc w:val="left"/>
      <w:pPr>
        <w:ind w:left="344" w:hanging="208"/>
      </w:pPr>
      <w:rPr>
        <w:rFonts w:ascii="Cambria" w:eastAsia="Cambria" w:hAnsi="Cambria" w:cs="Cambria" w:hint="default"/>
        <w:b w:val="0"/>
        <w:bCs w:val="0"/>
        <w:i w:val="0"/>
        <w:iCs w:val="0"/>
        <w:spacing w:val="-1"/>
        <w:w w:val="94"/>
        <w:sz w:val="21"/>
        <w:szCs w:val="21"/>
        <w:lang w:val="ru-RU" w:eastAsia="en-US" w:bidi="ar-SA"/>
      </w:rPr>
    </w:lvl>
    <w:lvl w:ilvl="1" w:tplc="0A08104E">
      <w:numFmt w:val="bullet"/>
      <w:lvlText w:val="•"/>
      <w:lvlJc w:val="left"/>
      <w:pPr>
        <w:ind w:left="807" w:hanging="208"/>
      </w:pPr>
      <w:rPr>
        <w:rFonts w:hint="default"/>
        <w:lang w:val="ru-RU" w:eastAsia="en-US" w:bidi="ar-SA"/>
      </w:rPr>
    </w:lvl>
    <w:lvl w:ilvl="2" w:tplc="C4DCBD32">
      <w:numFmt w:val="bullet"/>
      <w:lvlText w:val="•"/>
      <w:lvlJc w:val="left"/>
      <w:pPr>
        <w:ind w:left="1274" w:hanging="208"/>
      </w:pPr>
      <w:rPr>
        <w:rFonts w:hint="default"/>
        <w:lang w:val="ru-RU" w:eastAsia="en-US" w:bidi="ar-SA"/>
      </w:rPr>
    </w:lvl>
    <w:lvl w:ilvl="3" w:tplc="D9E24E66">
      <w:numFmt w:val="bullet"/>
      <w:lvlText w:val="•"/>
      <w:lvlJc w:val="left"/>
      <w:pPr>
        <w:ind w:left="1742" w:hanging="208"/>
      </w:pPr>
      <w:rPr>
        <w:rFonts w:hint="default"/>
        <w:lang w:val="ru-RU" w:eastAsia="en-US" w:bidi="ar-SA"/>
      </w:rPr>
    </w:lvl>
    <w:lvl w:ilvl="4" w:tplc="20BAECFC">
      <w:numFmt w:val="bullet"/>
      <w:lvlText w:val="•"/>
      <w:lvlJc w:val="left"/>
      <w:pPr>
        <w:ind w:left="2209" w:hanging="208"/>
      </w:pPr>
      <w:rPr>
        <w:rFonts w:hint="default"/>
        <w:lang w:val="ru-RU" w:eastAsia="en-US" w:bidi="ar-SA"/>
      </w:rPr>
    </w:lvl>
    <w:lvl w:ilvl="5" w:tplc="1A988F8C">
      <w:numFmt w:val="bullet"/>
      <w:lvlText w:val="•"/>
      <w:lvlJc w:val="left"/>
      <w:pPr>
        <w:ind w:left="2677" w:hanging="208"/>
      </w:pPr>
      <w:rPr>
        <w:rFonts w:hint="default"/>
        <w:lang w:val="ru-RU" w:eastAsia="en-US" w:bidi="ar-SA"/>
      </w:rPr>
    </w:lvl>
    <w:lvl w:ilvl="6" w:tplc="9B1280BA">
      <w:numFmt w:val="bullet"/>
      <w:lvlText w:val="•"/>
      <w:lvlJc w:val="left"/>
      <w:pPr>
        <w:ind w:left="3144" w:hanging="208"/>
      </w:pPr>
      <w:rPr>
        <w:rFonts w:hint="default"/>
        <w:lang w:val="ru-RU" w:eastAsia="en-US" w:bidi="ar-SA"/>
      </w:rPr>
    </w:lvl>
    <w:lvl w:ilvl="7" w:tplc="D482030C">
      <w:numFmt w:val="bullet"/>
      <w:lvlText w:val="•"/>
      <w:lvlJc w:val="left"/>
      <w:pPr>
        <w:ind w:left="3611" w:hanging="208"/>
      </w:pPr>
      <w:rPr>
        <w:rFonts w:hint="default"/>
        <w:lang w:val="ru-RU" w:eastAsia="en-US" w:bidi="ar-SA"/>
      </w:rPr>
    </w:lvl>
    <w:lvl w:ilvl="8" w:tplc="5788938E">
      <w:numFmt w:val="bullet"/>
      <w:lvlText w:val="•"/>
      <w:lvlJc w:val="left"/>
      <w:pPr>
        <w:ind w:left="4079" w:hanging="208"/>
      </w:pPr>
      <w:rPr>
        <w:rFonts w:hint="default"/>
        <w:lang w:val="ru-RU" w:eastAsia="en-US" w:bidi="ar-SA"/>
      </w:rPr>
    </w:lvl>
  </w:abstractNum>
  <w:abstractNum w:abstractNumId="5" w15:restartNumberingAfterBreak="0">
    <w:nsid w:val="099F4F58"/>
    <w:multiLevelType w:val="hybridMultilevel"/>
    <w:tmpl w:val="3AFE7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212827"/>
    <w:multiLevelType w:val="hybridMultilevel"/>
    <w:tmpl w:val="11FC7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6C32A4"/>
    <w:multiLevelType w:val="hybridMultilevel"/>
    <w:tmpl w:val="072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E24BC0"/>
    <w:multiLevelType w:val="multilevel"/>
    <w:tmpl w:val="A14ECC90"/>
    <w:lvl w:ilvl="0">
      <w:start w:val="3"/>
      <w:numFmt w:val="decimal"/>
      <w:lvlText w:val="%1"/>
      <w:lvlJc w:val="left"/>
      <w:pPr>
        <w:ind w:left="660" w:hanging="660"/>
      </w:pPr>
      <w:rPr>
        <w:rFonts w:hint="default"/>
        <w:b w:val="0"/>
        <w:color w:val="000000" w:themeColor="text1"/>
      </w:rPr>
    </w:lvl>
    <w:lvl w:ilvl="1">
      <w:start w:val="3"/>
      <w:numFmt w:val="decimal"/>
      <w:lvlText w:val="%1.%2"/>
      <w:lvlJc w:val="left"/>
      <w:pPr>
        <w:ind w:left="849" w:hanging="660"/>
      </w:pPr>
      <w:rPr>
        <w:rFonts w:hint="default"/>
        <w:b w:val="0"/>
        <w:color w:val="000000" w:themeColor="text1"/>
      </w:rPr>
    </w:lvl>
    <w:lvl w:ilvl="2">
      <w:start w:val="8"/>
      <w:numFmt w:val="decimal"/>
      <w:lvlText w:val="%1.%2.%3"/>
      <w:lvlJc w:val="left"/>
      <w:pPr>
        <w:ind w:left="1098" w:hanging="720"/>
      </w:pPr>
      <w:rPr>
        <w:rFonts w:hint="default"/>
        <w:b w:val="0"/>
        <w:color w:val="000000" w:themeColor="text1"/>
      </w:rPr>
    </w:lvl>
    <w:lvl w:ilvl="3">
      <w:start w:val="2"/>
      <w:numFmt w:val="decimal"/>
      <w:lvlText w:val="%1.%2.%3.%4"/>
      <w:lvlJc w:val="left"/>
      <w:pPr>
        <w:ind w:left="1287" w:hanging="720"/>
      </w:pPr>
      <w:rPr>
        <w:rFonts w:hint="default"/>
        <w:b w:val="0"/>
        <w:color w:val="000000" w:themeColor="text1"/>
      </w:rPr>
    </w:lvl>
    <w:lvl w:ilvl="4">
      <w:start w:val="1"/>
      <w:numFmt w:val="decimal"/>
      <w:lvlText w:val="%1.%2.%3.%4.%5"/>
      <w:lvlJc w:val="left"/>
      <w:pPr>
        <w:ind w:left="1836" w:hanging="1080"/>
      </w:pPr>
      <w:rPr>
        <w:rFonts w:hint="default"/>
        <w:b w:val="0"/>
        <w:color w:val="000000" w:themeColor="text1"/>
      </w:rPr>
    </w:lvl>
    <w:lvl w:ilvl="5">
      <w:start w:val="1"/>
      <w:numFmt w:val="decimal"/>
      <w:lvlText w:val="%1.%2.%3.%4.%5.%6"/>
      <w:lvlJc w:val="left"/>
      <w:pPr>
        <w:ind w:left="2025" w:hanging="1080"/>
      </w:pPr>
      <w:rPr>
        <w:rFonts w:hint="default"/>
        <w:b w:val="0"/>
        <w:color w:val="000000" w:themeColor="text1"/>
      </w:rPr>
    </w:lvl>
    <w:lvl w:ilvl="6">
      <w:start w:val="1"/>
      <w:numFmt w:val="decimal"/>
      <w:lvlText w:val="%1.%2.%3.%4.%5.%6.%7"/>
      <w:lvlJc w:val="left"/>
      <w:pPr>
        <w:ind w:left="2574" w:hanging="1440"/>
      </w:pPr>
      <w:rPr>
        <w:rFonts w:hint="default"/>
        <w:b w:val="0"/>
        <w:color w:val="000000" w:themeColor="text1"/>
      </w:rPr>
    </w:lvl>
    <w:lvl w:ilvl="7">
      <w:start w:val="1"/>
      <w:numFmt w:val="decimal"/>
      <w:lvlText w:val="%1.%2.%3.%4.%5.%6.%7.%8"/>
      <w:lvlJc w:val="left"/>
      <w:pPr>
        <w:ind w:left="2763" w:hanging="1440"/>
      </w:pPr>
      <w:rPr>
        <w:rFonts w:hint="default"/>
        <w:b w:val="0"/>
        <w:color w:val="000000" w:themeColor="text1"/>
      </w:rPr>
    </w:lvl>
    <w:lvl w:ilvl="8">
      <w:start w:val="1"/>
      <w:numFmt w:val="decimal"/>
      <w:lvlText w:val="%1.%2.%3.%4.%5.%6.%7.%8.%9"/>
      <w:lvlJc w:val="left"/>
      <w:pPr>
        <w:ind w:left="3312" w:hanging="1800"/>
      </w:pPr>
      <w:rPr>
        <w:rFonts w:hint="default"/>
        <w:b w:val="0"/>
        <w:color w:val="000000" w:themeColor="text1"/>
      </w:rPr>
    </w:lvl>
  </w:abstractNum>
  <w:abstractNum w:abstractNumId="9"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3D3602"/>
    <w:multiLevelType w:val="hybridMultilevel"/>
    <w:tmpl w:val="63289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A9483F"/>
    <w:multiLevelType w:val="hybridMultilevel"/>
    <w:tmpl w:val="933CC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7D0D65"/>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DD9286A"/>
    <w:multiLevelType w:val="hybridMultilevel"/>
    <w:tmpl w:val="746E2A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527B14"/>
    <w:multiLevelType w:val="hybridMultilevel"/>
    <w:tmpl w:val="746E2A3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40720AC3"/>
    <w:multiLevelType w:val="hybridMultilevel"/>
    <w:tmpl w:val="3222C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6138F3"/>
    <w:multiLevelType w:val="hybridMultilevel"/>
    <w:tmpl w:val="0E38E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9852CA"/>
    <w:multiLevelType w:val="hybridMultilevel"/>
    <w:tmpl w:val="E4567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3D57300"/>
    <w:multiLevelType w:val="hybridMultilevel"/>
    <w:tmpl w:val="1A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47EE4A6F"/>
    <w:multiLevelType w:val="hybridMultilevel"/>
    <w:tmpl w:val="746E2A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FC75DF5"/>
    <w:multiLevelType w:val="hybridMultilevel"/>
    <w:tmpl w:val="BA3AB3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1A31B2E"/>
    <w:multiLevelType w:val="hybridMultilevel"/>
    <w:tmpl w:val="CA9AFF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6095109"/>
    <w:multiLevelType w:val="hybridMultilevel"/>
    <w:tmpl w:val="1E60B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B143EC"/>
    <w:multiLevelType w:val="hybridMultilevel"/>
    <w:tmpl w:val="EAAE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9" w15:restartNumberingAfterBreak="0">
    <w:nsid w:val="5AA366FD"/>
    <w:multiLevelType w:val="hybridMultilevel"/>
    <w:tmpl w:val="6F847A3E"/>
    <w:lvl w:ilvl="0" w:tplc="1A62952C">
      <w:numFmt w:val="bullet"/>
      <w:lvlText w:val="•"/>
      <w:lvlJc w:val="left"/>
      <w:pPr>
        <w:ind w:left="855" w:hanging="363"/>
      </w:pPr>
      <w:rPr>
        <w:rFonts w:ascii="Times New Roman" w:eastAsia="Times New Roman" w:hAnsi="Times New Roman" w:cs="Times New Roman" w:hint="default"/>
        <w:b w:val="0"/>
        <w:bCs w:val="0"/>
        <w:i w:val="0"/>
        <w:iCs w:val="0"/>
        <w:w w:val="93"/>
        <w:sz w:val="23"/>
        <w:szCs w:val="23"/>
        <w:lang w:val="ru-RU" w:eastAsia="en-US" w:bidi="ar-SA"/>
      </w:rPr>
    </w:lvl>
    <w:lvl w:ilvl="1" w:tplc="2F60FB68">
      <w:numFmt w:val="bullet"/>
      <w:lvlText w:val="•"/>
      <w:lvlJc w:val="left"/>
      <w:pPr>
        <w:ind w:left="1023" w:hanging="363"/>
      </w:pPr>
      <w:rPr>
        <w:rFonts w:hint="default"/>
        <w:lang w:val="ru-RU" w:eastAsia="en-US" w:bidi="ar-SA"/>
      </w:rPr>
    </w:lvl>
    <w:lvl w:ilvl="2" w:tplc="59AA545C">
      <w:numFmt w:val="bullet"/>
      <w:lvlText w:val="•"/>
      <w:lvlJc w:val="left"/>
      <w:pPr>
        <w:ind w:left="1187" w:hanging="363"/>
      </w:pPr>
      <w:rPr>
        <w:rFonts w:hint="default"/>
        <w:lang w:val="ru-RU" w:eastAsia="en-US" w:bidi="ar-SA"/>
      </w:rPr>
    </w:lvl>
    <w:lvl w:ilvl="3" w:tplc="A412AEAE">
      <w:numFmt w:val="bullet"/>
      <w:lvlText w:val="•"/>
      <w:lvlJc w:val="left"/>
      <w:pPr>
        <w:ind w:left="1351" w:hanging="363"/>
      </w:pPr>
      <w:rPr>
        <w:rFonts w:hint="default"/>
        <w:lang w:val="ru-RU" w:eastAsia="en-US" w:bidi="ar-SA"/>
      </w:rPr>
    </w:lvl>
    <w:lvl w:ilvl="4" w:tplc="D4E6F992">
      <w:numFmt w:val="bullet"/>
      <w:lvlText w:val="•"/>
      <w:lvlJc w:val="left"/>
      <w:pPr>
        <w:ind w:left="1514" w:hanging="363"/>
      </w:pPr>
      <w:rPr>
        <w:rFonts w:hint="default"/>
        <w:lang w:val="ru-RU" w:eastAsia="en-US" w:bidi="ar-SA"/>
      </w:rPr>
    </w:lvl>
    <w:lvl w:ilvl="5" w:tplc="063A1B46">
      <w:numFmt w:val="bullet"/>
      <w:lvlText w:val="•"/>
      <w:lvlJc w:val="left"/>
      <w:pPr>
        <w:ind w:left="1678" w:hanging="363"/>
      </w:pPr>
      <w:rPr>
        <w:rFonts w:hint="default"/>
        <w:lang w:val="ru-RU" w:eastAsia="en-US" w:bidi="ar-SA"/>
      </w:rPr>
    </w:lvl>
    <w:lvl w:ilvl="6" w:tplc="CD1E9BE6">
      <w:numFmt w:val="bullet"/>
      <w:lvlText w:val="•"/>
      <w:lvlJc w:val="left"/>
      <w:pPr>
        <w:ind w:left="1842" w:hanging="363"/>
      </w:pPr>
      <w:rPr>
        <w:rFonts w:hint="default"/>
        <w:lang w:val="ru-RU" w:eastAsia="en-US" w:bidi="ar-SA"/>
      </w:rPr>
    </w:lvl>
    <w:lvl w:ilvl="7" w:tplc="5EB6D85E">
      <w:numFmt w:val="bullet"/>
      <w:lvlText w:val="•"/>
      <w:lvlJc w:val="left"/>
      <w:pPr>
        <w:ind w:left="2005" w:hanging="363"/>
      </w:pPr>
      <w:rPr>
        <w:rFonts w:hint="default"/>
        <w:lang w:val="ru-RU" w:eastAsia="en-US" w:bidi="ar-SA"/>
      </w:rPr>
    </w:lvl>
    <w:lvl w:ilvl="8" w:tplc="31C25AB0">
      <w:numFmt w:val="bullet"/>
      <w:lvlText w:val="•"/>
      <w:lvlJc w:val="left"/>
      <w:pPr>
        <w:ind w:left="2169" w:hanging="363"/>
      </w:pPr>
      <w:rPr>
        <w:rFonts w:hint="default"/>
        <w:lang w:val="ru-RU" w:eastAsia="en-US" w:bidi="ar-SA"/>
      </w:rPr>
    </w:lvl>
  </w:abstractNum>
  <w:abstractNum w:abstractNumId="30" w15:restartNumberingAfterBreak="0">
    <w:nsid w:val="5BE93A62"/>
    <w:multiLevelType w:val="hybridMultilevel"/>
    <w:tmpl w:val="40AC83B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E570C6D"/>
    <w:multiLevelType w:val="multilevel"/>
    <w:tmpl w:val="DC624F2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4253B94"/>
    <w:multiLevelType w:val="hybridMultilevel"/>
    <w:tmpl w:val="A99AF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7190559"/>
    <w:multiLevelType w:val="hybridMultilevel"/>
    <w:tmpl w:val="8EDAD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72F49DE"/>
    <w:multiLevelType w:val="hybridMultilevel"/>
    <w:tmpl w:val="27880A6A"/>
    <w:lvl w:ilvl="0" w:tplc="D5AA593A">
      <w:numFmt w:val="bullet"/>
      <w:lvlText w:val="•"/>
      <w:lvlJc w:val="left"/>
      <w:pPr>
        <w:ind w:left="860" w:hanging="368"/>
      </w:pPr>
      <w:rPr>
        <w:rFonts w:ascii="Times New Roman" w:eastAsia="Times New Roman" w:hAnsi="Times New Roman" w:cs="Times New Roman" w:hint="default"/>
        <w:b w:val="0"/>
        <w:bCs w:val="0"/>
        <w:i w:val="0"/>
        <w:iCs w:val="0"/>
        <w:color w:val="080808"/>
        <w:w w:val="94"/>
        <w:sz w:val="23"/>
        <w:szCs w:val="23"/>
        <w:lang w:val="ru-RU" w:eastAsia="en-US" w:bidi="ar-SA"/>
      </w:rPr>
    </w:lvl>
    <w:lvl w:ilvl="1" w:tplc="619E5088">
      <w:numFmt w:val="bullet"/>
      <w:lvlText w:val="•"/>
      <w:lvlJc w:val="left"/>
      <w:pPr>
        <w:ind w:left="1023" w:hanging="368"/>
      </w:pPr>
      <w:rPr>
        <w:rFonts w:hint="default"/>
        <w:lang w:val="ru-RU" w:eastAsia="en-US" w:bidi="ar-SA"/>
      </w:rPr>
    </w:lvl>
    <w:lvl w:ilvl="2" w:tplc="FAE0F502">
      <w:numFmt w:val="bullet"/>
      <w:lvlText w:val="•"/>
      <w:lvlJc w:val="left"/>
      <w:pPr>
        <w:ind w:left="1187" w:hanging="368"/>
      </w:pPr>
      <w:rPr>
        <w:rFonts w:hint="default"/>
        <w:lang w:val="ru-RU" w:eastAsia="en-US" w:bidi="ar-SA"/>
      </w:rPr>
    </w:lvl>
    <w:lvl w:ilvl="3" w:tplc="F3A8F3E6">
      <w:numFmt w:val="bullet"/>
      <w:lvlText w:val="•"/>
      <w:lvlJc w:val="left"/>
      <w:pPr>
        <w:ind w:left="1351" w:hanging="368"/>
      </w:pPr>
      <w:rPr>
        <w:rFonts w:hint="default"/>
        <w:lang w:val="ru-RU" w:eastAsia="en-US" w:bidi="ar-SA"/>
      </w:rPr>
    </w:lvl>
    <w:lvl w:ilvl="4" w:tplc="6C14C420">
      <w:numFmt w:val="bullet"/>
      <w:lvlText w:val="•"/>
      <w:lvlJc w:val="left"/>
      <w:pPr>
        <w:ind w:left="1514" w:hanging="368"/>
      </w:pPr>
      <w:rPr>
        <w:rFonts w:hint="default"/>
        <w:lang w:val="ru-RU" w:eastAsia="en-US" w:bidi="ar-SA"/>
      </w:rPr>
    </w:lvl>
    <w:lvl w:ilvl="5" w:tplc="B72474C8">
      <w:numFmt w:val="bullet"/>
      <w:lvlText w:val="•"/>
      <w:lvlJc w:val="left"/>
      <w:pPr>
        <w:ind w:left="1678" w:hanging="368"/>
      </w:pPr>
      <w:rPr>
        <w:rFonts w:hint="default"/>
        <w:lang w:val="ru-RU" w:eastAsia="en-US" w:bidi="ar-SA"/>
      </w:rPr>
    </w:lvl>
    <w:lvl w:ilvl="6" w:tplc="9F42551C">
      <w:numFmt w:val="bullet"/>
      <w:lvlText w:val="•"/>
      <w:lvlJc w:val="left"/>
      <w:pPr>
        <w:ind w:left="1842" w:hanging="368"/>
      </w:pPr>
      <w:rPr>
        <w:rFonts w:hint="default"/>
        <w:lang w:val="ru-RU" w:eastAsia="en-US" w:bidi="ar-SA"/>
      </w:rPr>
    </w:lvl>
    <w:lvl w:ilvl="7" w:tplc="63788ED6">
      <w:numFmt w:val="bullet"/>
      <w:lvlText w:val="•"/>
      <w:lvlJc w:val="left"/>
      <w:pPr>
        <w:ind w:left="2005" w:hanging="368"/>
      </w:pPr>
      <w:rPr>
        <w:rFonts w:hint="default"/>
        <w:lang w:val="ru-RU" w:eastAsia="en-US" w:bidi="ar-SA"/>
      </w:rPr>
    </w:lvl>
    <w:lvl w:ilvl="8" w:tplc="383265D4">
      <w:numFmt w:val="bullet"/>
      <w:lvlText w:val="•"/>
      <w:lvlJc w:val="left"/>
      <w:pPr>
        <w:ind w:left="2169" w:hanging="368"/>
      </w:pPr>
      <w:rPr>
        <w:rFonts w:hint="default"/>
        <w:lang w:val="ru-RU" w:eastAsia="en-US" w:bidi="ar-SA"/>
      </w:rPr>
    </w:lvl>
  </w:abstractNum>
  <w:abstractNum w:abstractNumId="35" w15:restartNumberingAfterBreak="0">
    <w:nsid w:val="6F1A07C5"/>
    <w:multiLevelType w:val="hybridMultilevel"/>
    <w:tmpl w:val="84622C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F2B188D"/>
    <w:multiLevelType w:val="hybridMultilevel"/>
    <w:tmpl w:val="1040A72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7" w15:restartNumberingAfterBreak="0">
    <w:nsid w:val="76684F47"/>
    <w:multiLevelType w:val="multilevel"/>
    <w:tmpl w:val="DBF49EF2"/>
    <w:lvl w:ilvl="0">
      <w:start w:val="1"/>
      <w:numFmt w:val="decimal"/>
      <w:pStyle w:val="10"/>
      <w:lvlText w:val="%1."/>
      <w:lvlJc w:val="left"/>
      <w:pPr>
        <w:ind w:left="1778" w:hanging="360"/>
      </w:pPr>
      <w:rPr>
        <w:rFonts w:hint="default"/>
      </w:rPr>
    </w:lvl>
    <w:lvl w:ilvl="1">
      <w:start w:val="1"/>
      <w:numFmt w:val="decimal"/>
      <w:pStyle w:val="11"/>
      <w:lvlText w:val="%1.%2."/>
      <w:lvlJc w:val="left"/>
      <w:pPr>
        <w:ind w:left="432" w:hanging="432"/>
      </w:pPr>
      <w:rPr>
        <w:rFonts w:hint="default"/>
      </w:rPr>
    </w:lvl>
    <w:lvl w:ilvl="2">
      <w:start w:val="4"/>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9200E6"/>
    <w:multiLevelType w:val="hybridMultilevel"/>
    <w:tmpl w:val="2C3E94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8826E51"/>
    <w:multiLevelType w:val="hybridMultilevel"/>
    <w:tmpl w:val="BA62E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690A40"/>
    <w:multiLevelType w:val="hybridMultilevel"/>
    <w:tmpl w:val="E99EE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E4C6F92"/>
    <w:multiLevelType w:val="hybridMultilevel"/>
    <w:tmpl w:val="F2F67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2"/>
  </w:num>
  <w:num w:numId="6">
    <w:abstractNumId w:val="15"/>
  </w:num>
  <w:num w:numId="7">
    <w:abstractNumId w:val="41"/>
  </w:num>
  <w:num w:numId="8">
    <w:abstractNumId w:val="10"/>
  </w:num>
  <w:num w:numId="9">
    <w:abstractNumId w:val="3"/>
  </w:num>
  <w:num w:numId="10">
    <w:abstractNumId w:val="19"/>
  </w:num>
  <w:num w:numId="11">
    <w:abstractNumId w:val="33"/>
  </w:num>
  <w:num w:numId="12">
    <w:abstractNumId w:val="0"/>
  </w:num>
  <w:num w:numId="13">
    <w:abstractNumId w:val="7"/>
  </w:num>
  <w:num w:numId="14">
    <w:abstractNumId w:val="27"/>
  </w:num>
  <w:num w:numId="15">
    <w:abstractNumId w:val="30"/>
  </w:num>
  <w:num w:numId="16">
    <w:abstractNumId w:val="8"/>
  </w:num>
  <w:num w:numId="17">
    <w:abstractNumId w:val="6"/>
  </w:num>
  <w:num w:numId="18">
    <w:abstractNumId w:val="31"/>
  </w:num>
  <w:num w:numId="19">
    <w:abstractNumId w:val="24"/>
  </w:num>
  <w:num w:numId="20">
    <w:abstractNumId w:val="40"/>
  </w:num>
  <w:num w:numId="21">
    <w:abstractNumId w:val="21"/>
  </w:num>
  <w:num w:numId="22">
    <w:abstractNumId w:val="11"/>
  </w:num>
  <w:num w:numId="23">
    <w:abstractNumId w:val="14"/>
  </w:num>
  <w:num w:numId="24">
    <w:abstractNumId w:val="26"/>
  </w:num>
  <w:num w:numId="25">
    <w:abstractNumId w:val="39"/>
  </w:num>
  <w:num w:numId="26">
    <w:abstractNumId w:val="36"/>
  </w:num>
  <w:num w:numId="27">
    <w:abstractNumId w:val="1"/>
  </w:num>
  <w:num w:numId="28">
    <w:abstractNumId w:val="32"/>
  </w:num>
  <w:num w:numId="29">
    <w:abstractNumId w:val="34"/>
  </w:num>
  <w:num w:numId="30">
    <w:abstractNumId w:val="29"/>
  </w:num>
  <w:num w:numId="31">
    <w:abstractNumId w:val="4"/>
  </w:num>
  <w:num w:numId="32">
    <w:abstractNumId w:val="13"/>
  </w:num>
  <w:num w:numId="33">
    <w:abstractNumId w:val="5"/>
  </w:num>
  <w:num w:numId="34">
    <w:abstractNumId w:val="42"/>
  </w:num>
  <w:num w:numId="35">
    <w:abstractNumId w:val="18"/>
  </w:num>
  <w:num w:numId="36">
    <w:abstractNumId w:val="25"/>
  </w:num>
  <w:num w:numId="37">
    <w:abstractNumId w:val="38"/>
  </w:num>
  <w:num w:numId="38">
    <w:abstractNumId w:val="23"/>
  </w:num>
  <w:num w:numId="39">
    <w:abstractNumId w:val="17"/>
  </w:num>
  <w:num w:numId="40">
    <w:abstractNumId w:val="20"/>
  </w:num>
  <w:num w:numId="41">
    <w:abstractNumId w:val="35"/>
  </w:num>
  <w:num w:numId="42">
    <w:abstractNumId w:val="2"/>
  </w:num>
  <w:num w:numId="4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47D"/>
    <w:rsid w:val="00001690"/>
    <w:rsid w:val="00001B0B"/>
    <w:rsid w:val="00001BDB"/>
    <w:rsid w:val="00001C4E"/>
    <w:rsid w:val="00002443"/>
    <w:rsid w:val="000027F0"/>
    <w:rsid w:val="00002B8B"/>
    <w:rsid w:val="000033BF"/>
    <w:rsid w:val="00004522"/>
    <w:rsid w:val="0000471C"/>
    <w:rsid w:val="000050B9"/>
    <w:rsid w:val="000054E2"/>
    <w:rsid w:val="00005644"/>
    <w:rsid w:val="00005E88"/>
    <w:rsid w:val="00006059"/>
    <w:rsid w:val="00006DD4"/>
    <w:rsid w:val="00007879"/>
    <w:rsid w:val="000108BC"/>
    <w:rsid w:val="000125BA"/>
    <w:rsid w:val="0001273E"/>
    <w:rsid w:val="00012B14"/>
    <w:rsid w:val="000139E5"/>
    <w:rsid w:val="00014CAE"/>
    <w:rsid w:val="00014DB5"/>
    <w:rsid w:val="00015441"/>
    <w:rsid w:val="0001594F"/>
    <w:rsid w:val="00015DE8"/>
    <w:rsid w:val="00015E92"/>
    <w:rsid w:val="00015FB5"/>
    <w:rsid w:val="00016286"/>
    <w:rsid w:val="00016423"/>
    <w:rsid w:val="00016AD7"/>
    <w:rsid w:val="0002045C"/>
    <w:rsid w:val="000204DF"/>
    <w:rsid w:val="00021CB7"/>
    <w:rsid w:val="000222E6"/>
    <w:rsid w:val="0002268A"/>
    <w:rsid w:val="000227F4"/>
    <w:rsid w:val="000232D1"/>
    <w:rsid w:val="0002347F"/>
    <w:rsid w:val="000236FF"/>
    <w:rsid w:val="00023835"/>
    <w:rsid w:val="00023A8A"/>
    <w:rsid w:val="00023B50"/>
    <w:rsid w:val="0002540B"/>
    <w:rsid w:val="0002546E"/>
    <w:rsid w:val="00026755"/>
    <w:rsid w:val="00026CE6"/>
    <w:rsid w:val="000275F3"/>
    <w:rsid w:val="00027CCE"/>
    <w:rsid w:val="00031B65"/>
    <w:rsid w:val="000322DD"/>
    <w:rsid w:val="00032826"/>
    <w:rsid w:val="0003322F"/>
    <w:rsid w:val="000335ED"/>
    <w:rsid w:val="000337C1"/>
    <w:rsid w:val="00033D39"/>
    <w:rsid w:val="00033D6B"/>
    <w:rsid w:val="00034136"/>
    <w:rsid w:val="00034298"/>
    <w:rsid w:val="0003513C"/>
    <w:rsid w:val="000351D9"/>
    <w:rsid w:val="0003556A"/>
    <w:rsid w:val="000356E4"/>
    <w:rsid w:val="00035FD8"/>
    <w:rsid w:val="0003611D"/>
    <w:rsid w:val="00036506"/>
    <w:rsid w:val="000371C1"/>
    <w:rsid w:val="00037364"/>
    <w:rsid w:val="000379C5"/>
    <w:rsid w:val="00040004"/>
    <w:rsid w:val="00040485"/>
    <w:rsid w:val="000407C8"/>
    <w:rsid w:val="000407F9"/>
    <w:rsid w:val="0004095C"/>
    <w:rsid w:val="00040AD6"/>
    <w:rsid w:val="00040BAF"/>
    <w:rsid w:val="00040BFF"/>
    <w:rsid w:val="00040F40"/>
    <w:rsid w:val="000418CA"/>
    <w:rsid w:val="00041FBD"/>
    <w:rsid w:val="0004213E"/>
    <w:rsid w:val="0004220D"/>
    <w:rsid w:val="00042226"/>
    <w:rsid w:val="0004243C"/>
    <w:rsid w:val="0004273B"/>
    <w:rsid w:val="0004297C"/>
    <w:rsid w:val="00042B37"/>
    <w:rsid w:val="00042E1D"/>
    <w:rsid w:val="0004378C"/>
    <w:rsid w:val="0004381C"/>
    <w:rsid w:val="000438D5"/>
    <w:rsid w:val="00043A77"/>
    <w:rsid w:val="00043D31"/>
    <w:rsid w:val="00044D6C"/>
    <w:rsid w:val="00044EE2"/>
    <w:rsid w:val="00045CA8"/>
    <w:rsid w:val="0004606D"/>
    <w:rsid w:val="00046149"/>
    <w:rsid w:val="00046160"/>
    <w:rsid w:val="00046717"/>
    <w:rsid w:val="00046FB8"/>
    <w:rsid w:val="00047FE3"/>
    <w:rsid w:val="0005124B"/>
    <w:rsid w:val="0005153E"/>
    <w:rsid w:val="00052E18"/>
    <w:rsid w:val="00052E9A"/>
    <w:rsid w:val="00052EB1"/>
    <w:rsid w:val="00053099"/>
    <w:rsid w:val="000530A0"/>
    <w:rsid w:val="00054352"/>
    <w:rsid w:val="0005465B"/>
    <w:rsid w:val="00054ACA"/>
    <w:rsid w:val="00054B3C"/>
    <w:rsid w:val="00054E11"/>
    <w:rsid w:val="00055713"/>
    <w:rsid w:val="00055777"/>
    <w:rsid w:val="0005765D"/>
    <w:rsid w:val="000607F0"/>
    <w:rsid w:val="000608D8"/>
    <w:rsid w:val="00060E9F"/>
    <w:rsid w:val="0006109A"/>
    <w:rsid w:val="00061F02"/>
    <w:rsid w:val="0006251A"/>
    <w:rsid w:val="00062C0D"/>
    <w:rsid w:val="000635FB"/>
    <w:rsid w:val="000638C1"/>
    <w:rsid w:val="00063E7F"/>
    <w:rsid w:val="000644D0"/>
    <w:rsid w:val="000650AA"/>
    <w:rsid w:val="00065D44"/>
    <w:rsid w:val="00066301"/>
    <w:rsid w:val="00066A6D"/>
    <w:rsid w:val="00066B07"/>
    <w:rsid w:val="0006721D"/>
    <w:rsid w:val="00067FE5"/>
    <w:rsid w:val="000712C9"/>
    <w:rsid w:val="0007201B"/>
    <w:rsid w:val="000720DC"/>
    <w:rsid w:val="0007225C"/>
    <w:rsid w:val="00072D73"/>
    <w:rsid w:val="00073106"/>
    <w:rsid w:val="00074723"/>
    <w:rsid w:val="00074952"/>
    <w:rsid w:val="000750AC"/>
    <w:rsid w:val="00075C1F"/>
    <w:rsid w:val="00076B6B"/>
    <w:rsid w:val="000774CA"/>
    <w:rsid w:val="00077C10"/>
    <w:rsid w:val="00077C26"/>
    <w:rsid w:val="00077E57"/>
    <w:rsid w:val="00080168"/>
    <w:rsid w:val="00080229"/>
    <w:rsid w:val="000804A1"/>
    <w:rsid w:val="000814C6"/>
    <w:rsid w:val="00081D65"/>
    <w:rsid w:val="000825B2"/>
    <w:rsid w:val="00082DE6"/>
    <w:rsid w:val="0008318B"/>
    <w:rsid w:val="00083F9D"/>
    <w:rsid w:val="0008437E"/>
    <w:rsid w:val="000846A0"/>
    <w:rsid w:val="00085301"/>
    <w:rsid w:val="00085629"/>
    <w:rsid w:val="000865CF"/>
    <w:rsid w:val="00086C50"/>
    <w:rsid w:val="00086DF0"/>
    <w:rsid w:val="00087425"/>
    <w:rsid w:val="000875C9"/>
    <w:rsid w:val="00087856"/>
    <w:rsid w:val="00087A74"/>
    <w:rsid w:val="00087ADC"/>
    <w:rsid w:val="00087AE6"/>
    <w:rsid w:val="00087E16"/>
    <w:rsid w:val="000901F1"/>
    <w:rsid w:val="00090FF9"/>
    <w:rsid w:val="00091004"/>
    <w:rsid w:val="00091E18"/>
    <w:rsid w:val="00092835"/>
    <w:rsid w:val="0009294A"/>
    <w:rsid w:val="00093197"/>
    <w:rsid w:val="00094508"/>
    <w:rsid w:val="0009455B"/>
    <w:rsid w:val="00094BA7"/>
    <w:rsid w:val="00094E98"/>
    <w:rsid w:val="0009565A"/>
    <w:rsid w:val="000958E0"/>
    <w:rsid w:val="000958ED"/>
    <w:rsid w:val="00095D49"/>
    <w:rsid w:val="0009648F"/>
    <w:rsid w:val="00096CCC"/>
    <w:rsid w:val="000971D1"/>
    <w:rsid w:val="00097512"/>
    <w:rsid w:val="000977B3"/>
    <w:rsid w:val="000978CB"/>
    <w:rsid w:val="00097A53"/>
    <w:rsid w:val="00097F8A"/>
    <w:rsid w:val="00097F8F"/>
    <w:rsid w:val="000A0E3B"/>
    <w:rsid w:val="000A15B2"/>
    <w:rsid w:val="000A2222"/>
    <w:rsid w:val="000A3943"/>
    <w:rsid w:val="000A4403"/>
    <w:rsid w:val="000A48E6"/>
    <w:rsid w:val="000A51A1"/>
    <w:rsid w:val="000A52C5"/>
    <w:rsid w:val="000A56AC"/>
    <w:rsid w:val="000A57C9"/>
    <w:rsid w:val="000A5A8F"/>
    <w:rsid w:val="000A5C9A"/>
    <w:rsid w:val="000A6E4F"/>
    <w:rsid w:val="000A71FC"/>
    <w:rsid w:val="000A74C0"/>
    <w:rsid w:val="000B009B"/>
    <w:rsid w:val="000B015B"/>
    <w:rsid w:val="000B0620"/>
    <w:rsid w:val="000B065F"/>
    <w:rsid w:val="000B25D6"/>
    <w:rsid w:val="000B2916"/>
    <w:rsid w:val="000B2DDC"/>
    <w:rsid w:val="000B2FFC"/>
    <w:rsid w:val="000B3228"/>
    <w:rsid w:val="000B35B6"/>
    <w:rsid w:val="000B39E1"/>
    <w:rsid w:val="000B3E26"/>
    <w:rsid w:val="000B42BC"/>
    <w:rsid w:val="000B4C37"/>
    <w:rsid w:val="000B4FAC"/>
    <w:rsid w:val="000B51C7"/>
    <w:rsid w:val="000B565E"/>
    <w:rsid w:val="000B60DF"/>
    <w:rsid w:val="000B6428"/>
    <w:rsid w:val="000B67D2"/>
    <w:rsid w:val="000B696F"/>
    <w:rsid w:val="000B6AAC"/>
    <w:rsid w:val="000B6B06"/>
    <w:rsid w:val="000B78D3"/>
    <w:rsid w:val="000B7983"/>
    <w:rsid w:val="000C06A0"/>
    <w:rsid w:val="000C117E"/>
    <w:rsid w:val="000C12C8"/>
    <w:rsid w:val="000C14E8"/>
    <w:rsid w:val="000C17B7"/>
    <w:rsid w:val="000C2786"/>
    <w:rsid w:val="000C2C6B"/>
    <w:rsid w:val="000C2C7C"/>
    <w:rsid w:val="000C2FE7"/>
    <w:rsid w:val="000C354D"/>
    <w:rsid w:val="000C3608"/>
    <w:rsid w:val="000C37CF"/>
    <w:rsid w:val="000C43B5"/>
    <w:rsid w:val="000C4D7F"/>
    <w:rsid w:val="000C576B"/>
    <w:rsid w:val="000C6594"/>
    <w:rsid w:val="000C68EA"/>
    <w:rsid w:val="000C6E1B"/>
    <w:rsid w:val="000C700F"/>
    <w:rsid w:val="000C71CB"/>
    <w:rsid w:val="000C732A"/>
    <w:rsid w:val="000D022D"/>
    <w:rsid w:val="000D02D2"/>
    <w:rsid w:val="000D031D"/>
    <w:rsid w:val="000D0844"/>
    <w:rsid w:val="000D0F05"/>
    <w:rsid w:val="000D30DC"/>
    <w:rsid w:val="000D3537"/>
    <w:rsid w:val="000D3866"/>
    <w:rsid w:val="000D40C1"/>
    <w:rsid w:val="000D493D"/>
    <w:rsid w:val="000D4DA2"/>
    <w:rsid w:val="000D54F4"/>
    <w:rsid w:val="000D5549"/>
    <w:rsid w:val="000D5AF2"/>
    <w:rsid w:val="000D5EC2"/>
    <w:rsid w:val="000D61DB"/>
    <w:rsid w:val="000D665B"/>
    <w:rsid w:val="000D721D"/>
    <w:rsid w:val="000D72AF"/>
    <w:rsid w:val="000D7DEA"/>
    <w:rsid w:val="000E05C3"/>
    <w:rsid w:val="000E07C1"/>
    <w:rsid w:val="000E0F1E"/>
    <w:rsid w:val="000E12BA"/>
    <w:rsid w:val="000E2159"/>
    <w:rsid w:val="000E2263"/>
    <w:rsid w:val="000E2517"/>
    <w:rsid w:val="000E26AA"/>
    <w:rsid w:val="000E281C"/>
    <w:rsid w:val="000E284F"/>
    <w:rsid w:val="000E2C49"/>
    <w:rsid w:val="000E30EF"/>
    <w:rsid w:val="000E3911"/>
    <w:rsid w:val="000E4353"/>
    <w:rsid w:val="000E44D0"/>
    <w:rsid w:val="000E4F46"/>
    <w:rsid w:val="000E5281"/>
    <w:rsid w:val="000E53F8"/>
    <w:rsid w:val="000E5C4F"/>
    <w:rsid w:val="000E60F3"/>
    <w:rsid w:val="000E6272"/>
    <w:rsid w:val="000E64BF"/>
    <w:rsid w:val="000E65D2"/>
    <w:rsid w:val="000E66E5"/>
    <w:rsid w:val="000E68DC"/>
    <w:rsid w:val="000E7174"/>
    <w:rsid w:val="000F033D"/>
    <w:rsid w:val="000F0A73"/>
    <w:rsid w:val="000F0D35"/>
    <w:rsid w:val="000F203D"/>
    <w:rsid w:val="000F298A"/>
    <w:rsid w:val="000F29E4"/>
    <w:rsid w:val="000F378C"/>
    <w:rsid w:val="000F43D2"/>
    <w:rsid w:val="000F4C27"/>
    <w:rsid w:val="000F4FE4"/>
    <w:rsid w:val="000F5D3C"/>
    <w:rsid w:val="000F6B1E"/>
    <w:rsid w:val="000F6F6E"/>
    <w:rsid w:val="000F706C"/>
    <w:rsid w:val="000F74BE"/>
    <w:rsid w:val="000F77B8"/>
    <w:rsid w:val="000F7C2F"/>
    <w:rsid w:val="00101165"/>
    <w:rsid w:val="00101378"/>
    <w:rsid w:val="0010167D"/>
    <w:rsid w:val="0010272B"/>
    <w:rsid w:val="0010366C"/>
    <w:rsid w:val="00103805"/>
    <w:rsid w:val="00103A50"/>
    <w:rsid w:val="001047B1"/>
    <w:rsid w:val="001054EA"/>
    <w:rsid w:val="0010578D"/>
    <w:rsid w:val="0010671C"/>
    <w:rsid w:val="00106A54"/>
    <w:rsid w:val="00106D33"/>
    <w:rsid w:val="00110422"/>
    <w:rsid w:val="00110C51"/>
    <w:rsid w:val="001114E0"/>
    <w:rsid w:val="001117FB"/>
    <w:rsid w:val="00111F7B"/>
    <w:rsid w:val="00112BAF"/>
    <w:rsid w:val="00112FA0"/>
    <w:rsid w:val="00113100"/>
    <w:rsid w:val="00113B7E"/>
    <w:rsid w:val="00113CFD"/>
    <w:rsid w:val="00114F2D"/>
    <w:rsid w:val="001162DD"/>
    <w:rsid w:val="0011678E"/>
    <w:rsid w:val="00116DE4"/>
    <w:rsid w:val="00116E77"/>
    <w:rsid w:val="0011725B"/>
    <w:rsid w:val="00117616"/>
    <w:rsid w:val="001176E2"/>
    <w:rsid w:val="00117BF8"/>
    <w:rsid w:val="00117CD5"/>
    <w:rsid w:val="001207BE"/>
    <w:rsid w:val="001207DC"/>
    <w:rsid w:val="00120C1C"/>
    <w:rsid w:val="0012125D"/>
    <w:rsid w:val="001217CC"/>
    <w:rsid w:val="00122072"/>
    <w:rsid w:val="0012234E"/>
    <w:rsid w:val="00122975"/>
    <w:rsid w:val="00123BF7"/>
    <w:rsid w:val="00124BB6"/>
    <w:rsid w:val="00124E5A"/>
    <w:rsid w:val="00125DA9"/>
    <w:rsid w:val="00126037"/>
    <w:rsid w:val="00126547"/>
    <w:rsid w:val="00126A9F"/>
    <w:rsid w:val="00126AC7"/>
    <w:rsid w:val="00126C54"/>
    <w:rsid w:val="00126CD4"/>
    <w:rsid w:val="00126DFF"/>
    <w:rsid w:val="001272F9"/>
    <w:rsid w:val="001276D0"/>
    <w:rsid w:val="00127D69"/>
    <w:rsid w:val="00130274"/>
    <w:rsid w:val="00130DF6"/>
    <w:rsid w:val="0013111B"/>
    <w:rsid w:val="00131704"/>
    <w:rsid w:val="00131FB7"/>
    <w:rsid w:val="001320B9"/>
    <w:rsid w:val="00132613"/>
    <w:rsid w:val="00133217"/>
    <w:rsid w:val="001335DC"/>
    <w:rsid w:val="0013413F"/>
    <w:rsid w:val="001341EB"/>
    <w:rsid w:val="00134469"/>
    <w:rsid w:val="0013503B"/>
    <w:rsid w:val="001353FC"/>
    <w:rsid w:val="00135736"/>
    <w:rsid w:val="001357E1"/>
    <w:rsid w:val="001357FF"/>
    <w:rsid w:val="0013590D"/>
    <w:rsid w:val="00135B64"/>
    <w:rsid w:val="00135B70"/>
    <w:rsid w:val="00136DA7"/>
    <w:rsid w:val="001376BC"/>
    <w:rsid w:val="0013788B"/>
    <w:rsid w:val="0013791D"/>
    <w:rsid w:val="00137A8E"/>
    <w:rsid w:val="00140B11"/>
    <w:rsid w:val="00140D86"/>
    <w:rsid w:val="00140FF0"/>
    <w:rsid w:val="00141358"/>
    <w:rsid w:val="00141548"/>
    <w:rsid w:val="00141F58"/>
    <w:rsid w:val="00142421"/>
    <w:rsid w:val="00142DDD"/>
    <w:rsid w:val="00143E65"/>
    <w:rsid w:val="0014478B"/>
    <w:rsid w:val="00144D33"/>
    <w:rsid w:val="00144DAC"/>
    <w:rsid w:val="00144E1D"/>
    <w:rsid w:val="00145A1E"/>
    <w:rsid w:val="0014661D"/>
    <w:rsid w:val="0014689C"/>
    <w:rsid w:val="00147327"/>
    <w:rsid w:val="001474E8"/>
    <w:rsid w:val="00147C75"/>
    <w:rsid w:val="00150014"/>
    <w:rsid w:val="0015044F"/>
    <w:rsid w:val="00150890"/>
    <w:rsid w:val="00150B58"/>
    <w:rsid w:val="00150DF0"/>
    <w:rsid w:val="00150FD3"/>
    <w:rsid w:val="001514E9"/>
    <w:rsid w:val="00152298"/>
    <w:rsid w:val="00152EA4"/>
    <w:rsid w:val="00153177"/>
    <w:rsid w:val="0015348C"/>
    <w:rsid w:val="0015381A"/>
    <w:rsid w:val="00153C05"/>
    <w:rsid w:val="00154240"/>
    <w:rsid w:val="001546CC"/>
    <w:rsid w:val="001547B1"/>
    <w:rsid w:val="00154B5C"/>
    <w:rsid w:val="001554FE"/>
    <w:rsid w:val="001558B0"/>
    <w:rsid w:val="00156465"/>
    <w:rsid w:val="001564A1"/>
    <w:rsid w:val="00156668"/>
    <w:rsid w:val="00156725"/>
    <w:rsid w:val="001569DB"/>
    <w:rsid w:val="00157340"/>
    <w:rsid w:val="001579FF"/>
    <w:rsid w:val="00157A17"/>
    <w:rsid w:val="00157B2D"/>
    <w:rsid w:val="0016034F"/>
    <w:rsid w:val="00160C0C"/>
    <w:rsid w:val="00161966"/>
    <w:rsid w:val="00161F13"/>
    <w:rsid w:val="00162B68"/>
    <w:rsid w:val="0016322C"/>
    <w:rsid w:val="00163389"/>
    <w:rsid w:val="00165908"/>
    <w:rsid w:val="001661A5"/>
    <w:rsid w:val="001669F8"/>
    <w:rsid w:val="00166A45"/>
    <w:rsid w:val="00166AE1"/>
    <w:rsid w:val="00166B20"/>
    <w:rsid w:val="0016723E"/>
    <w:rsid w:val="00167477"/>
    <w:rsid w:val="00167CBD"/>
    <w:rsid w:val="00167CD8"/>
    <w:rsid w:val="00170901"/>
    <w:rsid w:val="00170A5D"/>
    <w:rsid w:val="00171052"/>
    <w:rsid w:val="0017123D"/>
    <w:rsid w:val="001715A0"/>
    <w:rsid w:val="00171708"/>
    <w:rsid w:val="001719AA"/>
    <w:rsid w:val="00171D8A"/>
    <w:rsid w:val="00171D98"/>
    <w:rsid w:val="0017244F"/>
    <w:rsid w:val="001742A1"/>
    <w:rsid w:val="00174829"/>
    <w:rsid w:val="00174B01"/>
    <w:rsid w:val="00175414"/>
    <w:rsid w:val="00175830"/>
    <w:rsid w:val="00175E9A"/>
    <w:rsid w:val="00176746"/>
    <w:rsid w:val="0017715E"/>
    <w:rsid w:val="00177357"/>
    <w:rsid w:val="001809F2"/>
    <w:rsid w:val="00181305"/>
    <w:rsid w:val="001818A3"/>
    <w:rsid w:val="00181B0F"/>
    <w:rsid w:val="001830CB"/>
    <w:rsid w:val="00183332"/>
    <w:rsid w:val="0018352B"/>
    <w:rsid w:val="00183C16"/>
    <w:rsid w:val="001840CE"/>
    <w:rsid w:val="00184102"/>
    <w:rsid w:val="00184815"/>
    <w:rsid w:val="00184A7E"/>
    <w:rsid w:val="00184AA4"/>
    <w:rsid w:val="00184AE7"/>
    <w:rsid w:val="00184D29"/>
    <w:rsid w:val="001858BB"/>
    <w:rsid w:val="00185F94"/>
    <w:rsid w:val="00186632"/>
    <w:rsid w:val="00186D08"/>
    <w:rsid w:val="001870E2"/>
    <w:rsid w:val="001874D4"/>
    <w:rsid w:val="00190C78"/>
    <w:rsid w:val="00191284"/>
    <w:rsid w:val="001913E6"/>
    <w:rsid w:val="00192114"/>
    <w:rsid w:val="00192528"/>
    <w:rsid w:val="0019273B"/>
    <w:rsid w:val="001927FB"/>
    <w:rsid w:val="0019362C"/>
    <w:rsid w:val="00193A32"/>
    <w:rsid w:val="00194739"/>
    <w:rsid w:val="00194962"/>
    <w:rsid w:val="00194A6A"/>
    <w:rsid w:val="00195552"/>
    <w:rsid w:val="00195B2F"/>
    <w:rsid w:val="00195D1F"/>
    <w:rsid w:val="00195DD1"/>
    <w:rsid w:val="00196420"/>
    <w:rsid w:val="001978AF"/>
    <w:rsid w:val="00197BDF"/>
    <w:rsid w:val="00197CAF"/>
    <w:rsid w:val="001A04D3"/>
    <w:rsid w:val="001A0CC2"/>
    <w:rsid w:val="001A1116"/>
    <w:rsid w:val="001A133E"/>
    <w:rsid w:val="001A17B2"/>
    <w:rsid w:val="001A1B3F"/>
    <w:rsid w:val="001A1D1C"/>
    <w:rsid w:val="001A254C"/>
    <w:rsid w:val="001A255F"/>
    <w:rsid w:val="001A3F14"/>
    <w:rsid w:val="001A3FB8"/>
    <w:rsid w:val="001A4049"/>
    <w:rsid w:val="001A4539"/>
    <w:rsid w:val="001A48B1"/>
    <w:rsid w:val="001A4BFD"/>
    <w:rsid w:val="001A4CF3"/>
    <w:rsid w:val="001A4DB7"/>
    <w:rsid w:val="001A4E91"/>
    <w:rsid w:val="001A5136"/>
    <w:rsid w:val="001A63E9"/>
    <w:rsid w:val="001A694A"/>
    <w:rsid w:val="001A6C47"/>
    <w:rsid w:val="001A7035"/>
    <w:rsid w:val="001A7516"/>
    <w:rsid w:val="001A7A1A"/>
    <w:rsid w:val="001B05F8"/>
    <w:rsid w:val="001B069B"/>
    <w:rsid w:val="001B087B"/>
    <w:rsid w:val="001B0936"/>
    <w:rsid w:val="001B0C1F"/>
    <w:rsid w:val="001B0DCC"/>
    <w:rsid w:val="001B0EDF"/>
    <w:rsid w:val="001B0FDB"/>
    <w:rsid w:val="001B13AE"/>
    <w:rsid w:val="001B1959"/>
    <w:rsid w:val="001B1AB7"/>
    <w:rsid w:val="001B1D49"/>
    <w:rsid w:val="001B2117"/>
    <w:rsid w:val="001B316B"/>
    <w:rsid w:val="001B3989"/>
    <w:rsid w:val="001B39D1"/>
    <w:rsid w:val="001B457A"/>
    <w:rsid w:val="001B4661"/>
    <w:rsid w:val="001B4EAC"/>
    <w:rsid w:val="001B5BFC"/>
    <w:rsid w:val="001B5F59"/>
    <w:rsid w:val="001B6133"/>
    <w:rsid w:val="001B63C5"/>
    <w:rsid w:val="001B7474"/>
    <w:rsid w:val="001B747B"/>
    <w:rsid w:val="001B7A03"/>
    <w:rsid w:val="001B7D3B"/>
    <w:rsid w:val="001C1092"/>
    <w:rsid w:val="001C1333"/>
    <w:rsid w:val="001C1B91"/>
    <w:rsid w:val="001C2147"/>
    <w:rsid w:val="001C2260"/>
    <w:rsid w:val="001C2804"/>
    <w:rsid w:val="001C303E"/>
    <w:rsid w:val="001C3CB5"/>
    <w:rsid w:val="001C3F73"/>
    <w:rsid w:val="001C3F8C"/>
    <w:rsid w:val="001C413F"/>
    <w:rsid w:val="001C414F"/>
    <w:rsid w:val="001C5B2C"/>
    <w:rsid w:val="001C6008"/>
    <w:rsid w:val="001C749C"/>
    <w:rsid w:val="001C7BA0"/>
    <w:rsid w:val="001C7C81"/>
    <w:rsid w:val="001D01DC"/>
    <w:rsid w:val="001D0852"/>
    <w:rsid w:val="001D0BEA"/>
    <w:rsid w:val="001D0E8D"/>
    <w:rsid w:val="001D118C"/>
    <w:rsid w:val="001D138E"/>
    <w:rsid w:val="001D1762"/>
    <w:rsid w:val="001D1A0F"/>
    <w:rsid w:val="001D1B28"/>
    <w:rsid w:val="001D2DA4"/>
    <w:rsid w:val="001D368D"/>
    <w:rsid w:val="001D377A"/>
    <w:rsid w:val="001D4C32"/>
    <w:rsid w:val="001D508E"/>
    <w:rsid w:val="001D5730"/>
    <w:rsid w:val="001D5F1D"/>
    <w:rsid w:val="001D680F"/>
    <w:rsid w:val="001D6A8F"/>
    <w:rsid w:val="001D6DEA"/>
    <w:rsid w:val="001D72E7"/>
    <w:rsid w:val="001D77AD"/>
    <w:rsid w:val="001E180D"/>
    <w:rsid w:val="001E238B"/>
    <w:rsid w:val="001E24BF"/>
    <w:rsid w:val="001E2EDA"/>
    <w:rsid w:val="001E3712"/>
    <w:rsid w:val="001E3E70"/>
    <w:rsid w:val="001E3FE1"/>
    <w:rsid w:val="001E4F6E"/>
    <w:rsid w:val="001E5678"/>
    <w:rsid w:val="001E5A97"/>
    <w:rsid w:val="001E5C52"/>
    <w:rsid w:val="001E6191"/>
    <w:rsid w:val="001E7928"/>
    <w:rsid w:val="001E79FE"/>
    <w:rsid w:val="001E7B10"/>
    <w:rsid w:val="001E7D71"/>
    <w:rsid w:val="001F00C7"/>
    <w:rsid w:val="001F073E"/>
    <w:rsid w:val="001F08B5"/>
    <w:rsid w:val="001F11A9"/>
    <w:rsid w:val="001F12C9"/>
    <w:rsid w:val="001F2019"/>
    <w:rsid w:val="001F226C"/>
    <w:rsid w:val="001F2C91"/>
    <w:rsid w:val="001F320E"/>
    <w:rsid w:val="001F36E9"/>
    <w:rsid w:val="001F3AAE"/>
    <w:rsid w:val="001F3E81"/>
    <w:rsid w:val="001F5135"/>
    <w:rsid w:val="001F7441"/>
    <w:rsid w:val="001F74FE"/>
    <w:rsid w:val="001F7A3C"/>
    <w:rsid w:val="002002E8"/>
    <w:rsid w:val="00200EBA"/>
    <w:rsid w:val="0020194A"/>
    <w:rsid w:val="00201AC9"/>
    <w:rsid w:val="00201AD2"/>
    <w:rsid w:val="00201DAC"/>
    <w:rsid w:val="00201FA0"/>
    <w:rsid w:val="002023C0"/>
    <w:rsid w:val="002023E6"/>
    <w:rsid w:val="00202E76"/>
    <w:rsid w:val="00202EF1"/>
    <w:rsid w:val="0020316C"/>
    <w:rsid w:val="002033C5"/>
    <w:rsid w:val="002033D4"/>
    <w:rsid w:val="002036F0"/>
    <w:rsid w:val="00203B8B"/>
    <w:rsid w:val="00203FF9"/>
    <w:rsid w:val="0020411B"/>
    <w:rsid w:val="0020468E"/>
    <w:rsid w:val="002046CB"/>
    <w:rsid w:val="00204926"/>
    <w:rsid w:val="00205406"/>
    <w:rsid w:val="00205515"/>
    <w:rsid w:val="00205826"/>
    <w:rsid w:val="00205CCB"/>
    <w:rsid w:val="00207789"/>
    <w:rsid w:val="00210293"/>
    <w:rsid w:val="00210CF5"/>
    <w:rsid w:val="00211456"/>
    <w:rsid w:val="002116C0"/>
    <w:rsid w:val="0021251A"/>
    <w:rsid w:val="00213FEC"/>
    <w:rsid w:val="00214324"/>
    <w:rsid w:val="00214957"/>
    <w:rsid w:val="00214AEF"/>
    <w:rsid w:val="00214C68"/>
    <w:rsid w:val="00215186"/>
    <w:rsid w:val="0021533A"/>
    <w:rsid w:val="00216079"/>
    <w:rsid w:val="0021658D"/>
    <w:rsid w:val="002165DD"/>
    <w:rsid w:val="002165ED"/>
    <w:rsid w:val="0021733B"/>
    <w:rsid w:val="00217FBC"/>
    <w:rsid w:val="00220511"/>
    <w:rsid w:val="002206B4"/>
    <w:rsid w:val="002211BA"/>
    <w:rsid w:val="00221E23"/>
    <w:rsid w:val="0022207E"/>
    <w:rsid w:val="002224AF"/>
    <w:rsid w:val="002225F5"/>
    <w:rsid w:val="0022283A"/>
    <w:rsid w:val="00222A71"/>
    <w:rsid w:val="00222B50"/>
    <w:rsid w:val="00222E79"/>
    <w:rsid w:val="00222F1F"/>
    <w:rsid w:val="00223438"/>
    <w:rsid w:val="0022398E"/>
    <w:rsid w:val="002239A7"/>
    <w:rsid w:val="00223D14"/>
    <w:rsid w:val="0022428A"/>
    <w:rsid w:val="00224300"/>
    <w:rsid w:val="002251E0"/>
    <w:rsid w:val="00225497"/>
    <w:rsid w:val="00225ABA"/>
    <w:rsid w:val="0022743F"/>
    <w:rsid w:val="0022745F"/>
    <w:rsid w:val="00227CA6"/>
    <w:rsid w:val="00230027"/>
    <w:rsid w:val="00231F5C"/>
    <w:rsid w:val="00232045"/>
    <w:rsid w:val="0023211B"/>
    <w:rsid w:val="00232CEB"/>
    <w:rsid w:val="00233C70"/>
    <w:rsid w:val="00233EAA"/>
    <w:rsid w:val="00234D97"/>
    <w:rsid w:val="00235584"/>
    <w:rsid w:val="00235A12"/>
    <w:rsid w:val="00235A86"/>
    <w:rsid w:val="00236167"/>
    <w:rsid w:val="00236E13"/>
    <w:rsid w:val="00236EE5"/>
    <w:rsid w:val="00237D1D"/>
    <w:rsid w:val="00241247"/>
    <w:rsid w:val="00241C63"/>
    <w:rsid w:val="00242206"/>
    <w:rsid w:val="00242209"/>
    <w:rsid w:val="002424DB"/>
    <w:rsid w:val="002424FC"/>
    <w:rsid w:val="00243623"/>
    <w:rsid w:val="00243B16"/>
    <w:rsid w:val="00244713"/>
    <w:rsid w:val="00244EE7"/>
    <w:rsid w:val="002455B4"/>
    <w:rsid w:val="00245D40"/>
    <w:rsid w:val="002466F9"/>
    <w:rsid w:val="00246AA3"/>
    <w:rsid w:val="0024736A"/>
    <w:rsid w:val="002473ED"/>
    <w:rsid w:val="00247791"/>
    <w:rsid w:val="00247B35"/>
    <w:rsid w:val="0025028F"/>
    <w:rsid w:val="00250418"/>
    <w:rsid w:val="00251504"/>
    <w:rsid w:val="0025168A"/>
    <w:rsid w:val="00251BD4"/>
    <w:rsid w:val="00252AB5"/>
    <w:rsid w:val="00254256"/>
    <w:rsid w:val="002544AA"/>
    <w:rsid w:val="002544F0"/>
    <w:rsid w:val="00254F56"/>
    <w:rsid w:val="002550E3"/>
    <w:rsid w:val="00255C3D"/>
    <w:rsid w:val="00255DBF"/>
    <w:rsid w:val="002562A3"/>
    <w:rsid w:val="002568C3"/>
    <w:rsid w:val="00256E8D"/>
    <w:rsid w:val="002570EC"/>
    <w:rsid w:val="00257761"/>
    <w:rsid w:val="00257830"/>
    <w:rsid w:val="00257A45"/>
    <w:rsid w:val="002609F2"/>
    <w:rsid w:val="002621AB"/>
    <w:rsid w:val="00262592"/>
    <w:rsid w:val="002639C3"/>
    <w:rsid w:val="00263A86"/>
    <w:rsid w:val="00264240"/>
    <w:rsid w:val="0026424E"/>
    <w:rsid w:val="00264AD8"/>
    <w:rsid w:val="00264C07"/>
    <w:rsid w:val="00265070"/>
    <w:rsid w:val="002659C2"/>
    <w:rsid w:val="002659E2"/>
    <w:rsid w:val="00265D41"/>
    <w:rsid w:val="002665D3"/>
    <w:rsid w:val="00266931"/>
    <w:rsid w:val="002675F2"/>
    <w:rsid w:val="00271FF1"/>
    <w:rsid w:val="002720AE"/>
    <w:rsid w:val="002721D4"/>
    <w:rsid w:val="00272640"/>
    <w:rsid w:val="00272958"/>
    <w:rsid w:val="002731E8"/>
    <w:rsid w:val="00273F38"/>
    <w:rsid w:val="002745F6"/>
    <w:rsid w:val="002747DE"/>
    <w:rsid w:val="00275519"/>
    <w:rsid w:val="00275956"/>
    <w:rsid w:val="002760B7"/>
    <w:rsid w:val="002761A3"/>
    <w:rsid w:val="00276F8E"/>
    <w:rsid w:val="00277934"/>
    <w:rsid w:val="00281A13"/>
    <w:rsid w:val="00281B89"/>
    <w:rsid w:val="00281CC9"/>
    <w:rsid w:val="00281D6A"/>
    <w:rsid w:val="00281DBF"/>
    <w:rsid w:val="002821C2"/>
    <w:rsid w:val="002824E2"/>
    <w:rsid w:val="00282BBC"/>
    <w:rsid w:val="00282F0E"/>
    <w:rsid w:val="00283233"/>
    <w:rsid w:val="002836E7"/>
    <w:rsid w:val="002842C1"/>
    <w:rsid w:val="00284466"/>
    <w:rsid w:val="002847AC"/>
    <w:rsid w:val="00284823"/>
    <w:rsid w:val="00284BA8"/>
    <w:rsid w:val="00285A41"/>
    <w:rsid w:val="00287251"/>
    <w:rsid w:val="00287596"/>
    <w:rsid w:val="0028773E"/>
    <w:rsid w:val="00287B93"/>
    <w:rsid w:val="002903B7"/>
    <w:rsid w:val="00290BA1"/>
    <w:rsid w:val="0029180E"/>
    <w:rsid w:val="00291A15"/>
    <w:rsid w:val="00292952"/>
    <w:rsid w:val="002932B6"/>
    <w:rsid w:val="00293B5D"/>
    <w:rsid w:val="00293FB1"/>
    <w:rsid w:val="00294554"/>
    <w:rsid w:val="002947DD"/>
    <w:rsid w:val="00294F5B"/>
    <w:rsid w:val="00295007"/>
    <w:rsid w:val="0029516E"/>
    <w:rsid w:val="00295A1A"/>
    <w:rsid w:val="00295DFB"/>
    <w:rsid w:val="0029697E"/>
    <w:rsid w:val="00296E16"/>
    <w:rsid w:val="00297C67"/>
    <w:rsid w:val="002A04AC"/>
    <w:rsid w:val="002A0C42"/>
    <w:rsid w:val="002A0E06"/>
    <w:rsid w:val="002A1826"/>
    <w:rsid w:val="002A19C0"/>
    <w:rsid w:val="002A1AAB"/>
    <w:rsid w:val="002A29F7"/>
    <w:rsid w:val="002A43A3"/>
    <w:rsid w:val="002A4BA6"/>
    <w:rsid w:val="002A50E5"/>
    <w:rsid w:val="002A5D54"/>
    <w:rsid w:val="002A6456"/>
    <w:rsid w:val="002A67C5"/>
    <w:rsid w:val="002A6D00"/>
    <w:rsid w:val="002A7722"/>
    <w:rsid w:val="002A797F"/>
    <w:rsid w:val="002A7B4A"/>
    <w:rsid w:val="002B0109"/>
    <w:rsid w:val="002B06BB"/>
    <w:rsid w:val="002B1106"/>
    <w:rsid w:val="002B1A87"/>
    <w:rsid w:val="002B1FBA"/>
    <w:rsid w:val="002B216E"/>
    <w:rsid w:val="002B319F"/>
    <w:rsid w:val="002B336C"/>
    <w:rsid w:val="002B358F"/>
    <w:rsid w:val="002B4201"/>
    <w:rsid w:val="002B453E"/>
    <w:rsid w:val="002B47A2"/>
    <w:rsid w:val="002B51C6"/>
    <w:rsid w:val="002B5BC3"/>
    <w:rsid w:val="002B73D3"/>
    <w:rsid w:val="002B7BF8"/>
    <w:rsid w:val="002B7E2C"/>
    <w:rsid w:val="002C05AF"/>
    <w:rsid w:val="002C0E7A"/>
    <w:rsid w:val="002C1289"/>
    <w:rsid w:val="002C15ED"/>
    <w:rsid w:val="002C1C48"/>
    <w:rsid w:val="002C2154"/>
    <w:rsid w:val="002C2939"/>
    <w:rsid w:val="002C366F"/>
    <w:rsid w:val="002C5F97"/>
    <w:rsid w:val="002C6617"/>
    <w:rsid w:val="002C7107"/>
    <w:rsid w:val="002C74D1"/>
    <w:rsid w:val="002D0419"/>
    <w:rsid w:val="002D06D7"/>
    <w:rsid w:val="002D0908"/>
    <w:rsid w:val="002D124C"/>
    <w:rsid w:val="002D12DC"/>
    <w:rsid w:val="002D186E"/>
    <w:rsid w:val="002D194B"/>
    <w:rsid w:val="002D1F04"/>
    <w:rsid w:val="002D3BD1"/>
    <w:rsid w:val="002D3EBD"/>
    <w:rsid w:val="002D4087"/>
    <w:rsid w:val="002D54CE"/>
    <w:rsid w:val="002D55BC"/>
    <w:rsid w:val="002D5965"/>
    <w:rsid w:val="002D6490"/>
    <w:rsid w:val="002D6745"/>
    <w:rsid w:val="002E0885"/>
    <w:rsid w:val="002E24BD"/>
    <w:rsid w:val="002E25C3"/>
    <w:rsid w:val="002E32AF"/>
    <w:rsid w:val="002E35D0"/>
    <w:rsid w:val="002E38F3"/>
    <w:rsid w:val="002E392D"/>
    <w:rsid w:val="002E3E2F"/>
    <w:rsid w:val="002E4DFA"/>
    <w:rsid w:val="002E4EB8"/>
    <w:rsid w:val="002E4EC2"/>
    <w:rsid w:val="002E4F02"/>
    <w:rsid w:val="002E5151"/>
    <w:rsid w:val="002E52FB"/>
    <w:rsid w:val="002E60D0"/>
    <w:rsid w:val="002E6C14"/>
    <w:rsid w:val="002E6D71"/>
    <w:rsid w:val="002E7015"/>
    <w:rsid w:val="002E7351"/>
    <w:rsid w:val="002E757B"/>
    <w:rsid w:val="002E7A13"/>
    <w:rsid w:val="002E7B18"/>
    <w:rsid w:val="002F053D"/>
    <w:rsid w:val="002F0EC7"/>
    <w:rsid w:val="002F135B"/>
    <w:rsid w:val="002F152D"/>
    <w:rsid w:val="002F18CF"/>
    <w:rsid w:val="002F1D05"/>
    <w:rsid w:val="002F1D3B"/>
    <w:rsid w:val="002F21D3"/>
    <w:rsid w:val="002F25DA"/>
    <w:rsid w:val="002F2C48"/>
    <w:rsid w:val="002F31F0"/>
    <w:rsid w:val="002F38F1"/>
    <w:rsid w:val="002F4A02"/>
    <w:rsid w:val="002F5256"/>
    <w:rsid w:val="002F60BB"/>
    <w:rsid w:val="002F64C9"/>
    <w:rsid w:val="002F65D5"/>
    <w:rsid w:val="002F67D4"/>
    <w:rsid w:val="002F6EDA"/>
    <w:rsid w:val="002F6F27"/>
    <w:rsid w:val="002F71EE"/>
    <w:rsid w:val="00300928"/>
    <w:rsid w:val="0030118B"/>
    <w:rsid w:val="00301725"/>
    <w:rsid w:val="00301E3F"/>
    <w:rsid w:val="003020BB"/>
    <w:rsid w:val="00302A80"/>
    <w:rsid w:val="00302B98"/>
    <w:rsid w:val="0030301C"/>
    <w:rsid w:val="003031D3"/>
    <w:rsid w:val="00303247"/>
    <w:rsid w:val="00303670"/>
    <w:rsid w:val="003037FD"/>
    <w:rsid w:val="00304221"/>
    <w:rsid w:val="00304579"/>
    <w:rsid w:val="00304897"/>
    <w:rsid w:val="0030583F"/>
    <w:rsid w:val="00305A76"/>
    <w:rsid w:val="0030688C"/>
    <w:rsid w:val="00306A17"/>
    <w:rsid w:val="00306A4A"/>
    <w:rsid w:val="00306A51"/>
    <w:rsid w:val="00307408"/>
    <w:rsid w:val="003079EC"/>
    <w:rsid w:val="00307ADB"/>
    <w:rsid w:val="00307E89"/>
    <w:rsid w:val="00307EF7"/>
    <w:rsid w:val="0031013E"/>
    <w:rsid w:val="00310F23"/>
    <w:rsid w:val="00311206"/>
    <w:rsid w:val="0031139D"/>
    <w:rsid w:val="003120A3"/>
    <w:rsid w:val="003137D4"/>
    <w:rsid w:val="00314A91"/>
    <w:rsid w:val="00314AA1"/>
    <w:rsid w:val="00316D9B"/>
    <w:rsid w:val="003173F7"/>
    <w:rsid w:val="00317538"/>
    <w:rsid w:val="00317AD3"/>
    <w:rsid w:val="00317DB5"/>
    <w:rsid w:val="0032024D"/>
    <w:rsid w:val="00320B2C"/>
    <w:rsid w:val="00320FA5"/>
    <w:rsid w:val="00320FD0"/>
    <w:rsid w:val="0032180C"/>
    <w:rsid w:val="00321C7B"/>
    <w:rsid w:val="00322353"/>
    <w:rsid w:val="0032251E"/>
    <w:rsid w:val="00322B00"/>
    <w:rsid w:val="00323394"/>
    <w:rsid w:val="003241A3"/>
    <w:rsid w:val="0032423C"/>
    <w:rsid w:val="00324492"/>
    <w:rsid w:val="003244D7"/>
    <w:rsid w:val="003248DC"/>
    <w:rsid w:val="00324E14"/>
    <w:rsid w:val="00326A2B"/>
    <w:rsid w:val="00327205"/>
    <w:rsid w:val="00327603"/>
    <w:rsid w:val="00327951"/>
    <w:rsid w:val="0033012E"/>
    <w:rsid w:val="003305B7"/>
    <w:rsid w:val="00330DDB"/>
    <w:rsid w:val="003314D6"/>
    <w:rsid w:val="003317B3"/>
    <w:rsid w:val="00331967"/>
    <w:rsid w:val="00331A02"/>
    <w:rsid w:val="00331ACC"/>
    <w:rsid w:val="00331B90"/>
    <w:rsid w:val="00331D76"/>
    <w:rsid w:val="00332DCB"/>
    <w:rsid w:val="0033300C"/>
    <w:rsid w:val="003346BB"/>
    <w:rsid w:val="00334964"/>
    <w:rsid w:val="003349FA"/>
    <w:rsid w:val="003356BB"/>
    <w:rsid w:val="0033576A"/>
    <w:rsid w:val="00335D5B"/>
    <w:rsid w:val="00336187"/>
    <w:rsid w:val="0033628C"/>
    <w:rsid w:val="00336ACE"/>
    <w:rsid w:val="0033742B"/>
    <w:rsid w:val="00337987"/>
    <w:rsid w:val="00337BFA"/>
    <w:rsid w:val="003411A1"/>
    <w:rsid w:val="003426D8"/>
    <w:rsid w:val="00342EFD"/>
    <w:rsid w:val="0034372C"/>
    <w:rsid w:val="00343B9F"/>
    <w:rsid w:val="00344F7D"/>
    <w:rsid w:val="00344F87"/>
    <w:rsid w:val="003462CE"/>
    <w:rsid w:val="00346858"/>
    <w:rsid w:val="00346B04"/>
    <w:rsid w:val="00346ED4"/>
    <w:rsid w:val="0035201A"/>
    <w:rsid w:val="003527AF"/>
    <w:rsid w:val="00352EBF"/>
    <w:rsid w:val="00353A5C"/>
    <w:rsid w:val="0035512E"/>
    <w:rsid w:val="00355601"/>
    <w:rsid w:val="003557E4"/>
    <w:rsid w:val="00355A93"/>
    <w:rsid w:val="00355D1C"/>
    <w:rsid w:val="003564C5"/>
    <w:rsid w:val="00356948"/>
    <w:rsid w:val="00356D0F"/>
    <w:rsid w:val="00357799"/>
    <w:rsid w:val="00357885"/>
    <w:rsid w:val="00357F06"/>
    <w:rsid w:val="0036085D"/>
    <w:rsid w:val="0036133B"/>
    <w:rsid w:val="00361B55"/>
    <w:rsid w:val="003620FA"/>
    <w:rsid w:val="003623E5"/>
    <w:rsid w:val="00362664"/>
    <w:rsid w:val="00363443"/>
    <w:rsid w:val="00363A85"/>
    <w:rsid w:val="00363AB8"/>
    <w:rsid w:val="00363B12"/>
    <w:rsid w:val="00364319"/>
    <w:rsid w:val="003660DB"/>
    <w:rsid w:val="003663BD"/>
    <w:rsid w:val="00366EED"/>
    <w:rsid w:val="003670E9"/>
    <w:rsid w:val="0036759F"/>
    <w:rsid w:val="00367DDA"/>
    <w:rsid w:val="00367DE5"/>
    <w:rsid w:val="00367E90"/>
    <w:rsid w:val="00372AC1"/>
    <w:rsid w:val="00372B61"/>
    <w:rsid w:val="00372FFC"/>
    <w:rsid w:val="00373A54"/>
    <w:rsid w:val="00374019"/>
    <w:rsid w:val="00374B27"/>
    <w:rsid w:val="00374F32"/>
    <w:rsid w:val="003751DD"/>
    <w:rsid w:val="00376B06"/>
    <w:rsid w:val="00376E87"/>
    <w:rsid w:val="00377F41"/>
    <w:rsid w:val="003807CD"/>
    <w:rsid w:val="00380EFF"/>
    <w:rsid w:val="003813AF"/>
    <w:rsid w:val="00381AF9"/>
    <w:rsid w:val="003822AB"/>
    <w:rsid w:val="00382401"/>
    <w:rsid w:val="003836A7"/>
    <w:rsid w:val="003838F1"/>
    <w:rsid w:val="00383B2F"/>
    <w:rsid w:val="00383F50"/>
    <w:rsid w:val="0038491F"/>
    <w:rsid w:val="00385277"/>
    <w:rsid w:val="00385B84"/>
    <w:rsid w:val="0038621E"/>
    <w:rsid w:val="00386316"/>
    <w:rsid w:val="00386564"/>
    <w:rsid w:val="00390353"/>
    <w:rsid w:val="003904D6"/>
    <w:rsid w:val="00390613"/>
    <w:rsid w:val="003906E8"/>
    <w:rsid w:val="00390A2E"/>
    <w:rsid w:val="00390F4B"/>
    <w:rsid w:val="00391738"/>
    <w:rsid w:val="00391BFC"/>
    <w:rsid w:val="0039287C"/>
    <w:rsid w:val="00392ABC"/>
    <w:rsid w:val="00392B93"/>
    <w:rsid w:val="0039330B"/>
    <w:rsid w:val="0039361D"/>
    <w:rsid w:val="0039394A"/>
    <w:rsid w:val="00393D66"/>
    <w:rsid w:val="00394A85"/>
    <w:rsid w:val="00394CD9"/>
    <w:rsid w:val="00394EEC"/>
    <w:rsid w:val="00395C9D"/>
    <w:rsid w:val="0039612C"/>
    <w:rsid w:val="003961D8"/>
    <w:rsid w:val="00396C9E"/>
    <w:rsid w:val="00396DC8"/>
    <w:rsid w:val="00396F89"/>
    <w:rsid w:val="00397F26"/>
    <w:rsid w:val="003A0C4A"/>
    <w:rsid w:val="003A1981"/>
    <w:rsid w:val="003A1BA3"/>
    <w:rsid w:val="003A2336"/>
    <w:rsid w:val="003A23B8"/>
    <w:rsid w:val="003A2424"/>
    <w:rsid w:val="003A244C"/>
    <w:rsid w:val="003A2DB8"/>
    <w:rsid w:val="003A37D2"/>
    <w:rsid w:val="003A389F"/>
    <w:rsid w:val="003A39DF"/>
    <w:rsid w:val="003A3A27"/>
    <w:rsid w:val="003A41D1"/>
    <w:rsid w:val="003A42F8"/>
    <w:rsid w:val="003A42FD"/>
    <w:rsid w:val="003A4F5D"/>
    <w:rsid w:val="003A5CCE"/>
    <w:rsid w:val="003A6379"/>
    <w:rsid w:val="003A6916"/>
    <w:rsid w:val="003A70C4"/>
    <w:rsid w:val="003A72A3"/>
    <w:rsid w:val="003A7FCA"/>
    <w:rsid w:val="003B03F7"/>
    <w:rsid w:val="003B05A3"/>
    <w:rsid w:val="003B0A33"/>
    <w:rsid w:val="003B0B14"/>
    <w:rsid w:val="003B10B9"/>
    <w:rsid w:val="003B15F3"/>
    <w:rsid w:val="003B1C02"/>
    <w:rsid w:val="003B1F86"/>
    <w:rsid w:val="003B3841"/>
    <w:rsid w:val="003B42A6"/>
    <w:rsid w:val="003B4E96"/>
    <w:rsid w:val="003B59FF"/>
    <w:rsid w:val="003B5A0A"/>
    <w:rsid w:val="003B5A6C"/>
    <w:rsid w:val="003B60E0"/>
    <w:rsid w:val="003B6194"/>
    <w:rsid w:val="003B6481"/>
    <w:rsid w:val="003B6930"/>
    <w:rsid w:val="003B79A7"/>
    <w:rsid w:val="003B7DED"/>
    <w:rsid w:val="003B7E5F"/>
    <w:rsid w:val="003C02BD"/>
    <w:rsid w:val="003C09CD"/>
    <w:rsid w:val="003C170E"/>
    <w:rsid w:val="003C17C6"/>
    <w:rsid w:val="003C1ECE"/>
    <w:rsid w:val="003C2034"/>
    <w:rsid w:val="003C251F"/>
    <w:rsid w:val="003C26E9"/>
    <w:rsid w:val="003C273A"/>
    <w:rsid w:val="003C2A26"/>
    <w:rsid w:val="003C2B93"/>
    <w:rsid w:val="003C2C65"/>
    <w:rsid w:val="003C307A"/>
    <w:rsid w:val="003C3091"/>
    <w:rsid w:val="003C45BA"/>
    <w:rsid w:val="003C5CA4"/>
    <w:rsid w:val="003C6251"/>
    <w:rsid w:val="003C63A1"/>
    <w:rsid w:val="003C7690"/>
    <w:rsid w:val="003C7B04"/>
    <w:rsid w:val="003D0C91"/>
    <w:rsid w:val="003D0E6E"/>
    <w:rsid w:val="003D1C3D"/>
    <w:rsid w:val="003D1DC6"/>
    <w:rsid w:val="003D258B"/>
    <w:rsid w:val="003D259F"/>
    <w:rsid w:val="003D28E4"/>
    <w:rsid w:val="003D2A24"/>
    <w:rsid w:val="003D2D21"/>
    <w:rsid w:val="003D2F77"/>
    <w:rsid w:val="003D3434"/>
    <w:rsid w:val="003D371C"/>
    <w:rsid w:val="003D39A8"/>
    <w:rsid w:val="003D3B73"/>
    <w:rsid w:val="003D3CEA"/>
    <w:rsid w:val="003D4269"/>
    <w:rsid w:val="003D428D"/>
    <w:rsid w:val="003D492A"/>
    <w:rsid w:val="003D5FC1"/>
    <w:rsid w:val="003D6809"/>
    <w:rsid w:val="003D69C8"/>
    <w:rsid w:val="003D771E"/>
    <w:rsid w:val="003E020B"/>
    <w:rsid w:val="003E0B1C"/>
    <w:rsid w:val="003E1A0F"/>
    <w:rsid w:val="003E1B22"/>
    <w:rsid w:val="003E2C2E"/>
    <w:rsid w:val="003E341D"/>
    <w:rsid w:val="003E3427"/>
    <w:rsid w:val="003E3484"/>
    <w:rsid w:val="003E35A0"/>
    <w:rsid w:val="003E369C"/>
    <w:rsid w:val="003E3743"/>
    <w:rsid w:val="003E45A9"/>
    <w:rsid w:val="003E5B74"/>
    <w:rsid w:val="003E6794"/>
    <w:rsid w:val="003E7134"/>
    <w:rsid w:val="003E774F"/>
    <w:rsid w:val="003E7850"/>
    <w:rsid w:val="003E7883"/>
    <w:rsid w:val="003E7BD9"/>
    <w:rsid w:val="003E7D20"/>
    <w:rsid w:val="003F00D3"/>
    <w:rsid w:val="003F102C"/>
    <w:rsid w:val="003F1060"/>
    <w:rsid w:val="003F106C"/>
    <w:rsid w:val="003F1480"/>
    <w:rsid w:val="003F1CA1"/>
    <w:rsid w:val="003F2C1E"/>
    <w:rsid w:val="003F36E1"/>
    <w:rsid w:val="003F39AE"/>
    <w:rsid w:val="003F4668"/>
    <w:rsid w:val="003F4FD2"/>
    <w:rsid w:val="003F50EE"/>
    <w:rsid w:val="003F5887"/>
    <w:rsid w:val="003F732B"/>
    <w:rsid w:val="003F73C8"/>
    <w:rsid w:val="003F7488"/>
    <w:rsid w:val="003F7BC9"/>
    <w:rsid w:val="004000F3"/>
    <w:rsid w:val="004007EA"/>
    <w:rsid w:val="004008D1"/>
    <w:rsid w:val="004017DE"/>
    <w:rsid w:val="00401CBC"/>
    <w:rsid w:val="004025E2"/>
    <w:rsid w:val="00402CF4"/>
    <w:rsid w:val="0040308A"/>
    <w:rsid w:val="0040330E"/>
    <w:rsid w:val="00403969"/>
    <w:rsid w:val="00403D2A"/>
    <w:rsid w:val="004046BC"/>
    <w:rsid w:val="00404D1A"/>
    <w:rsid w:val="004053F2"/>
    <w:rsid w:val="00405414"/>
    <w:rsid w:val="00405DF7"/>
    <w:rsid w:val="00406AA6"/>
    <w:rsid w:val="00406B2B"/>
    <w:rsid w:val="00406F8F"/>
    <w:rsid w:val="00407A74"/>
    <w:rsid w:val="00407B05"/>
    <w:rsid w:val="00411D83"/>
    <w:rsid w:val="00412E0D"/>
    <w:rsid w:val="00413391"/>
    <w:rsid w:val="004135EB"/>
    <w:rsid w:val="004143E3"/>
    <w:rsid w:val="00415447"/>
    <w:rsid w:val="00415E5A"/>
    <w:rsid w:val="0041650B"/>
    <w:rsid w:val="00416A44"/>
    <w:rsid w:val="00417394"/>
    <w:rsid w:val="00421160"/>
    <w:rsid w:val="00421212"/>
    <w:rsid w:val="00421929"/>
    <w:rsid w:val="0042198A"/>
    <w:rsid w:val="00421AF0"/>
    <w:rsid w:val="004224E9"/>
    <w:rsid w:val="004226CA"/>
    <w:rsid w:val="0042284D"/>
    <w:rsid w:val="00422B34"/>
    <w:rsid w:val="00422EB4"/>
    <w:rsid w:val="0042322F"/>
    <w:rsid w:val="00423637"/>
    <w:rsid w:val="0042371E"/>
    <w:rsid w:val="00423CB9"/>
    <w:rsid w:val="00423D8F"/>
    <w:rsid w:val="0042400F"/>
    <w:rsid w:val="00424F6E"/>
    <w:rsid w:val="0042557E"/>
    <w:rsid w:val="00425726"/>
    <w:rsid w:val="0042579C"/>
    <w:rsid w:val="00425C04"/>
    <w:rsid w:val="00425D27"/>
    <w:rsid w:val="0042656B"/>
    <w:rsid w:val="00426744"/>
    <w:rsid w:val="004268F9"/>
    <w:rsid w:val="004272B5"/>
    <w:rsid w:val="00427429"/>
    <w:rsid w:val="004277BF"/>
    <w:rsid w:val="00427E21"/>
    <w:rsid w:val="00430098"/>
    <w:rsid w:val="00430273"/>
    <w:rsid w:val="004304EF"/>
    <w:rsid w:val="00430812"/>
    <w:rsid w:val="004309C1"/>
    <w:rsid w:val="00431451"/>
    <w:rsid w:val="00431A97"/>
    <w:rsid w:val="00432160"/>
    <w:rsid w:val="00433124"/>
    <w:rsid w:val="004332D5"/>
    <w:rsid w:val="00433983"/>
    <w:rsid w:val="00434528"/>
    <w:rsid w:val="004348FD"/>
    <w:rsid w:val="00434B3A"/>
    <w:rsid w:val="004353DB"/>
    <w:rsid w:val="00435A2B"/>
    <w:rsid w:val="00435B3D"/>
    <w:rsid w:val="00435C81"/>
    <w:rsid w:val="00435D7E"/>
    <w:rsid w:val="00436132"/>
    <w:rsid w:val="00436781"/>
    <w:rsid w:val="00436B9B"/>
    <w:rsid w:val="00436FB5"/>
    <w:rsid w:val="0043700A"/>
    <w:rsid w:val="00437F84"/>
    <w:rsid w:val="004400FE"/>
    <w:rsid w:val="004401CE"/>
    <w:rsid w:val="00440795"/>
    <w:rsid w:val="0044120A"/>
    <w:rsid w:val="00441324"/>
    <w:rsid w:val="004416B6"/>
    <w:rsid w:val="00441D85"/>
    <w:rsid w:val="00442F7F"/>
    <w:rsid w:val="00443D4D"/>
    <w:rsid w:val="004440D2"/>
    <w:rsid w:val="00444238"/>
    <w:rsid w:val="004443B4"/>
    <w:rsid w:val="00444517"/>
    <w:rsid w:val="0044453A"/>
    <w:rsid w:val="00444A6B"/>
    <w:rsid w:val="004458A4"/>
    <w:rsid w:val="00445F5A"/>
    <w:rsid w:val="00445FC3"/>
    <w:rsid w:val="004463F9"/>
    <w:rsid w:val="00446457"/>
    <w:rsid w:val="004467FF"/>
    <w:rsid w:val="004471C9"/>
    <w:rsid w:val="00447328"/>
    <w:rsid w:val="004475E1"/>
    <w:rsid w:val="00447B3C"/>
    <w:rsid w:val="00447EA3"/>
    <w:rsid w:val="00447F84"/>
    <w:rsid w:val="0045072F"/>
    <w:rsid w:val="00450815"/>
    <w:rsid w:val="004509CB"/>
    <w:rsid w:val="00451447"/>
    <w:rsid w:val="004514A7"/>
    <w:rsid w:val="004517E4"/>
    <w:rsid w:val="00451B3F"/>
    <w:rsid w:val="0045219F"/>
    <w:rsid w:val="004523CE"/>
    <w:rsid w:val="00453479"/>
    <w:rsid w:val="0045364D"/>
    <w:rsid w:val="00453EBC"/>
    <w:rsid w:val="004541CE"/>
    <w:rsid w:val="0045466C"/>
    <w:rsid w:val="004548F9"/>
    <w:rsid w:val="00454E44"/>
    <w:rsid w:val="00455FD1"/>
    <w:rsid w:val="00456B9B"/>
    <w:rsid w:val="00456CD5"/>
    <w:rsid w:val="0045707F"/>
    <w:rsid w:val="004579CA"/>
    <w:rsid w:val="004579E5"/>
    <w:rsid w:val="004579EB"/>
    <w:rsid w:val="00457EED"/>
    <w:rsid w:val="00457FDF"/>
    <w:rsid w:val="00461A01"/>
    <w:rsid w:val="00461EEB"/>
    <w:rsid w:val="004627FF"/>
    <w:rsid w:val="00462A0D"/>
    <w:rsid w:val="00463151"/>
    <w:rsid w:val="004633D0"/>
    <w:rsid w:val="004634EA"/>
    <w:rsid w:val="00463565"/>
    <w:rsid w:val="004636A1"/>
    <w:rsid w:val="004640DD"/>
    <w:rsid w:val="004641BB"/>
    <w:rsid w:val="004658A7"/>
    <w:rsid w:val="00465B00"/>
    <w:rsid w:val="00466B14"/>
    <w:rsid w:val="00466C46"/>
    <w:rsid w:val="004671B6"/>
    <w:rsid w:val="004708F5"/>
    <w:rsid w:val="0047136D"/>
    <w:rsid w:val="0047172D"/>
    <w:rsid w:val="0047185A"/>
    <w:rsid w:val="00472158"/>
    <w:rsid w:val="004727A0"/>
    <w:rsid w:val="00473E35"/>
    <w:rsid w:val="004743FF"/>
    <w:rsid w:val="004749A8"/>
    <w:rsid w:val="00474F0F"/>
    <w:rsid w:val="00475246"/>
    <w:rsid w:val="00475562"/>
    <w:rsid w:val="00475F2C"/>
    <w:rsid w:val="00476A48"/>
    <w:rsid w:val="00476CB9"/>
    <w:rsid w:val="00476F1C"/>
    <w:rsid w:val="00477AD4"/>
    <w:rsid w:val="00477C57"/>
    <w:rsid w:val="0048013C"/>
    <w:rsid w:val="00481919"/>
    <w:rsid w:val="00481C1C"/>
    <w:rsid w:val="004821AD"/>
    <w:rsid w:val="004827A1"/>
    <w:rsid w:val="00483092"/>
    <w:rsid w:val="00483631"/>
    <w:rsid w:val="0048403A"/>
    <w:rsid w:val="00484259"/>
    <w:rsid w:val="004845FF"/>
    <w:rsid w:val="00484630"/>
    <w:rsid w:val="00484CB7"/>
    <w:rsid w:val="00485190"/>
    <w:rsid w:val="0048520D"/>
    <w:rsid w:val="00485BEB"/>
    <w:rsid w:val="00485FC8"/>
    <w:rsid w:val="004860E8"/>
    <w:rsid w:val="004865CA"/>
    <w:rsid w:val="00490376"/>
    <w:rsid w:val="004903D2"/>
    <w:rsid w:val="004904AA"/>
    <w:rsid w:val="0049092B"/>
    <w:rsid w:val="00491384"/>
    <w:rsid w:val="00491837"/>
    <w:rsid w:val="00491CBF"/>
    <w:rsid w:val="00491E17"/>
    <w:rsid w:val="004920DD"/>
    <w:rsid w:val="004927FF"/>
    <w:rsid w:val="00492FFE"/>
    <w:rsid w:val="0049429B"/>
    <w:rsid w:val="004949F1"/>
    <w:rsid w:val="00495AAC"/>
    <w:rsid w:val="00495DC8"/>
    <w:rsid w:val="004A053D"/>
    <w:rsid w:val="004A064E"/>
    <w:rsid w:val="004A0D4F"/>
    <w:rsid w:val="004A1AED"/>
    <w:rsid w:val="004A1E90"/>
    <w:rsid w:val="004A2007"/>
    <w:rsid w:val="004A20AF"/>
    <w:rsid w:val="004A23DC"/>
    <w:rsid w:val="004A2486"/>
    <w:rsid w:val="004A294B"/>
    <w:rsid w:val="004A2E64"/>
    <w:rsid w:val="004A3902"/>
    <w:rsid w:val="004A4493"/>
    <w:rsid w:val="004A4930"/>
    <w:rsid w:val="004A5641"/>
    <w:rsid w:val="004A5A08"/>
    <w:rsid w:val="004A5A69"/>
    <w:rsid w:val="004A6EAE"/>
    <w:rsid w:val="004A76D5"/>
    <w:rsid w:val="004A7D05"/>
    <w:rsid w:val="004B01C7"/>
    <w:rsid w:val="004B06F2"/>
    <w:rsid w:val="004B0D5C"/>
    <w:rsid w:val="004B0DF7"/>
    <w:rsid w:val="004B11BF"/>
    <w:rsid w:val="004B14CA"/>
    <w:rsid w:val="004B1812"/>
    <w:rsid w:val="004B1843"/>
    <w:rsid w:val="004B1F9F"/>
    <w:rsid w:val="004B3068"/>
    <w:rsid w:val="004B32BF"/>
    <w:rsid w:val="004B36EA"/>
    <w:rsid w:val="004B3B2E"/>
    <w:rsid w:val="004B41F8"/>
    <w:rsid w:val="004B4890"/>
    <w:rsid w:val="004B48BD"/>
    <w:rsid w:val="004B509D"/>
    <w:rsid w:val="004B67F9"/>
    <w:rsid w:val="004B6AAA"/>
    <w:rsid w:val="004B7779"/>
    <w:rsid w:val="004B78A1"/>
    <w:rsid w:val="004B7922"/>
    <w:rsid w:val="004C011A"/>
    <w:rsid w:val="004C0834"/>
    <w:rsid w:val="004C0B23"/>
    <w:rsid w:val="004C18E9"/>
    <w:rsid w:val="004C26C2"/>
    <w:rsid w:val="004C2747"/>
    <w:rsid w:val="004C29BD"/>
    <w:rsid w:val="004C2B5D"/>
    <w:rsid w:val="004C31B4"/>
    <w:rsid w:val="004C3440"/>
    <w:rsid w:val="004C4080"/>
    <w:rsid w:val="004C4120"/>
    <w:rsid w:val="004C4313"/>
    <w:rsid w:val="004C47B6"/>
    <w:rsid w:val="004C489F"/>
    <w:rsid w:val="004C4CAD"/>
    <w:rsid w:val="004C4CCF"/>
    <w:rsid w:val="004C505D"/>
    <w:rsid w:val="004C52D6"/>
    <w:rsid w:val="004C5682"/>
    <w:rsid w:val="004C5A6A"/>
    <w:rsid w:val="004C6797"/>
    <w:rsid w:val="004C695F"/>
    <w:rsid w:val="004C7B4C"/>
    <w:rsid w:val="004D05C1"/>
    <w:rsid w:val="004D1235"/>
    <w:rsid w:val="004D1236"/>
    <w:rsid w:val="004D1426"/>
    <w:rsid w:val="004D193D"/>
    <w:rsid w:val="004D196D"/>
    <w:rsid w:val="004D200D"/>
    <w:rsid w:val="004D22F4"/>
    <w:rsid w:val="004D2ADE"/>
    <w:rsid w:val="004D2CEC"/>
    <w:rsid w:val="004D30AE"/>
    <w:rsid w:val="004D39AB"/>
    <w:rsid w:val="004D3AC5"/>
    <w:rsid w:val="004D4837"/>
    <w:rsid w:val="004D4A96"/>
    <w:rsid w:val="004D4CEB"/>
    <w:rsid w:val="004D52F2"/>
    <w:rsid w:val="004D540F"/>
    <w:rsid w:val="004D5986"/>
    <w:rsid w:val="004D6CB2"/>
    <w:rsid w:val="004D6FB7"/>
    <w:rsid w:val="004D7C17"/>
    <w:rsid w:val="004E01CC"/>
    <w:rsid w:val="004E213B"/>
    <w:rsid w:val="004E2465"/>
    <w:rsid w:val="004E29AC"/>
    <w:rsid w:val="004E3F79"/>
    <w:rsid w:val="004E47BF"/>
    <w:rsid w:val="004E47F7"/>
    <w:rsid w:val="004E4EEE"/>
    <w:rsid w:val="004E5169"/>
    <w:rsid w:val="004E5822"/>
    <w:rsid w:val="004E5A3A"/>
    <w:rsid w:val="004E5BC0"/>
    <w:rsid w:val="004E684B"/>
    <w:rsid w:val="004E6D99"/>
    <w:rsid w:val="004E7453"/>
    <w:rsid w:val="004E78AE"/>
    <w:rsid w:val="004F0DE7"/>
    <w:rsid w:val="004F1263"/>
    <w:rsid w:val="004F1FC8"/>
    <w:rsid w:val="004F2104"/>
    <w:rsid w:val="004F328C"/>
    <w:rsid w:val="004F4616"/>
    <w:rsid w:val="004F4BA7"/>
    <w:rsid w:val="004F568D"/>
    <w:rsid w:val="004F56FD"/>
    <w:rsid w:val="004F5D8D"/>
    <w:rsid w:val="004F6634"/>
    <w:rsid w:val="004F714F"/>
    <w:rsid w:val="005005E4"/>
    <w:rsid w:val="00500617"/>
    <w:rsid w:val="00501178"/>
    <w:rsid w:val="00501438"/>
    <w:rsid w:val="00501826"/>
    <w:rsid w:val="0050307F"/>
    <w:rsid w:val="005042F2"/>
    <w:rsid w:val="00504419"/>
    <w:rsid w:val="00504969"/>
    <w:rsid w:val="0050615D"/>
    <w:rsid w:val="0050623D"/>
    <w:rsid w:val="00506F4C"/>
    <w:rsid w:val="005100ED"/>
    <w:rsid w:val="0051021C"/>
    <w:rsid w:val="00510E45"/>
    <w:rsid w:val="0051157F"/>
    <w:rsid w:val="00511DA9"/>
    <w:rsid w:val="00512E56"/>
    <w:rsid w:val="00512FE1"/>
    <w:rsid w:val="005134CB"/>
    <w:rsid w:val="005134FA"/>
    <w:rsid w:val="00515DB2"/>
    <w:rsid w:val="00516063"/>
    <w:rsid w:val="00516DC5"/>
    <w:rsid w:val="00516F5F"/>
    <w:rsid w:val="005179BA"/>
    <w:rsid w:val="00520493"/>
    <w:rsid w:val="00520C09"/>
    <w:rsid w:val="00520E23"/>
    <w:rsid w:val="0052103F"/>
    <w:rsid w:val="00521618"/>
    <w:rsid w:val="005216C7"/>
    <w:rsid w:val="00521C21"/>
    <w:rsid w:val="00521CBF"/>
    <w:rsid w:val="00521DF0"/>
    <w:rsid w:val="0052291B"/>
    <w:rsid w:val="00522A10"/>
    <w:rsid w:val="00523074"/>
    <w:rsid w:val="005237CB"/>
    <w:rsid w:val="00523B3B"/>
    <w:rsid w:val="00524381"/>
    <w:rsid w:val="00524549"/>
    <w:rsid w:val="005245A9"/>
    <w:rsid w:val="005249A1"/>
    <w:rsid w:val="00524D90"/>
    <w:rsid w:val="00525739"/>
    <w:rsid w:val="00526104"/>
    <w:rsid w:val="0052678D"/>
    <w:rsid w:val="00526BE3"/>
    <w:rsid w:val="00526C80"/>
    <w:rsid w:val="00527306"/>
    <w:rsid w:val="0052747C"/>
    <w:rsid w:val="005307EF"/>
    <w:rsid w:val="00530DFC"/>
    <w:rsid w:val="0053191A"/>
    <w:rsid w:val="00531FD4"/>
    <w:rsid w:val="00532AA2"/>
    <w:rsid w:val="00532DF4"/>
    <w:rsid w:val="0053393E"/>
    <w:rsid w:val="0053515C"/>
    <w:rsid w:val="00536372"/>
    <w:rsid w:val="005369E8"/>
    <w:rsid w:val="00536B42"/>
    <w:rsid w:val="00536EB6"/>
    <w:rsid w:val="005370D7"/>
    <w:rsid w:val="005375BA"/>
    <w:rsid w:val="0054064C"/>
    <w:rsid w:val="00540E42"/>
    <w:rsid w:val="00542E5D"/>
    <w:rsid w:val="00543258"/>
    <w:rsid w:val="005433B9"/>
    <w:rsid w:val="00543694"/>
    <w:rsid w:val="005436BA"/>
    <w:rsid w:val="00543794"/>
    <w:rsid w:val="0054382D"/>
    <w:rsid w:val="005439B5"/>
    <w:rsid w:val="00543F0E"/>
    <w:rsid w:val="00544131"/>
    <w:rsid w:val="00544CC6"/>
    <w:rsid w:val="00544FFA"/>
    <w:rsid w:val="005456D4"/>
    <w:rsid w:val="005459C8"/>
    <w:rsid w:val="00546983"/>
    <w:rsid w:val="00547284"/>
    <w:rsid w:val="005474EA"/>
    <w:rsid w:val="005477C6"/>
    <w:rsid w:val="005477D0"/>
    <w:rsid w:val="005478F8"/>
    <w:rsid w:val="005503D3"/>
    <w:rsid w:val="00550895"/>
    <w:rsid w:val="00551205"/>
    <w:rsid w:val="005512A9"/>
    <w:rsid w:val="00551E2F"/>
    <w:rsid w:val="00551FE9"/>
    <w:rsid w:val="00552632"/>
    <w:rsid w:val="00552641"/>
    <w:rsid w:val="00552A9D"/>
    <w:rsid w:val="00553821"/>
    <w:rsid w:val="00554DE0"/>
    <w:rsid w:val="005564AD"/>
    <w:rsid w:val="00556E28"/>
    <w:rsid w:val="00556EE7"/>
    <w:rsid w:val="00557093"/>
    <w:rsid w:val="00557432"/>
    <w:rsid w:val="00557435"/>
    <w:rsid w:val="00557E38"/>
    <w:rsid w:val="00557F15"/>
    <w:rsid w:val="00560339"/>
    <w:rsid w:val="005606FB"/>
    <w:rsid w:val="00560946"/>
    <w:rsid w:val="005616B3"/>
    <w:rsid w:val="00561C80"/>
    <w:rsid w:val="00561FF9"/>
    <w:rsid w:val="00562401"/>
    <w:rsid w:val="005629D0"/>
    <w:rsid w:val="005647BC"/>
    <w:rsid w:val="00564D93"/>
    <w:rsid w:val="0056524D"/>
    <w:rsid w:val="00565B09"/>
    <w:rsid w:val="00565CB1"/>
    <w:rsid w:val="00566832"/>
    <w:rsid w:val="00566BFF"/>
    <w:rsid w:val="00566E28"/>
    <w:rsid w:val="00566E56"/>
    <w:rsid w:val="00567406"/>
    <w:rsid w:val="00567F30"/>
    <w:rsid w:val="00570153"/>
    <w:rsid w:val="0057148A"/>
    <w:rsid w:val="00571C0C"/>
    <w:rsid w:val="005724A8"/>
    <w:rsid w:val="005724DF"/>
    <w:rsid w:val="00572DC4"/>
    <w:rsid w:val="00573166"/>
    <w:rsid w:val="005731FC"/>
    <w:rsid w:val="00573AA4"/>
    <w:rsid w:val="0057429A"/>
    <w:rsid w:val="00574324"/>
    <w:rsid w:val="005746DE"/>
    <w:rsid w:val="0057488E"/>
    <w:rsid w:val="0057499E"/>
    <w:rsid w:val="0057556B"/>
    <w:rsid w:val="0057627A"/>
    <w:rsid w:val="00576561"/>
    <w:rsid w:val="00576C5E"/>
    <w:rsid w:val="00576F62"/>
    <w:rsid w:val="00577643"/>
    <w:rsid w:val="00577C2F"/>
    <w:rsid w:val="005810D3"/>
    <w:rsid w:val="00581CA0"/>
    <w:rsid w:val="00581D1D"/>
    <w:rsid w:val="00581D5E"/>
    <w:rsid w:val="0058201D"/>
    <w:rsid w:val="00582578"/>
    <w:rsid w:val="0058329E"/>
    <w:rsid w:val="00583D9C"/>
    <w:rsid w:val="005844DF"/>
    <w:rsid w:val="00584662"/>
    <w:rsid w:val="00584AF1"/>
    <w:rsid w:val="00584C90"/>
    <w:rsid w:val="005854FF"/>
    <w:rsid w:val="0058556C"/>
    <w:rsid w:val="005858CA"/>
    <w:rsid w:val="00585A93"/>
    <w:rsid w:val="00585D63"/>
    <w:rsid w:val="00585D6B"/>
    <w:rsid w:val="00586318"/>
    <w:rsid w:val="00586405"/>
    <w:rsid w:val="00586422"/>
    <w:rsid w:val="00586710"/>
    <w:rsid w:val="005876CC"/>
    <w:rsid w:val="0058799C"/>
    <w:rsid w:val="00587A8B"/>
    <w:rsid w:val="00587D21"/>
    <w:rsid w:val="00591060"/>
    <w:rsid w:val="005913FF"/>
    <w:rsid w:val="00592564"/>
    <w:rsid w:val="00592A29"/>
    <w:rsid w:val="00593DD1"/>
    <w:rsid w:val="00594A9F"/>
    <w:rsid w:val="0059535B"/>
    <w:rsid w:val="00595887"/>
    <w:rsid w:val="00595B64"/>
    <w:rsid w:val="00595D69"/>
    <w:rsid w:val="00596530"/>
    <w:rsid w:val="00596C21"/>
    <w:rsid w:val="00596F92"/>
    <w:rsid w:val="0059726E"/>
    <w:rsid w:val="00597351"/>
    <w:rsid w:val="0059785C"/>
    <w:rsid w:val="005A0049"/>
    <w:rsid w:val="005A0455"/>
    <w:rsid w:val="005A0FFC"/>
    <w:rsid w:val="005A11F4"/>
    <w:rsid w:val="005A134F"/>
    <w:rsid w:val="005A1C03"/>
    <w:rsid w:val="005A1C51"/>
    <w:rsid w:val="005A2239"/>
    <w:rsid w:val="005A25D8"/>
    <w:rsid w:val="005A2745"/>
    <w:rsid w:val="005A3430"/>
    <w:rsid w:val="005A346B"/>
    <w:rsid w:val="005A40D8"/>
    <w:rsid w:val="005A49C3"/>
    <w:rsid w:val="005A4A7E"/>
    <w:rsid w:val="005A52D8"/>
    <w:rsid w:val="005A54DD"/>
    <w:rsid w:val="005A5981"/>
    <w:rsid w:val="005A65BF"/>
    <w:rsid w:val="005A6649"/>
    <w:rsid w:val="005A6763"/>
    <w:rsid w:val="005A6C7C"/>
    <w:rsid w:val="005A6CCE"/>
    <w:rsid w:val="005A74C2"/>
    <w:rsid w:val="005A7A9E"/>
    <w:rsid w:val="005B0E83"/>
    <w:rsid w:val="005B1025"/>
    <w:rsid w:val="005B10DF"/>
    <w:rsid w:val="005B2243"/>
    <w:rsid w:val="005B2F40"/>
    <w:rsid w:val="005B37DA"/>
    <w:rsid w:val="005B40C6"/>
    <w:rsid w:val="005B44EB"/>
    <w:rsid w:val="005B474E"/>
    <w:rsid w:val="005B4E49"/>
    <w:rsid w:val="005B4F19"/>
    <w:rsid w:val="005B62D1"/>
    <w:rsid w:val="005B718E"/>
    <w:rsid w:val="005B7F96"/>
    <w:rsid w:val="005C0FA0"/>
    <w:rsid w:val="005C11EC"/>
    <w:rsid w:val="005C1517"/>
    <w:rsid w:val="005C1B8A"/>
    <w:rsid w:val="005C33EE"/>
    <w:rsid w:val="005C3B17"/>
    <w:rsid w:val="005C3F89"/>
    <w:rsid w:val="005C478B"/>
    <w:rsid w:val="005C51C2"/>
    <w:rsid w:val="005C5E71"/>
    <w:rsid w:val="005C605E"/>
    <w:rsid w:val="005C64E2"/>
    <w:rsid w:val="005C678A"/>
    <w:rsid w:val="005C7B44"/>
    <w:rsid w:val="005C7FDE"/>
    <w:rsid w:val="005D02FB"/>
    <w:rsid w:val="005D0373"/>
    <w:rsid w:val="005D0A8D"/>
    <w:rsid w:val="005D0F1C"/>
    <w:rsid w:val="005D0FAC"/>
    <w:rsid w:val="005D11AF"/>
    <w:rsid w:val="005D1BA1"/>
    <w:rsid w:val="005D206E"/>
    <w:rsid w:val="005D2B33"/>
    <w:rsid w:val="005D2E5B"/>
    <w:rsid w:val="005D3655"/>
    <w:rsid w:val="005D38A6"/>
    <w:rsid w:val="005D4470"/>
    <w:rsid w:val="005D6130"/>
    <w:rsid w:val="005D6292"/>
    <w:rsid w:val="005D6500"/>
    <w:rsid w:val="005D6B7E"/>
    <w:rsid w:val="005D6E8A"/>
    <w:rsid w:val="005D6EC8"/>
    <w:rsid w:val="005D746C"/>
    <w:rsid w:val="005D7758"/>
    <w:rsid w:val="005E0101"/>
    <w:rsid w:val="005E0125"/>
    <w:rsid w:val="005E0914"/>
    <w:rsid w:val="005E15BB"/>
    <w:rsid w:val="005E1B68"/>
    <w:rsid w:val="005E1E46"/>
    <w:rsid w:val="005E22C9"/>
    <w:rsid w:val="005E24BB"/>
    <w:rsid w:val="005E2C67"/>
    <w:rsid w:val="005E3D03"/>
    <w:rsid w:val="005E3D4F"/>
    <w:rsid w:val="005E44BE"/>
    <w:rsid w:val="005E48B7"/>
    <w:rsid w:val="005E56C0"/>
    <w:rsid w:val="005E56D8"/>
    <w:rsid w:val="005E5C45"/>
    <w:rsid w:val="005E5E10"/>
    <w:rsid w:val="005E6358"/>
    <w:rsid w:val="005E63C4"/>
    <w:rsid w:val="005E64A2"/>
    <w:rsid w:val="005E69A0"/>
    <w:rsid w:val="005E6D98"/>
    <w:rsid w:val="005E7410"/>
    <w:rsid w:val="005E7D42"/>
    <w:rsid w:val="005F0115"/>
    <w:rsid w:val="005F0A39"/>
    <w:rsid w:val="005F12B8"/>
    <w:rsid w:val="005F2208"/>
    <w:rsid w:val="005F297D"/>
    <w:rsid w:val="005F29F7"/>
    <w:rsid w:val="005F38EF"/>
    <w:rsid w:val="005F3A6D"/>
    <w:rsid w:val="005F4584"/>
    <w:rsid w:val="005F4BB6"/>
    <w:rsid w:val="005F593D"/>
    <w:rsid w:val="005F6618"/>
    <w:rsid w:val="005F7263"/>
    <w:rsid w:val="005F7831"/>
    <w:rsid w:val="006007D4"/>
    <w:rsid w:val="006011A6"/>
    <w:rsid w:val="006012DA"/>
    <w:rsid w:val="00601696"/>
    <w:rsid w:val="00601A8C"/>
    <w:rsid w:val="00602318"/>
    <w:rsid w:val="006024AF"/>
    <w:rsid w:val="00602EA6"/>
    <w:rsid w:val="00602EF0"/>
    <w:rsid w:val="0060466A"/>
    <w:rsid w:val="00604D7D"/>
    <w:rsid w:val="0060517B"/>
    <w:rsid w:val="006056EF"/>
    <w:rsid w:val="00606548"/>
    <w:rsid w:val="00606765"/>
    <w:rsid w:val="0060678D"/>
    <w:rsid w:val="00606FC4"/>
    <w:rsid w:val="0060723A"/>
    <w:rsid w:val="00607C2D"/>
    <w:rsid w:val="00610A2C"/>
    <w:rsid w:val="00610DAD"/>
    <w:rsid w:val="00610E65"/>
    <w:rsid w:val="00611A59"/>
    <w:rsid w:val="006125D2"/>
    <w:rsid w:val="00612816"/>
    <w:rsid w:val="00612C05"/>
    <w:rsid w:val="00612FCC"/>
    <w:rsid w:val="00613DA1"/>
    <w:rsid w:val="006148AF"/>
    <w:rsid w:val="006153B0"/>
    <w:rsid w:val="00615BB3"/>
    <w:rsid w:val="00615DAD"/>
    <w:rsid w:val="006161F9"/>
    <w:rsid w:val="006167F7"/>
    <w:rsid w:val="00616A00"/>
    <w:rsid w:val="0061717D"/>
    <w:rsid w:val="0061741C"/>
    <w:rsid w:val="00617CB1"/>
    <w:rsid w:val="006205C6"/>
    <w:rsid w:val="00620732"/>
    <w:rsid w:val="00620A2F"/>
    <w:rsid w:val="00620C59"/>
    <w:rsid w:val="00620CB1"/>
    <w:rsid w:val="00622E64"/>
    <w:rsid w:val="00623245"/>
    <w:rsid w:val="00624024"/>
    <w:rsid w:val="00624215"/>
    <w:rsid w:val="00624279"/>
    <w:rsid w:val="0062457C"/>
    <w:rsid w:val="00624885"/>
    <w:rsid w:val="00624A46"/>
    <w:rsid w:val="00624BF1"/>
    <w:rsid w:val="00624CE2"/>
    <w:rsid w:val="0062572B"/>
    <w:rsid w:val="00625866"/>
    <w:rsid w:val="00630792"/>
    <w:rsid w:val="006311B1"/>
    <w:rsid w:val="00631764"/>
    <w:rsid w:val="0063226D"/>
    <w:rsid w:val="006326B5"/>
    <w:rsid w:val="0063296B"/>
    <w:rsid w:val="00632971"/>
    <w:rsid w:val="00632E1F"/>
    <w:rsid w:val="00632E2F"/>
    <w:rsid w:val="00634D43"/>
    <w:rsid w:val="00635271"/>
    <w:rsid w:val="006359CF"/>
    <w:rsid w:val="00636158"/>
    <w:rsid w:val="0063645A"/>
    <w:rsid w:val="006365A3"/>
    <w:rsid w:val="006366BA"/>
    <w:rsid w:val="00636B9A"/>
    <w:rsid w:val="00636F03"/>
    <w:rsid w:val="006374D0"/>
    <w:rsid w:val="00637DB7"/>
    <w:rsid w:val="006403AD"/>
    <w:rsid w:val="00640A9F"/>
    <w:rsid w:val="00641163"/>
    <w:rsid w:val="00641454"/>
    <w:rsid w:val="006415C2"/>
    <w:rsid w:val="00641765"/>
    <w:rsid w:val="0064227D"/>
    <w:rsid w:val="006425E2"/>
    <w:rsid w:val="00642AF1"/>
    <w:rsid w:val="006437EF"/>
    <w:rsid w:val="00643887"/>
    <w:rsid w:val="00643961"/>
    <w:rsid w:val="00643975"/>
    <w:rsid w:val="00644707"/>
    <w:rsid w:val="00644839"/>
    <w:rsid w:val="00644904"/>
    <w:rsid w:val="00644A3F"/>
    <w:rsid w:val="00644BAE"/>
    <w:rsid w:val="00644F4B"/>
    <w:rsid w:val="006452E8"/>
    <w:rsid w:val="00645442"/>
    <w:rsid w:val="0064570B"/>
    <w:rsid w:val="00646862"/>
    <w:rsid w:val="0064735B"/>
    <w:rsid w:val="006476A8"/>
    <w:rsid w:val="006477C1"/>
    <w:rsid w:val="006478F6"/>
    <w:rsid w:val="00650255"/>
    <w:rsid w:val="00650374"/>
    <w:rsid w:val="006505DE"/>
    <w:rsid w:val="0065091C"/>
    <w:rsid w:val="0065140E"/>
    <w:rsid w:val="00651440"/>
    <w:rsid w:val="0065231D"/>
    <w:rsid w:val="00652395"/>
    <w:rsid w:val="006525B2"/>
    <w:rsid w:val="0065272C"/>
    <w:rsid w:val="006527AF"/>
    <w:rsid w:val="00652B48"/>
    <w:rsid w:val="00652C24"/>
    <w:rsid w:val="0065548C"/>
    <w:rsid w:val="00656001"/>
    <w:rsid w:val="0065607E"/>
    <w:rsid w:val="0065629B"/>
    <w:rsid w:val="0065673F"/>
    <w:rsid w:val="00657181"/>
    <w:rsid w:val="006574DB"/>
    <w:rsid w:val="00657AB1"/>
    <w:rsid w:val="00657D7A"/>
    <w:rsid w:val="00657D99"/>
    <w:rsid w:val="006600E9"/>
    <w:rsid w:val="006608D5"/>
    <w:rsid w:val="00660F86"/>
    <w:rsid w:val="00661BE8"/>
    <w:rsid w:val="00661D65"/>
    <w:rsid w:val="006625D8"/>
    <w:rsid w:val="00662D2E"/>
    <w:rsid w:val="00662EFA"/>
    <w:rsid w:val="00663E7F"/>
    <w:rsid w:val="006647BB"/>
    <w:rsid w:val="00664D34"/>
    <w:rsid w:val="0066562E"/>
    <w:rsid w:val="00666F7A"/>
    <w:rsid w:val="006679BD"/>
    <w:rsid w:val="00667B27"/>
    <w:rsid w:val="00667D19"/>
    <w:rsid w:val="00667E30"/>
    <w:rsid w:val="00670F65"/>
    <w:rsid w:val="006711C5"/>
    <w:rsid w:val="00671AC1"/>
    <w:rsid w:val="00671DAB"/>
    <w:rsid w:val="00672C8A"/>
    <w:rsid w:val="00672F10"/>
    <w:rsid w:val="0067300F"/>
    <w:rsid w:val="0067317B"/>
    <w:rsid w:val="00673786"/>
    <w:rsid w:val="00673AEF"/>
    <w:rsid w:val="006743F8"/>
    <w:rsid w:val="0067533F"/>
    <w:rsid w:val="00675583"/>
    <w:rsid w:val="00675693"/>
    <w:rsid w:val="00676029"/>
    <w:rsid w:val="0067623B"/>
    <w:rsid w:val="00676320"/>
    <w:rsid w:val="00676705"/>
    <w:rsid w:val="00677B86"/>
    <w:rsid w:val="006806F4"/>
    <w:rsid w:val="00680B41"/>
    <w:rsid w:val="00680D60"/>
    <w:rsid w:val="00681224"/>
    <w:rsid w:val="006819A5"/>
    <w:rsid w:val="00681AC1"/>
    <w:rsid w:val="006826A6"/>
    <w:rsid w:val="006827FD"/>
    <w:rsid w:val="00682CE6"/>
    <w:rsid w:val="0068301B"/>
    <w:rsid w:val="0068393C"/>
    <w:rsid w:val="00683ED7"/>
    <w:rsid w:val="00684564"/>
    <w:rsid w:val="006845D8"/>
    <w:rsid w:val="00684DE5"/>
    <w:rsid w:val="006852C4"/>
    <w:rsid w:val="0068533B"/>
    <w:rsid w:val="006854C6"/>
    <w:rsid w:val="006856BF"/>
    <w:rsid w:val="00686448"/>
    <w:rsid w:val="00686B31"/>
    <w:rsid w:val="00686C6D"/>
    <w:rsid w:val="00687EA5"/>
    <w:rsid w:val="0069026A"/>
    <w:rsid w:val="006908C8"/>
    <w:rsid w:val="00690BDC"/>
    <w:rsid w:val="00690F4D"/>
    <w:rsid w:val="00691450"/>
    <w:rsid w:val="006915F6"/>
    <w:rsid w:val="006916ED"/>
    <w:rsid w:val="00691734"/>
    <w:rsid w:val="00691918"/>
    <w:rsid w:val="00691AD0"/>
    <w:rsid w:val="00691B55"/>
    <w:rsid w:val="00691F22"/>
    <w:rsid w:val="0069279B"/>
    <w:rsid w:val="006928D6"/>
    <w:rsid w:val="00692BB8"/>
    <w:rsid w:val="006931A4"/>
    <w:rsid w:val="00693F64"/>
    <w:rsid w:val="0069477A"/>
    <w:rsid w:val="00695F0D"/>
    <w:rsid w:val="00696205"/>
    <w:rsid w:val="006967C7"/>
    <w:rsid w:val="00696F8F"/>
    <w:rsid w:val="00697158"/>
    <w:rsid w:val="00697474"/>
    <w:rsid w:val="00697E49"/>
    <w:rsid w:val="006A0EE7"/>
    <w:rsid w:val="006A1A39"/>
    <w:rsid w:val="006A1C00"/>
    <w:rsid w:val="006A21BF"/>
    <w:rsid w:val="006A2224"/>
    <w:rsid w:val="006A2678"/>
    <w:rsid w:val="006A2AD7"/>
    <w:rsid w:val="006A2C76"/>
    <w:rsid w:val="006A2EBE"/>
    <w:rsid w:val="006A3734"/>
    <w:rsid w:val="006A3992"/>
    <w:rsid w:val="006A3AAE"/>
    <w:rsid w:val="006A3F1A"/>
    <w:rsid w:val="006A403D"/>
    <w:rsid w:val="006A4F12"/>
    <w:rsid w:val="006A5A20"/>
    <w:rsid w:val="006A60C5"/>
    <w:rsid w:val="006A6241"/>
    <w:rsid w:val="006A687C"/>
    <w:rsid w:val="006A6C4C"/>
    <w:rsid w:val="006A71BF"/>
    <w:rsid w:val="006A786D"/>
    <w:rsid w:val="006A7924"/>
    <w:rsid w:val="006A7FF9"/>
    <w:rsid w:val="006B01CB"/>
    <w:rsid w:val="006B0460"/>
    <w:rsid w:val="006B0657"/>
    <w:rsid w:val="006B0A9F"/>
    <w:rsid w:val="006B0E62"/>
    <w:rsid w:val="006B175E"/>
    <w:rsid w:val="006B1772"/>
    <w:rsid w:val="006B1DC9"/>
    <w:rsid w:val="006B2671"/>
    <w:rsid w:val="006B300B"/>
    <w:rsid w:val="006B37AB"/>
    <w:rsid w:val="006B4153"/>
    <w:rsid w:val="006B41FA"/>
    <w:rsid w:val="006B4777"/>
    <w:rsid w:val="006B4FE9"/>
    <w:rsid w:val="006B5997"/>
    <w:rsid w:val="006B5E8E"/>
    <w:rsid w:val="006B6517"/>
    <w:rsid w:val="006B68D7"/>
    <w:rsid w:val="006B69DD"/>
    <w:rsid w:val="006B6A0F"/>
    <w:rsid w:val="006C08B9"/>
    <w:rsid w:val="006C1121"/>
    <w:rsid w:val="006C1A23"/>
    <w:rsid w:val="006C1D21"/>
    <w:rsid w:val="006C20D3"/>
    <w:rsid w:val="006C3544"/>
    <w:rsid w:val="006C3A12"/>
    <w:rsid w:val="006C3D03"/>
    <w:rsid w:val="006C4EB9"/>
    <w:rsid w:val="006C53DA"/>
    <w:rsid w:val="006C56ED"/>
    <w:rsid w:val="006C66CF"/>
    <w:rsid w:val="006C78E5"/>
    <w:rsid w:val="006C7A44"/>
    <w:rsid w:val="006C7B84"/>
    <w:rsid w:val="006C7E4D"/>
    <w:rsid w:val="006C7E6A"/>
    <w:rsid w:val="006C7EEC"/>
    <w:rsid w:val="006D06DD"/>
    <w:rsid w:val="006D0BF5"/>
    <w:rsid w:val="006D142C"/>
    <w:rsid w:val="006D1668"/>
    <w:rsid w:val="006D2414"/>
    <w:rsid w:val="006D2782"/>
    <w:rsid w:val="006D2D86"/>
    <w:rsid w:val="006D308A"/>
    <w:rsid w:val="006D3570"/>
    <w:rsid w:val="006D35DB"/>
    <w:rsid w:val="006D382A"/>
    <w:rsid w:val="006D3CAE"/>
    <w:rsid w:val="006D4450"/>
    <w:rsid w:val="006D576B"/>
    <w:rsid w:val="006D608F"/>
    <w:rsid w:val="006D618A"/>
    <w:rsid w:val="006D6500"/>
    <w:rsid w:val="006D6682"/>
    <w:rsid w:val="006D7040"/>
    <w:rsid w:val="006D7B08"/>
    <w:rsid w:val="006E0BB9"/>
    <w:rsid w:val="006E0CB0"/>
    <w:rsid w:val="006E0CCD"/>
    <w:rsid w:val="006E1F31"/>
    <w:rsid w:val="006E2D95"/>
    <w:rsid w:val="006E3463"/>
    <w:rsid w:val="006E380C"/>
    <w:rsid w:val="006E4432"/>
    <w:rsid w:val="006E4946"/>
    <w:rsid w:val="006E4F40"/>
    <w:rsid w:val="006E5315"/>
    <w:rsid w:val="006E6080"/>
    <w:rsid w:val="006E62C3"/>
    <w:rsid w:val="006E63EA"/>
    <w:rsid w:val="006E6669"/>
    <w:rsid w:val="006E6FFB"/>
    <w:rsid w:val="006E7872"/>
    <w:rsid w:val="006E7BCB"/>
    <w:rsid w:val="006F04E2"/>
    <w:rsid w:val="006F0ABA"/>
    <w:rsid w:val="006F0CFC"/>
    <w:rsid w:val="006F12E9"/>
    <w:rsid w:val="006F1840"/>
    <w:rsid w:val="006F19CA"/>
    <w:rsid w:val="006F1B09"/>
    <w:rsid w:val="006F27E5"/>
    <w:rsid w:val="006F332D"/>
    <w:rsid w:val="006F3D4D"/>
    <w:rsid w:val="006F42FA"/>
    <w:rsid w:val="006F4577"/>
    <w:rsid w:val="006F53EF"/>
    <w:rsid w:val="006F5583"/>
    <w:rsid w:val="006F5CD0"/>
    <w:rsid w:val="006F62F9"/>
    <w:rsid w:val="006F7380"/>
    <w:rsid w:val="006F794F"/>
    <w:rsid w:val="006F7971"/>
    <w:rsid w:val="006F7ED3"/>
    <w:rsid w:val="006F7FE1"/>
    <w:rsid w:val="00700832"/>
    <w:rsid w:val="00700B85"/>
    <w:rsid w:val="00700CCF"/>
    <w:rsid w:val="00700EC2"/>
    <w:rsid w:val="0070125A"/>
    <w:rsid w:val="00701CBA"/>
    <w:rsid w:val="00702112"/>
    <w:rsid w:val="00702491"/>
    <w:rsid w:val="00702F49"/>
    <w:rsid w:val="0070362E"/>
    <w:rsid w:val="00703680"/>
    <w:rsid w:val="00703973"/>
    <w:rsid w:val="00703A17"/>
    <w:rsid w:val="00703CB8"/>
    <w:rsid w:val="007047F7"/>
    <w:rsid w:val="00705026"/>
    <w:rsid w:val="00705051"/>
    <w:rsid w:val="00705C2F"/>
    <w:rsid w:val="00705E41"/>
    <w:rsid w:val="007070A2"/>
    <w:rsid w:val="00707512"/>
    <w:rsid w:val="00707745"/>
    <w:rsid w:val="00707857"/>
    <w:rsid w:val="00707900"/>
    <w:rsid w:val="007107D4"/>
    <w:rsid w:val="007121F2"/>
    <w:rsid w:val="007126F9"/>
    <w:rsid w:val="00713C42"/>
    <w:rsid w:val="007142D7"/>
    <w:rsid w:val="00714493"/>
    <w:rsid w:val="00714606"/>
    <w:rsid w:val="00714E2E"/>
    <w:rsid w:val="007160F5"/>
    <w:rsid w:val="0071614B"/>
    <w:rsid w:val="00716CDC"/>
    <w:rsid w:val="0071721E"/>
    <w:rsid w:val="007175C6"/>
    <w:rsid w:val="00717FA5"/>
    <w:rsid w:val="007209C1"/>
    <w:rsid w:val="0072149F"/>
    <w:rsid w:val="00721633"/>
    <w:rsid w:val="00722722"/>
    <w:rsid w:val="00722AF0"/>
    <w:rsid w:val="00723379"/>
    <w:rsid w:val="0072339E"/>
    <w:rsid w:val="00723791"/>
    <w:rsid w:val="00724344"/>
    <w:rsid w:val="007247D7"/>
    <w:rsid w:val="007249D3"/>
    <w:rsid w:val="0072582C"/>
    <w:rsid w:val="00725936"/>
    <w:rsid w:val="00726671"/>
    <w:rsid w:val="0072741F"/>
    <w:rsid w:val="00727BCA"/>
    <w:rsid w:val="00727EF5"/>
    <w:rsid w:val="00727F41"/>
    <w:rsid w:val="007304D0"/>
    <w:rsid w:val="00730C57"/>
    <w:rsid w:val="00730D3F"/>
    <w:rsid w:val="00730FFD"/>
    <w:rsid w:val="00731096"/>
    <w:rsid w:val="00731FA3"/>
    <w:rsid w:val="00732404"/>
    <w:rsid w:val="0073267F"/>
    <w:rsid w:val="00733160"/>
    <w:rsid w:val="007331F3"/>
    <w:rsid w:val="00733614"/>
    <w:rsid w:val="0073366F"/>
    <w:rsid w:val="00733D8E"/>
    <w:rsid w:val="00734395"/>
    <w:rsid w:val="00734429"/>
    <w:rsid w:val="00734A34"/>
    <w:rsid w:val="007352B4"/>
    <w:rsid w:val="00735585"/>
    <w:rsid w:val="007359C9"/>
    <w:rsid w:val="007367D8"/>
    <w:rsid w:val="00736FC2"/>
    <w:rsid w:val="00737481"/>
    <w:rsid w:val="00737A56"/>
    <w:rsid w:val="00737CC9"/>
    <w:rsid w:val="00737D0A"/>
    <w:rsid w:val="00740289"/>
    <w:rsid w:val="007408A4"/>
    <w:rsid w:val="00740EE9"/>
    <w:rsid w:val="00740F58"/>
    <w:rsid w:val="00741483"/>
    <w:rsid w:val="00742058"/>
    <w:rsid w:val="0074280D"/>
    <w:rsid w:val="00742DE8"/>
    <w:rsid w:val="0074337F"/>
    <w:rsid w:val="007436D4"/>
    <w:rsid w:val="0074421F"/>
    <w:rsid w:val="00745063"/>
    <w:rsid w:val="007453C4"/>
    <w:rsid w:val="00745600"/>
    <w:rsid w:val="007456F5"/>
    <w:rsid w:val="007465FB"/>
    <w:rsid w:val="00746ADE"/>
    <w:rsid w:val="00746E6A"/>
    <w:rsid w:val="007475A4"/>
    <w:rsid w:val="007477FE"/>
    <w:rsid w:val="00747F03"/>
    <w:rsid w:val="007502CA"/>
    <w:rsid w:val="007511B9"/>
    <w:rsid w:val="00751600"/>
    <w:rsid w:val="00751B5A"/>
    <w:rsid w:val="00751CDB"/>
    <w:rsid w:val="0075344B"/>
    <w:rsid w:val="007537FD"/>
    <w:rsid w:val="007538F0"/>
    <w:rsid w:val="007541A7"/>
    <w:rsid w:val="00754591"/>
    <w:rsid w:val="00755022"/>
    <w:rsid w:val="007552E8"/>
    <w:rsid w:val="00755B29"/>
    <w:rsid w:val="00755D53"/>
    <w:rsid w:val="00755FCC"/>
    <w:rsid w:val="007562E3"/>
    <w:rsid w:val="007566D6"/>
    <w:rsid w:val="007569EC"/>
    <w:rsid w:val="00756BC6"/>
    <w:rsid w:val="00756CAA"/>
    <w:rsid w:val="007571F7"/>
    <w:rsid w:val="00757C1B"/>
    <w:rsid w:val="00757CE0"/>
    <w:rsid w:val="0076004E"/>
    <w:rsid w:val="00760981"/>
    <w:rsid w:val="00760ADA"/>
    <w:rsid w:val="00761113"/>
    <w:rsid w:val="007616E1"/>
    <w:rsid w:val="00762053"/>
    <w:rsid w:val="00762766"/>
    <w:rsid w:val="00763A80"/>
    <w:rsid w:val="007642FE"/>
    <w:rsid w:val="00764905"/>
    <w:rsid w:val="00764BE0"/>
    <w:rsid w:val="00764EE2"/>
    <w:rsid w:val="00765298"/>
    <w:rsid w:val="00765DD8"/>
    <w:rsid w:val="007661C5"/>
    <w:rsid w:val="00766542"/>
    <w:rsid w:val="00767A82"/>
    <w:rsid w:val="00767F4A"/>
    <w:rsid w:val="00770B85"/>
    <w:rsid w:val="00770FA0"/>
    <w:rsid w:val="00771A37"/>
    <w:rsid w:val="00771BCC"/>
    <w:rsid w:val="00772165"/>
    <w:rsid w:val="00772627"/>
    <w:rsid w:val="00772651"/>
    <w:rsid w:val="00772CB8"/>
    <w:rsid w:val="00773157"/>
    <w:rsid w:val="007736B0"/>
    <w:rsid w:val="00774631"/>
    <w:rsid w:val="007747CF"/>
    <w:rsid w:val="0077567F"/>
    <w:rsid w:val="00775AAF"/>
    <w:rsid w:val="00776C38"/>
    <w:rsid w:val="00776F3F"/>
    <w:rsid w:val="0077792B"/>
    <w:rsid w:val="007801BA"/>
    <w:rsid w:val="00780E12"/>
    <w:rsid w:val="00780E5A"/>
    <w:rsid w:val="00781215"/>
    <w:rsid w:val="00781AE0"/>
    <w:rsid w:val="0078213E"/>
    <w:rsid w:val="00782B36"/>
    <w:rsid w:val="00782D2B"/>
    <w:rsid w:val="0078396C"/>
    <w:rsid w:val="00783C29"/>
    <w:rsid w:val="007841EE"/>
    <w:rsid w:val="00784F35"/>
    <w:rsid w:val="00785870"/>
    <w:rsid w:val="0078793B"/>
    <w:rsid w:val="00787C4B"/>
    <w:rsid w:val="0079018A"/>
    <w:rsid w:val="00790286"/>
    <w:rsid w:val="00790A2A"/>
    <w:rsid w:val="00791722"/>
    <w:rsid w:val="00791D2B"/>
    <w:rsid w:val="00791FE7"/>
    <w:rsid w:val="0079295E"/>
    <w:rsid w:val="007929E9"/>
    <w:rsid w:val="00792ED1"/>
    <w:rsid w:val="0079385E"/>
    <w:rsid w:val="0079414A"/>
    <w:rsid w:val="007944E6"/>
    <w:rsid w:val="00794641"/>
    <w:rsid w:val="0079497E"/>
    <w:rsid w:val="0079523B"/>
    <w:rsid w:val="0079526F"/>
    <w:rsid w:val="007952CD"/>
    <w:rsid w:val="0079643E"/>
    <w:rsid w:val="00796623"/>
    <w:rsid w:val="00796976"/>
    <w:rsid w:val="00797301"/>
    <w:rsid w:val="00797D34"/>
    <w:rsid w:val="007A08A9"/>
    <w:rsid w:val="007A1737"/>
    <w:rsid w:val="007A1E7C"/>
    <w:rsid w:val="007A2314"/>
    <w:rsid w:val="007A3D0C"/>
    <w:rsid w:val="007A4295"/>
    <w:rsid w:val="007A5993"/>
    <w:rsid w:val="007A5A2E"/>
    <w:rsid w:val="007A5D34"/>
    <w:rsid w:val="007A61E3"/>
    <w:rsid w:val="007A7920"/>
    <w:rsid w:val="007B0174"/>
    <w:rsid w:val="007B0217"/>
    <w:rsid w:val="007B093B"/>
    <w:rsid w:val="007B0940"/>
    <w:rsid w:val="007B0DC9"/>
    <w:rsid w:val="007B19BA"/>
    <w:rsid w:val="007B1E38"/>
    <w:rsid w:val="007B209B"/>
    <w:rsid w:val="007B218F"/>
    <w:rsid w:val="007B25ED"/>
    <w:rsid w:val="007B271B"/>
    <w:rsid w:val="007B3515"/>
    <w:rsid w:val="007B3EA3"/>
    <w:rsid w:val="007B3F9F"/>
    <w:rsid w:val="007B41F6"/>
    <w:rsid w:val="007B4627"/>
    <w:rsid w:val="007B56FD"/>
    <w:rsid w:val="007B5BB5"/>
    <w:rsid w:val="007B61BF"/>
    <w:rsid w:val="007B6C25"/>
    <w:rsid w:val="007B7074"/>
    <w:rsid w:val="007B735B"/>
    <w:rsid w:val="007C0CE4"/>
    <w:rsid w:val="007C148A"/>
    <w:rsid w:val="007C2710"/>
    <w:rsid w:val="007C297E"/>
    <w:rsid w:val="007C2D80"/>
    <w:rsid w:val="007C30FD"/>
    <w:rsid w:val="007C3B84"/>
    <w:rsid w:val="007C443E"/>
    <w:rsid w:val="007C4DE0"/>
    <w:rsid w:val="007C50C9"/>
    <w:rsid w:val="007C52DA"/>
    <w:rsid w:val="007C628D"/>
    <w:rsid w:val="007C7530"/>
    <w:rsid w:val="007C7D21"/>
    <w:rsid w:val="007D0077"/>
    <w:rsid w:val="007D0873"/>
    <w:rsid w:val="007D12AC"/>
    <w:rsid w:val="007D1D0C"/>
    <w:rsid w:val="007D1DBF"/>
    <w:rsid w:val="007D219F"/>
    <w:rsid w:val="007D243C"/>
    <w:rsid w:val="007D2D25"/>
    <w:rsid w:val="007D3428"/>
    <w:rsid w:val="007D3ABA"/>
    <w:rsid w:val="007D3CA1"/>
    <w:rsid w:val="007D3F37"/>
    <w:rsid w:val="007D5006"/>
    <w:rsid w:val="007D5094"/>
    <w:rsid w:val="007D5132"/>
    <w:rsid w:val="007D5382"/>
    <w:rsid w:val="007D6476"/>
    <w:rsid w:val="007E00CC"/>
    <w:rsid w:val="007E02DC"/>
    <w:rsid w:val="007E0401"/>
    <w:rsid w:val="007E10A6"/>
    <w:rsid w:val="007E1474"/>
    <w:rsid w:val="007E168C"/>
    <w:rsid w:val="007E1B43"/>
    <w:rsid w:val="007E29FC"/>
    <w:rsid w:val="007E2FB9"/>
    <w:rsid w:val="007E30E7"/>
    <w:rsid w:val="007E3757"/>
    <w:rsid w:val="007E39A2"/>
    <w:rsid w:val="007E4440"/>
    <w:rsid w:val="007E57C6"/>
    <w:rsid w:val="007E5C23"/>
    <w:rsid w:val="007E5CF6"/>
    <w:rsid w:val="007E7339"/>
    <w:rsid w:val="007E77E9"/>
    <w:rsid w:val="007E7E03"/>
    <w:rsid w:val="007E7E52"/>
    <w:rsid w:val="007F0446"/>
    <w:rsid w:val="007F0496"/>
    <w:rsid w:val="007F07A9"/>
    <w:rsid w:val="007F089D"/>
    <w:rsid w:val="007F1535"/>
    <w:rsid w:val="007F2320"/>
    <w:rsid w:val="007F266D"/>
    <w:rsid w:val="007F2782"/>
    <w:rsid w:val="007F3829"/>
    <w:rsid w:val="007F401B"/>
    <w:rsid w:val="007F4978"/>
    <w:rsid w:val="007F4C2A"/>
    <w:rsid w:val="007F5109"/>
    <w:rsid w:val="007F54D4"/>
    <w:rsid w:val="007F5597"/>
    <w:rsid w:val="007F68B9"/>
    <w:rsid w:val="007F6BCB"/>
    <w:rsid w:val="007F7191"/>
    <w:rsid w:val="007F7749"/>
    <w:rsid w:val="00800040"/>
    <w:rsid w:val="008000F1"/>
    <w:rsid w:val="00800532"/>
    <w:rsid w:val="008008C5"/>
    <w:rsid w:val="00801DA7"/>
    <w:rsid w:val="00802FFD"/>
    <w:rsid w:val="008036D6"/>
    <w:rsid w:val="00804274"/>
    <w:rsid w:val="008046A7"/>
    <w:rsid w:val="00804D62"/>
    <w:rsid w:val="0080567D"/>
    <w:rsid w:val="00805996"/>
    <w:rsid w:val="00806D52"/>
    <w:rsid w:val="00806F9B"/>
    <w:rsid w:val="00807738"/>
    <w:rsid w:val="00807A58"/>
    <w:rsid w:val="0081007B"/>
    <w:rsid w:val="008100D3"/>
    <w:rsid w:val="0081221B"/>
    <w:rsid w:val="00812417"/>
    <w:rsid w:val="00812F5A"/>
    <w:rsid w:val="008131C7"/>
    <w:rsid w:val="008132EB"/>
    <w:rsid w:val="0081541C"/>
    <w:rsid w:val="00815D52"/>
    <w:rsid w:val="00816200"/>
    <w:rsid w:val="0081670A"/>
    <w:rsid w:val="00816C03"/>
    <w:rsid w:val="00817C84"/>
    <w:rsid w:val="00817C86"/>
    <w:rsid w:val="00817D08"/>
    <w:rsid w:val="00817E85"/>
    <w:rsid w:val="008202ED"/>
    <w:rsid w:val="00822089"/>
    <w:rsid w:val="0082224D"/>
    <w:rsid w:val="0082285B"/>
    <w:rsid w:val="00823426"/>
    <w:rsid w:val="00823ABB"/>
    <w:rsid w:val="00823BB0"/>
    <w:rsid w:val="00824DA4"/>
    <w:rsid w:val="00824F76"/>
    <w:rsid w:val="00825BBF"/>
    <w:rsid w:val="00825C65"/>
    <w:rsid w:val="00826400"/>
    <w:rsid w:val="00826798"/>
    <w:rsid w:val="00826BCB"/>
    <w:rsid w:val="00826CA7"/>
    <w:rsid w:val="008305F0"/>
    <w:rsid w:val="00830775"/>
    <w:rsid w:val="00831D39"/>
    <w:rsid w:val="008333AD"/>
    <w:rsid w:val="0083363A"/>
    <w:rsid w:val="00833719"/>
    <w:rsid w:val="008337DF"/>
    <w:rsid w:val="00833C18"/>
    <w:rsid w:val="00833E79"/>
    <w:rsid w:val="0083419A"/>
    <w:rsid w:val="0083478B"/>
    <w:rsid w:val="00835631"/>
    <w:rsid w:val="008356A7"/>
    <w:rsid w:val="008359D8"/>
    <w:rsid w:val="0083662A"/>
    <w:rsid w:val="008367F0"/>
    <w:rsid w:val="00836ED5"/>
    <w:rsid w:val="008374C9"/>
    <w:rsid w:val="0083760E"/>
    <w:rsid w:val="00837623"/>
    <w:rsid w:val="008376C7"/>
    <w:rsid w:val="00837AE1"/>
    <w:rsid w:val="008401FF"/>
    <w:rsid w:val="008411FE"/>
    <w:rsid w:val="00841EF8"/>
    <w:rsid w:val="00841FCA"/>
    <w:rsid w:val="00842F8A"/>
    <w:rsid w:val="008430A7"/>
    <w:rsid w:val="0084338E"/>
    <w:rsid w:val="00843A17"/>
    <w:rsid w:val="00845214"/>
    <w:rsid w:val="00845659"/>
    <w:rsid w:val="008458CD"/>
    <w:rsid w:val="008464A2"/>
    <w:rsid w:val="008464E7"/>
    <w:rsid w:val="008469BC"/>
    <w:rsid w:val="00847137"/>
    <w:rsid w:val="0084720A"/>
    <w:rsid w:val="00847311"/>
    <w:rsid w:val="00850053"/>
    <w:rsid w:val="00850514"/>
    <w:rsid w:val="00850E0E"/>
    <w:rsid w:val="00850FC1"/>
    <w:rsid w:val="00851D8A"/>
    <w:rsid w:val="00852024"/>
    <w:rsid w:val="0085288D"/>
    <w:rsid w:val="00852CC8"/>
    <w:rsid w:val="00854A13"/>
    <w:rsid w:val="00855165"/>
    <w:rsid w:val="008551F2"/>
    <w:rsid w:val="0085541F"/>
    <w:rsid w:val="008557FE"/>
    <w:rsid w:val="00856172"/>
    <w:rsid w:val="00856CA4"/>
    <w:rsid w:val="00857290"/>
    <w:rsid w:val="008572E1"/>
    <w:rsid w:val="00857A56"/>
    <w:rsid w:val="00857C8F"/>
    <w:rsid w:val="0086098E"/>
    <w:rsid w:val="0086134D"/>
    <w:rsid w:val="00861772"/>
    <w:rsid w:val="00862640"/>
    <w:rsid w:val="008628A1"/>
    <w:rsid w:val="00862A3D"/>
    <w:rsid w:val="00863362"/>
    <w:rsid w:val="00863507"/>
    <w:rsid w:val="008653ED"/>
    <w:rsid w:val="008660D6"/>
    <w:rsid w:val="00867177"/>
    <w:rsid w:val="00867876"/>
    <w:rsid w:val="00867B85"/>
    <w:rsid w:val="00867CB3"/>
    <w:rsid w:val="00867E24"/>
    <w:rsid w:val="00867E51"/>
    <w:rsid w:val="00867F41"/>
    <w:rsid w:val="00870E6B"/>
    <w:rsid w:val="00870EB7"/>
    <w:rsid w:val="0087161A"/>
    <w:rsid w:val="0087208F"/>
    <w:rsid w:val="008735F8"/>
    <w:rsid w:val="008738CC"/>
    <w:rsid w:val="00873DAA"/>
    <w:rsid w:val="00874190"/>
    <w:rsid w:val="008749F9"/>
    <w:rsid w:val="00875113"/>
    <w:rsid w:val="00875187"/>
    <w:rsid w:val="00875CAB"/>
    <w:rsid w:val="00876695"/>
    <w:rsid w:val="00876940"/>
    <w:rsid w:val="00876EAD"/>
    <w:rsid w:val="008774E0"/>
    <w:rsid w:val="008778E6"/>
    <w:rsid w:val="008812B3"/>
    <w:rsid w:val="008824F2"/>
    <w:rsid w:val="008826BB"/>
    <w:rsid w:val="008828C2"/>
    <w:rsid w:val="0088406B"/>
    <w:rsid w:val="0088457F"/>
    <w:rsid w:val="00884B05"/>
    <w:rsid w:val="00884B4D"/>
    <w:rsid w:val="00884C56"/>
    <w:rsid w:val="00884D56"/>
    <w:rsid w:val="008852C2"/>
    <w:rsid w:val="00885843"/>
    <w:rsid w:val="00886280"/>
    <w:rsid w:val="00886341"/>
    <w:rsid w:val="008863C9"/>
    <w:rsid w:val="00886D14"/>
    <w:rsid w:val="008871D5"/>
    <w:rsid w:val="0088743D"/>
    <w:rsid w:val="008878AB"/>
    <w:rsid w:val="00887B4E"/>
    <w:rsid w:val="00887B9C"/>
    <w:rsid w:val="00887C05"/>
    <w:rsid w:val="00887C99"/>
    <w:rsid w:val="00887D27"/>
    <w:rsid w:val="008900DC"/>
    <w:rsid w:val="008905AD"/>
    <w:rsid w:val="00890671"/>
    <w:rsid w:val="008918BE"/>
    <w:rsid w:val="00892622"/>
    <w:rsid w:val="008932AA"/>
    <w:rsid w:val="008941C7"/>
    <w:rsid w:val="00894928"/>
    <w:rsid w:val="00894E8A"/>
    <w:rsid w:val="008954F4"/>
    <w:rsid w:val="00895541"/>
    <w:rsid w:val="008958FD"/>
    <w:rsid w:val="00895AFA"/>
    <w:rsid w:val="00895E20"/>
    <w:rsid w:val="00896CC2"/>
    <w:rsid w:val="00896D86"/>
    <w:rsid w:val="00897D29"/>
    <w:rsid w:val="00897F80"/>
    <w:rsid w:val="008A0209"/>
    <w:rsid w:val="008A0724"/>
    <w:rsid w:val="008A076D"/>
    <w:rsid w:val="008A0F15"/>
    <w:rsid w:val="008A1A8F"/>
    <w:rsid w:val="008A1B13"/>
    <w:rsid w:val="008A360D"/>
    <w:rsid w:val="008A3B5C"/>
    <w:rsid w:val="008A53D0"/>
    <w:rsid w:val="008A659A"/>
    <w:rsid w:val="008A676A"/>
    <w:rsid w:val="008A6B35"/>
    <w:rsid w:val="008A74AD"/>
    <w:rsid w:val="008A78EE"/>
    <w:rsid w:val="008B0C7A"/>
    <w:rsid w:val="008B0D58"/>
    <w:rsid w:val="008B0F96"/>
    <w:rsid w:val="008B16E3"/>
    <w:rsid w:val="008B17E4"/>
    <w:rsid w:val="008B23EE"/>
    <w:rsid w:val="008B29A7"/>
    <w:rsid w:val="008B441B"/>
    <w:rsid w:val="008B465A"/>
    <w:rsid w:val="008B46E2"/>
    <w:rsid w:val="008B4F00"/>
    <w:rsid w:val="008B5AFF"/>
    <w:rsid w:val="008B5C68"/>
    <w:rsid w:val="008B5D58"/>
    <w:rsid w:val="008B6179"/>
    <w:rsid w:val="008B63C1"/>
    <w:rsid w:val="008B6A80"/>
    <w:rsid w:val="008B6BE3"/>
    <w:rsid w:val="008B7227"/>
    <w:rsid w:val="008B7237"/>
    <w:rsid w:val="008B7A24"/>
    <w:rsid w:val="008B7EEB"/>
    <w:rsid w:val="008B7EF8"/>
    <w:rsid w:val="008B7FBF"/>
    <w:rsid w:val="008C0590"/>
    <w:rsid w:val="008C1121"/>
    <w:rsid w:val="008C153E"/>
    <w:rsid w:val="008C1807"/>
    <w:rsid w:val="008C1ED9"/>
    <w:rsid w:val="008C22B0"/>
    <w:rsid w:val="008C2C77"/>
    <w:rsid w:val="008C2F3F"/>
    <w:rsid w:val="008C39C9"/>
    <w:rsid w:val="008C39CE"/>
    <w:rsid w:val="008C3A58"/>
    <w:rsid w:val="008C4014"/>
    <w:rsid w:val="008C44E8"/>
    <w:rsid w:val="008C5ACD"/>
    <w:rsid w:val="008C663B"/>
    <w:rsid w:val="008C6714"/>
    <w:rsid w:val="008C6808"/>
    <w:rsid w:val="008C6AFF"/>
    <w:rsid w:val="008C7A05"/>
    <w:rsid w:val="008D0430"/>
    <w:rsid w:val="008D0BB1"/>
    <w:rsid w:val="008D0F00"/>
    <w:rsid w:val="008D16DA"/>
    <w:rsid w:val="008D2961"/>
    <w:rsid w:val="008D38E0"/>
    <w:rsid w:val="008D40EE"/>
    <w:rsid w:val="008D49BB"/>
    <w:rsid w:val="008D5166"/>
    <w:rsid w:val="008D5235"/>
    <w:rsid w:val="008D74C0"/>
    <w:rsid w:val="008D773F"/>
    <w:rsid w:val="008E1290"/>
    <w:rsid w:val="008E2C44"/>
    <w:rsid w:val="008E2E80"/>
    <w:rsid w:val="008E375E"/>
    <w:rsid w:val="008E39B8"/>
    <w:rsid w:val="008E4BAE"/>
    <w:rsid w:val="008E4F82"/>
    <w:rsid w:val="008E5DF9"/>
    <w:rsid w:val="008E5EAF"/>
    <w:rsid w:val="008E655A"/>
    <w:rsid w:val="008E6BBD"/>
    <w:rsid w:val="008E6C1C"/>
    <w:rsid w:val="008E6CB9"/>
    <w:rsid w:val="008E7351"/>
    <w:rsid w:val="008E7DFB"/>
    <w:rsid w:val="008F0B67"/>
    <w:rsid w:val="008F0CEC"/>
    <w:rsid w:val="008F2D80"/>
    <w:rsid w:val="008F2E45"/>
    <w:rsid w:val="008F3E9C"/>
    <w:rsid w:val="008F42EE"/>
    <w:rsid w:val="008F45AD"/>
    <w:rsid w:val="008F47B1"/>
    <w:rsid w:val="008F47BA"/>
    <w:rsid w:val="008F501F"/>
    <w:rsid w:val="008F50CC"/>
    <w:rsid w:val="008F510F"/>
    <w:rsid w:val="008F5509"/>
    <w:rsid w:val="008F59AF"/>
    <w:rsid w:val="008F5D6B"/>
    <w:rsid w:val="008F5F27"/>
    <w:rsid w:val="008F62B6"/>
    <w:rsid w:val="008F674C"/>
    <w:rsid w:val="008F6759"/>
    <w:rsid w:val="008F76DB"/>
    <w:rsid w:val="008F7AF4"/>
    <w:rsid w:val="0090047C"/>
    <w:rsid w:val="0090050C"/>
    <w:rsid w:val="009008B3"/>
    <w:rsid w:val="00900CBF"/>
    <w:rsid w:val="00900F1F"/>
    <w:rsid w:val="00900F83"/>
    <w:rsid w:val="00901289"/>
    <w:rsid w:val="00902210"/>
    <w:rsid w:val="00902755"/>
    <w:rsid w:val="00902DE4"/>
    <w:rsid w:val="00902E69"/>
    <w:rsid w:val="009038F5"/>
    <w:rsid w:val="00903E44"/>
    <w:rsid w:val="00904478"/>
    <w:rsid w:val="00904DC6"/>
    <w:rsid w:val="00905581"/>
    <w:rsid w:val="0090602D"/>
    <w:rsid w:val="00906AF6"/>
    <w:rsid w:val="009074FE"/>
    <w:rsid w:val="00907C42"/>
    <w:rsid w:val="00910271"/>
    <w:rsid w:val="00910D14"/>
    <w:rsid w:val="009118AC"/>
    <w:rsid w:val="0091200D"/>
    <w:rsid w:val="0091224F"/>
    <w:rsid w:val="009126C6"/>
    <w:rsid w:val="00912F19"/>
    <w:rsid w:val="009133DC"/>
    <w:rsid w:val="0091347B"/>
    <w:rsid w:val="00913CC8"/>
    <w:rsid w:val="00913FDD"/>
    <w:rsid w:val="0091458C"/>
    <w:rsid w:val="00914635"/>
    <w:rsid w:val="00915556"/>
    <w:rsid w:val="00915DE5"/>
    <w:rsid w:val="009164F0"/>
    <w:rsid w:val="0091664F"/>
    <w:rsid w:val="00916D84"/>
    <w:rsid w:val="00916D90"/>
    <w:rsid w:val="009171F3"/>
    <w:rsid w:val="009173E2"/>
    <w:rsid w:val="00920850"/>
    <w:rsid w:val="00920973"/>
    <w:rsid w:val="00920BB0"/>
    <w:rsid w:val="00921282"/>
    <w:rsid w:val="00921B04"/>
    <w:rsid w:val="00922C84"/>
    <w:rsid w:val="00922D0B"/>
    <w:rsid w:val="00922F2D"/>
    <w:rsid w:val="00923520"/>
    <w:rsid w:val="0092383C"/>
    <w:rsid w:val="00923964"/>
    <w:rsid w:val="00924B31"/>
    <w:rsid w:val="00924B4C"/>
    <w:rsid w:val="009251DB"/>
    <w:rsid w:val="00925501"/>
    <w:rsid w:val="0092572B"/>
    <w:rsid w:val="00925FFE"/>
    <w:rsid w:val="009262D5"/>
    <w:rsid w:val="00926F96"/>
    <w:rsid w:val="00927F61"/>
    <w:rsid w:val="0093084F"/>
    <w:rsid w:val="009309A7"/>
    <w:rsid w:val="00930C99"/>
    <w:rsid w:val="0093167F"/>
    <w:rsid w:val="00931C17"/>
    <w:rsid w:val="009323CF"/>
    <w:rsid w:val="009324E3"/>
    <w:rsid w:val="009338E2"/>
    <w:rsid w:val="00934072"/>
    <w:rsid w:val="0093434C"/>
    <w:rsid w:val="0093489B"/>
    <w:rsid w:val="009348A6"/>
    <w:rsid w:val="009350D0"/>
    <w:rsid w:val="00935389"/>
    <w:rsid w:val="00935FAA"/>
    <w:rsid w:val="00936090"/>
    <w:rsid w:val="0093635F"/>
    <w:rsid w:val="0093690F"/>
    <w:rsid w:val="00936CF1"/>
    <w:rsid w:val="00936DCE"/>
    <w:rsid w:val="00937569"/>
    <w:rsid w:val="009378D0"/>
    <w:rsid w:val="00937D35"/>
    <w:rsid w:val="0094042B"/>
    <w:rsid w:val="009404D1"/>
    <w:rsid w:val="00940BA2"/>
    <w:rsid w:val="00941770"/>
    <w:rsid w:val="009417CA"/>
    <w:rsid w:val="00941872"/>
    <w:rsid w:val="009439BB"/>
    <w:rsid w:val="00943A7C"/>
    <w:rsid w:val="00943B3D"/>
    <w:rsid w:val="00943C58"/>
    <w:rsid w:val="00943E1B"/>
    <w:rsid w:val="009441C2"/>
    <w:rsid w:val="009443EF"/>
    <w:rsid w:val="0094485C"/>
    <w:rsid w:val="00944B59"/>
    <w:rsid w:val="00944BB9"/>
    <w:rsid w:val="00944DD5"/>
    <w:rsid w:val="00945010"/>
    <w:rsid w:val="00945343"/>
    <w:rsid w:val="009456A5"/>
    <w:rsid w:val="0094572F"/>
    <w:rsid w:val="00945DB8"/>
    <w:rsid w:val="009461E8"/>
    <w:rsid w:val="009464D5"/>
    <w:rsid w:val="009466B6"/>
    <w:rsid w:val="009468F6"/>
    <w:rsid w:val="009470CB"/>
    <w:rsid w:val="0094785D"/>
    <w:rsid w:val="0094787A"/>
    <w:rsid w:val="009479DE"/>
    <w:rsid w:val="00947C0D"/>
    <w:rsid w:val="00947C4F"/>
    <w:rsid w:val="009505C1"/>
    <w:rsid w:val="009508A6"/>
    <w:rsid w:val="00950E3B"/>
    <w:rsid w:val="009510AF"/>
    <w:rsid w:val="00951827"/>
    <w:rsid w:val="00951868"/>
    <w:rsid w:val="00951B6E"/>
    <w:rsid w:val="009531B9"/>
    <w:rsid w:val="00953B42"/>
    <w:rsid w:val="00953CA8"/>
    <w:rsid w:val="00953F9A"/>
    <w:rsid w:val="00955903"/>
    <w:rsid w:val="00955A79"/>
    <w:rsid w:val="00955AAA"/>
    <w:rsid w:val="0095625F"/>
    <w:rsid w:val="00957019"/>
    <w:rsid w:val="00957AEF"/>
    <w:rsid w:val="00957B97"/>
    <w:rsid w:val="0096083F"/>
    <w:rsid w:val="00960B93"/>
    <w:rsid w:val="00960CA8"/>
    <w:rsid w:val="00960CEB"/>
    <w:rsid w:val="00960F7B"/>
    <w:rsid w:val="009616E0"/>
    <w:rsid w:val="00961F93"/>
    <w:rsid w:val="0096233F"/>
    <w:rsid w:val="00962BF4"/>
    <w:rsid w:val="00962E7A"/>
    <w:rsid w:val="00965355"/>
    <w:rsid w:val="0096535E"/>
    <w:rsid w:val="00965653"/>
    <w:rsid w:val="0096588B"/>
    <w:rsid w:val="00966C60"/>
    <w:rsid w:val="00970089"/>
    <w:rsid w:val="00970D98"/>
    <w:rsid w:val="00971445"/>
    <w:rsid w:val="0097158A"/>
    <w:rsid w:val="0097167E"/>
    <w:rsid w:val="009719CA"/>
    <w:rsid w:val="00971D1E"/>
    <w:rsid w:val="00971D85"/>
    <w:rsid w:val="00971F71"/>
    <w:rsid w:val="009720A9"/>
    <w:rsid w:val="009728E5"/>
    <w:rsid w:val="00973C41"/>
    <w:rsid w:val="00975089"/>
    <w:rsid w:val="00975360"/>
    <w:rsid w:val="00975CCC"/>
    <w:rsid w:val="009761CA"/>
    <w:rsid w:val="00976F71"/>
    <w:rsid w:val="00977A82"/>
    <w:rsid w:val="0098072A"/>
    <w:rsid w:val="00980826"/>
    <w:rsid w:val="00980908"/>
    <w:rsid w:val="009813F2"/>
    <w:rsid w:val="009818DF"/>
    <w:rsid w:val="00981B3F"/>
    <w:rsid w:val="00982034"/>
    <w:rsid w:val="0098226F"/>
    <w:rsid w:val="0098334C"/>
    <w:rsid w:val="00983446"/>
    <w:rsid w:val="00983B1B"/>
    <w:rsid w:val="00984A87"/>
    <w:rsid w:val="00984E51"/>
    <w:rsid w:val="0098627B"/>
    <w:rsid w:val="0098668F"/>
    <w:rsid w:val="00986AA3"/>
    <w:rsid w:val="00987061"/>
    <w:rsid w:val="00987755"/>
    <w:rsid w:val="00987925"/>
    <w:rsid w:val="00987937"/>
    <w:rsid w:val="009907A9"/>
    <w:rsid w:val="00990A91"/>
    <w:rsid w:val="00991A3E"/>
    <w:rsid w:val="00991D3B"/>
    <w:rsid w:val="00992D0A"/>
    <w:rsid w:val="00993AAF"/>
    <w:rsid w:val="00994679"/>
    <w:rsid w:val="00995849"/>
    <w:rsid w:val="009959D9"/>
    <w:rsid w:val="00995CDD"/>
    <w:rsid w:val="0099638F"/>
    <w:rsid w:val="009964DD"/>
    <w:rsid w:val="009969DD"/>
    <w:rsid w:val="00996A95"/>
    <w:rsid w:val="0099708D"/>
    <w:rsid w:val="0099743A"/>
    <w:rsid w:val="00997A0D"/>
    <w:rsid w:val="00997C81"/>
    <w:rsid w:val="009A0C91"/>
    <w:rsid w:val="009A1359"/>
    <w:rsid w:val="009A244D"/>
    <w:rsid w:val="009A2D49"/>
    <w:rsid w:val="009A33E3"/>
    <w:rsid w:val="009A3B31"/>
    <w:rsid w:val="009A3C3F"/>
    <w:rsid w:val="009A3C9B"/>
    <w:rsid w:val="009A4CA0"/>
    <w:rsid w:val="009A51FF"/>
    <w:rsid w:val="009A55BF"/>
    <w:rsid w:val="009A5D03"/>
    <w:rsid w:val="009A5E69"/>
    <w:rsid w:val="009A67ED"/>
    <w:rsid w:val="009A6CF5"/>
    <w:rsid w:val="009A73F0"/>
    <w:rsid w:val="009A7F0C"/>
    <w:rsid w:val="009B0091"/>
    <w:rsid w:val="009B012B"/>
    <w:rsid w:val="009B0335"/>
    <w:rsid w:val="009B1F7D"/>
    <w:rsid w:val="009B32BB"/>
    <w:rsid w:val="009B344E"/>
    <w:rsid w:val="009B3CE1"/>
    <w:rsid w:val="009B460E"/>
    <w:rsid w:val="009B4E71"/>
    <w:rsid w:val="009B4EC7"/>
    <w:rsid w:val="009B5A4C"/>
    <w:rsid w:val="009B64EA"/>
    <w:rsid w:val="009B6949"/>
    <w:rsid w:val="009B6D32"/>
    <w:rsid w:val="009B7482"/>
    <w:rsid w:val="009C0506"/>
    <w:rsid w:val="009C0BC6"/>
    <w:rsid w:val="009C0E40"/>
    <w:rsid w:val="009C11AC"/>
    <w:rsid w:val="009C13F4"/>
    <w:rsid w:val="009C1720"/>
    <w:rsid w:val="009C1835"/>
    <w:rsid w:val="009C2102"/>
    <w:rsid w:val="009C2A5D"/>
    <w:rsid w:val="009C354A"/>
    <w:rsid w:val="009C3C3E"/>
    <w:rsid w:val="009C3F3F"/>
    <w:rsid w:val="009C3F49"/>
    <w:rsid w:val="009C4174"/>
    <w:rsid w:val="009C4192"/>
    <w:rsid w:val="009C50A2"/>
    <w:rsid w:val="009C6068"/>
    <w:rsid w:val="009C6846"/>
    <w:rsid w:val="009C6F45"/>
    <w:rsid w:val="009C7F53"/>
    <w:rsid w:val="009D0516"/>
    <w:rsid w:val="009D187A"/>
    <w:rsid w:val="009D1C29"/>
    <w:rsid w:val="009D1CA1"/>
    <w:rsid w:val="009D2912"/>
    <w:rsid w:val="009D35C0"/>
    <w:rsid w:val="009D3DC0"/>
    <w:rsid w:val="009D44C6"/>
    <w:rsid w:val="009D4D07"/>
    <w:rsid w:val="009D5063"/>
    <w:rsid w:val="009D59E3"/>
    <w:rsid w:val="009D5CBC"/>
    <w:rsid w:val="009D5FDA"/>
    <w:rsid w:val="009D61D3"/>
    <w:rsid w:val="009D6320"/>
    <w:rsid w:val="009D6448"/>
    <w:rsid w:val="009D6BB4"/>
    <w:rsid w:val="009D6BFF"/>
    <w:rsid w:val="009D7034"/>
    <w:rsid w:val="009D7106"/>
    <w:rsid w:val="009D7472"/>
    <w:rsid w:val="009D7F42"/>
    <w:rsid w:val="009E09CE"/>
    <w:rsid w:val="009E1483"/>
    <w:rsid w:val="009E1AB8"/>
    <w:rsid w:val="009E1BD0"/>
    <w:rsid w:val="009E2288"/>
    <w:rsid w:val="009E26B1"/>
    <w:rsid w:val="009E2D2D"/>
    <w:rsid w:val="009E2FC1"/>
    <w:rsid w:val="009E315A"/>
    <w:rsid w:val="009E35AD"/>
    <w:rsid w:val="009E4030"/>
    <w:rsid w:val="009E4727"/>
    <w:rsid w:val="009E4825"/>
    <w:rsid w:val="009E49FF"/>
    <w:rsid w:val="009E54F2"/>
    <w:rsid w:val="009E62E0"/>
    <w:rsid w:val="009E68EB"/>
    <w:rsid w:val="009E6D84"/>
    <w:rsid w:val="009E700E"/>
    <w:rsid w:val="009E7D0F"/>
    <w:rsid w:val="009F1169"/>
    <w:rsid w:val="009F1178"/>
    <w:rsid w:val="009F146D"/>
    <w:rsid w:val="009F1F04"/>
    <w:rsid w:val="009F1FB5"/>
    <w:rsid w:val="009F20FD"/>
    <w:rsid w:val="009F35DE"/>
    <w:rsid w:val="009F520F"/>
    <w:rsid w:val="009F530D"/>
    <w:rsid w:val="009F5646"/>
    <w:rsid w:val="009F5A9E"/>
    <w:rsid w:val="009F602D"/>
    <w:rsid w:val="009F6377"/>
    <w:rsid w:val="009F6808"/>
    <w:rsid w:val="009F6B98"/>
    <w:rsid w:val="009F701B"/>
    <w:rsid w:val="009F7255"/>
    <w:rsid w:val="009F7EED"/>
    <w:rsid w:val="009F7F2C"/>
    <w:rsid w:val="00A002F4"/>
    <w:rsid w:val="00A003A8"/>
    <w:rsid w:val="00A012B8"/>
    <w:rsid w:val="00A01528"/>
    <w:rsid w:val="00A019F9"/>
    <w:rsid w:val="00A022F6"/>
    <w:rsid w:val="00A02BC4"/>
    <w:rsid w:val="00A02D7E"/>
    <w:rsid w:val="00A0314F"/>
    <w:rsid w:val="00A03280"/>
    <w:rsid w:val="00A032E6"/>
    <w:rsid w:val="00A03655"/>
    <w:rsid w:val="00A03954"/>
    <w:rsid w:val="00A03AC8"/>
    <w:rsid w:val="00A03B83"/>
    <w:rsid w:val="00A03EBA"/>
    <w:rsid w:val="00A04022"/>
    <w:rsid w:val="00A04906"/>
    <w:rsid w:val="00A04DD0"/>
    <w:rsid w:val="00A051D7"/>
    <w:rsid w:val="00A05343"/>
    <w:rsid w:val="00A0574E"/>
    <w:rsid w:val="00A05876"/>
    <w:rsid w:val="00A06BDB"/>
    <w:rsid w:val="00A07668"/>
    <w:rsid w:val="00A105C7"/>
    <w:rsid w:val="00A1083A"/>
    <w:rsid w:val="00A10B41"/>
    <w:rsid w:val="00A10D80"/>
    <w:rsid w:val="00A111AA"/>
    <w:rsid w:val="00A124BB"/>
    <w:rsid w:val="00A12637"/>
    <w:rsid w:val="00A12C48"/>
    <w:rsid w:val="00A132E2"/>
    <w:rsid w:val="00A13694"/>
    <w:rsid w:val="00A13D87"/>
    <w:rsid w:val="00A14237"/>
    <w:rsid w:val="00A14800"/>
    <w:rsid w:val="00A14B42"/>
    <w:rsid w:val="00A1699B"/>
    <w:rsid w:val="00A16FFE"/>
    <w:rsid w:val="00A1710A"/>
    <w:rsid w:val="00A1727B"/>
    <w:rsid w:val="00A1732C"/>
    <w:rsid w:val="00A17362"/>
    <w:rsid w:val="00A17479"/>
    <w:rsid w:val="00A1748C"/>
    <w:rsid w:val="00A17925"/>
    <w:rsid w:val="00A2026E"/>
    <w:rsid w:val="00A210BC"/>
    <w:rsid w:val="00A210C2"/>
    <w:rsid w:val="00A21605"/>
    <w:rsid w:val="00A219C5"/>
    <w:rsid w:val="00A22C40"/>
    <w:rsid w:val="00A2306E"/>
    <w:rsid w:val="00A23D89"/>
    <w:rsid w:val="00A23FF6"/>
    <w:rsid w:val="00A24E94"/>
    <w:rsid w:val="00A25898"/>
    <w:rsid w:val="00A259CE"/>
    <w:rsid w:val="00A25EC6"/>
    <w:rsid w:val="00A25FF5"/>
    <w:rsid w:val="00A26EEC"/>
    <w:rsid w:val="00A274B9"/>
    <w:rsid w:val="00A31748"/>
    <w:rsid w:val="00A32CDF"/>
    <w:rsid w:val="00A32ED7"/>
    <w:rsid w:val="00A333AA"/>
    <w:rsid w:val="00A344C9"/>
    <w:rsid w:val="00A35577"/>
    <w:rsid w:val="00A36786"/>
    <w:rsid w:val="00A36D56"/>
    <w:rsid w:val="00A36F81"/>
    <w:rsid w:val="00A37342"/>
    <w:rsid w:val="00A405AB"/>
    <w:rsid w:val="00A4074B"/>
    <w:rsid w:val="00A40902"/>
    <w:rsid w:val="00A40926"/>
    <w:rsid w:val="00A41EEA"/>
    <w:rsid w:val="00A42182"/>
    <w:rsid w:val="00A42DE3"/>
    <w:rsid w:val="00A43A9A"/>
    <w:rsid w:val="00A448AD"/>
    <w:rsid w:val="00A44935"/>
    <w:rsid w:val="00A44E96"/>
    <w:rsid w:val="00A45E53"/>
    <w:rsid w:val="00A46444"/>
    <w:rsid w:val="00A46607"/>
    <w:rsid w:val="00A468D9"/>
    <w:rsid w:val="00A503D4"/>
    <w:rsid w:val="00A50C40"/>
    <w:rsid w:val="00A50D34"/>
    <w:rsid w:val="00A50E43"/>
    <w:rsid w:val="00A5124B"/>
    <w:rsid w:val="00A516B8"/>
    <w:rsid w:val="00A52758"/>
    <w:rsid w:val="00A532ED"/>
    <w:rsid w:val="00A53959"/>
    <w:rsid w:val="00A54126"/>
    <w:rsid w:val="00A5444D"/>
    <w:rsid w:val="00A54C14"/>
    <w:rsid w:val="00A54C75"/>
    <w:rsid w:val="00A54DDC"/>
    <w:rsid w:val="00A54F2A"/>
    <w:rsid w:val="00A55198"/>
    <w:rsid w:val="00A552BE"/>
    <w:rsid w:val="00A556CC"/>
    <w:rsid w:val="00A56167"/>
    <w:rsid w:val="00A568D1"/>
    <w:rsid w:val="00A56BAA"/>
    <w:rsid w:val="00A56D59"/>
    <w:rsid w:val="00A57A3D"/>
    <w:rsid w:val="00A6013F"/>
    <w:rsid w:val="00A60FCB"/>
    <w:rsid w:val="00A61518"/>
    <w:rsid w:val="00A6151D"/>
    <w:rsid w:val="00A616F0"/>
    <w:rsid w:val="00A61B23"/>
    <w:rsid w:val="00A624A0"/>
    <w:rsid w:val="00A62CA5"/>
    <w:rsid w:val="00A63639"/>
    <w:rsid w:val="00A63966"/>
    <w:rsid w:val="00A6400A"/>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A52"/>
    <w:rsid w:val="00A67EEB"/>
    <w:rsid w:val="00A700D7"/>
    <w:rsid w:val="00A7098B"/>
    <w:rsid w:val="00A71EF8"/>
    <w:rsid w:val="00A726FF"/>
    <w:rsid w:val="00A72A3A"/>
    <w:rsid w:val="00A72CBF"/>
    <w:rsid w:val="00A72FFD"/>
    <w:rsid w:val="00A73213"/>
    <w:rsid w:val="00A73AB9"/>
    <w:rsid w:val="00A74203"/>
    <w:rsid w:val="00A74292"/>
    <w:rsid w:val="00A74456"/>
    <w:rsid w:val="00A74D69"/>
    <w:rsid w:val="00A74EB3"/>
    <w:rsid w:val="00A75234"/>
    <w:rsid w:val="00A75DCA"/>
    <w:rsid w:val="00A7619F"/>
    <w:rsid w:val="00A762D1"/>
    <w:rsid w:val="00A76728"/>
    <w:rsid w:val="00A76761"/>
    <w:rsid w:val="00A76E1D"/>
    <w:rsid w:val="00A7712B"/>
    <w:rsid w:val="00A77173"/>
    <w:rsid w:val="00A804E5"/>
    <w:rsid w:val="00A80784"/>
    <w:rsid w:val="00A80974"/>
    <w:rsid w:val="00A81881"/>
    <w:rsid w:val="00A820B6"/>
    <w:rsid w:val="00A8281D"/>
    <w:rsid w:val="00A82A58"/>
    <w:rsid w:val="00A82ED8"/>
    <w:rsid w:val="00A83172"/>
    <w:rsid w:val="00A83359"/>
    <w:rsid w:val="00A8487D"/>
    <w:rsid w:val="00A84C85"/>
    <w:rsid w:val="00A84FA4"/>
    <w:rsid w:val="00A85019"/>
    <w:rsid w:val="00A867C8"/>
    <w:rsid w:val="00A868A0"/>
    <w:rsid w:val="00A86F14"/>
    <w:rsid w:val="00A873F3"/>
    <w:rsid w:val="00A8757F"/>
    <w:rsid w:val="00A877C1"/>
    <w:rsid w:val="00A87FDC"/>
    <w:rsid w:val="00A902F8"/>
    <w:rsid w:val="00A90377"/>
    <w:rsid w:val="00A903F0"/>
    <w:rsid w:val="00A9063F"/>
    <w:rsid w:val="00A908F2"/>
    <w:rsid w:val="00A91058"/>
    <w:rsid w:val="00A9131A"/>
    <w:rsid w:val="00A91591"/>
    <w:rsid w:val="00A91613"/>
    <w:rsid w:val="00A9176B"/>
    <w:rsid w:val="00A9259A"/>
    <w:rsid w:val="00A93C60"/>
    <w:rsid w:val="00A94D9A"/>
    <w:rsid w:val="00A96578"/>
    <w:rsid w:val="00A96900"/>
    <w:rsid w:val="00A96B38"/>
    <w:rsid w:val="00A9714F"/>
    <w:rsid w:val="00A97397"/>
    <w:rsid w:val="00A977EB"/>
    <w:rsid w:val="00AA0C41"/>
    <w:rsid w:val="00AA0F91"/>
    <w:rsid w:val="00AA1784"/>
    <w:rsid w:val="00AA2187"/>
    <w:rsid w:val="00AA22BB"/>
    <w:rsid w:val="00AA2477"/>
    <w:rsid w:val="00AA322F"/>
    <w:rsid w:val="00AA39E3"/>
    <w:rsid w:val="00AA3FB2"/>
    <w:rsid w:val="00AA48F6"/>
    <w:rsid w:val="00AA65E9"/>
    <w:rsid w:val="00AA6CC3"/>
    <w:rsid w:val="00AA6F20"/>
    <w:rsid w:val="00AA710E"/>
    <w:rsid w:val="00AA72DF"/>
    <w:rsid w:val="00AA7419"/>
    <w:rsid w:val="00AB01E2"/>
    <w:rsid w:val="00AB0779"/>
    <w:rsid w:val="00AB20DF"/>
    <w:rsid w:val="00AB2127"/>
    <w:rsid w:val="00AB21F4"/>
    <w:rsid w:val="00AB23F2"/>
    <w:rsid w:val="00AB24FF"/>
    <w:rsid w:val="00AB4C17"/>
    <w:rsid w:val="00AB4C3C"/>
    <w:rsid w:val="00AB5735"/>
    <w:rsid w:val="00AB58D7"/>
    <w:rsid w:val="00AB70C5"/>
    <w:rsid w:val="00AB753D"/>
    <w:rsid w:val="00AB75BD"/>
    <w:rsid w:val="00AB7904"/>
    <w:rsid w:val="00AB7A4E"/>
    <w:rsid w:val="00AB7EC0"/>
    <w:rsid w:val="00AC0309"/>
    <w:rsid w:val="00AC0C4A"/>
    <w:rsid w:val="00AC1170"/>
    <w:rsid w:val="00AC1669"/>
    <w:rsid w:val="00AC2F55"/>
    <w:rsid w:val="00AC42D4"/>
    <w:rsid w:val="00AC4FE7"/>
    <w:rsid w:val="00AC533D"/>
    <w:rsid w:val="00AC609D"/>
    <w:rsid w:val="00AC60DE"/>
    <w:rsid w:val="00AC7537"/>
    <w:rsid w:val="00AC756B"/>
    <w:rsid w:val="00AC7A9F"/>
    <w:rsid w:val="00AC7B8A"/>
    <w:rsid w:val="00AC7EDB"/>
    <w:rsid w:val="00AD058D"/>
    <w:rsid w:val="00AD074A"/>
    <w:rsid w:val="00AD07CF"/>
    <w:rsid w:val="00AD0E57"/>
    <w:rsid w:val="00AD0ED8"/>
    <w:rsid w:val="00AD1BB9"/>
    <w:rsid w:val="00AD301D"/>
    <w:rsid w:val="00AD3FC6"/>
    <w:rsid w:val="00AD50B8"/>
    <w:rsid w:val="00AD51BA"/>
    <w:rsid w:val="00AD5BFA"/>
    <w:rsid w:val="00AD5D5B"/>
    <w:rsid w:val="00AD62F6"/>
    <w:rsid w:val="00AD6630"/>
    <w:rsid w:val="00AD6BBA"/>
    <w:rsid w:val="00AD7C97"/>
    <w:rsid w:val="00AD7E59"/>
    <w:rsid w:val="00AE08A8"/>
    <w:rsid w:val="00AE0EE7"/>
    <w:rsid w:val="00AE141E"/>
    <w:rsid w:val="00AE17AC"/>
    <w:rsid w:val="00AE214C"/>
    <w:rsid w:val="00AE234E"/>
    <w:rsid w:val="00AE3660"/>
    <w:rsid w:val="00AE396A"/>
    <w:rsid w:val="00AE3B53"/>
    <w:rsid w:val="00AE42C4"/>
    <w:rsid w:val="00AE4621"/>
    <w:rsid w:val="00AE4C90"/>
    <w:rsid w:val="00AE6488"/>
    <w:rsid w:val="00AE6917"/>
    <w:rsid w:val="00AE6ED4"/>
    <w:rsid w:val="00AE6FE4"/>
    <w:rsid w:val="00AE7DD1"/>
    <w:rsid w:val="00AE7E1A"/>
    <w:rsid w:val="00AF019B"/>
    <w:rsid w:val="00AF0B24"/>
    <w:rsid w:val="00AF0CE8"/>
    <w:rsid w:val="00AF1568"/>
    <w:rsid w:val="00AF1AFD"/>
    <w:rsid w:val="00AF1D55"/>
    <w:rsid w:val="00AF1F6B"/>
    <w:rsid w:val="00AF2F4F"/>
    <w:rsid w:val="00AF347E"/>
    <w:rsid w:val="00AF39EF"/>
    <w:rsid w:val="00AF3CE3"/>
    <w:rsid w:val="00AF3CF3"/>
    <w:rsid w:val="00AF443C"/>
    <w:rsid w:val="00AF4630"/>
    <w:rsid w:val="00AF50AD"/>
    <w:rsid w:val="00AF5822"/>
    <w:rsid w:val="00AF582F"/>
    <w:rsid w:val="00AF602C"/>
    <w:rsid w:val="00AF66C9"/>
    <w:rsid w:val="00AF71E1"/>
    <w:rsid w:val="00AF71EE"/>
    <w:rsid w:val="00AF7FC7"/>
    <w:rsid w:val="00B0023F"/>
    <w:rsid w:val="00B00690"/>
    <w:rsid w:val="00B006C1"/>
    <w:rsid w:val="00B00902"/>
    <w:rsid w:val="00B011FB"/>
    <w:rsid w:val="00B01E5E"/>
    <w:rsid w:val="00B02672"/>
    <w:rsid w:val="00B026EE"/>
    <w:rsid w:val="00B042F3"/>
    <w:rsid w:val="00B04F05"/>
    <w:rsid w:val="00B07303"/>
    <w:rsid w:val="00B07826"/>
    <w:rsid w:val="00B078BB"/>
    <w:rsid w:val="00B07A0A"/>
    <w:rsid w:val="00B07A60"/>
    <w:rsid w:val="00B07BB4"/>
    <w:rsid w:val="00B1014A"/>
    <w:rsid w:val="00B10A70"/>
    <w:rsid w:val="00B10E43"/>
    <w:rsid w:val="00B10FD1"/>
    <w:rsid w:val="00B1110B"/>
    <w:rsid w:val="00B112EB"/>
    <w:rsid w:val="00B11D9B"/>
    <w:rsid w:val="00B12301"/>
    <w:rsid w:val="00B125F0"/>
    <w:rsid w:val="00B126F8"/>
    <w:rsid w:val="00B12D9D"/>
    <w:rsid w:val="00B13949"/>
    <w:rsid w:val="00B13EDE"/>
    <w:rsid w:val="00B1439F"/>
    <w:rsid w:val="00B14743"/>
    <w:rsid w:val="00B14FE1"/>
    <w:rsid w:val="00B15747"/>
    <w:rsid w:val="00B162BE"/>
    <w:rsid w:val="00B165F7"/>
    <w:rsid w:val="00B1699C"/>
    <w:rsid w:val="00B16F11"/>
    <w:rsid w:val="00B174C1"/>
    <w:rsid w:val="00B20A81"/>
    <w:rsid w:val="00B20A95"/>
    <w:rsid w:val="00B2107C"/>
    <w:rsid w:val="00B212B6"/>
    <w:rsid w:val="00B22A42"/>
    <w:rsid w:val="00B22A9D"/>
    <w:rsid w:val="00B231E3"/>
    <w:rsid w:val="00B232F3"/>
    <w:rsid w:val="00B23646"/>
    <w:rsid w:val="00B23B07"/>
    <w:rsid w:val="00B23B4F"/>
    <w:rsid w:val="00B25142"/>
    <w:rsid w:val="00B2537E"/>
    <w:rsid w:val="00B25676"/>
    <w:rsid w:val="00B25CE2"/>
    <w:rsid w:val="00B25F19"/>
    <w:rsid w:val="00B26DA6"/>
    <w:rsid w:val="00B271FD"/>
    <w:rsid w:val="00B274B2"/>
    <w:rsid w:val="00B27E3F"/>
    <w:rsid w:val="00B30D48"/>
    <w:rsid w:val="00B30DD4"/>
    <w:rsid w:val="00B30F15"/>
    <w:rsid w:val="00B312AE"/>
    <w:rsid w:val="00B32654"/>
    <w:rsid w:val="00B336AB"/>
    <w:rsid w:val="00B34419"/>
    <w:rsid w:val="00B34904"/>
    <w:rsid w:val="00B34A1C"/>
    <w:rsid w:val="00B35869"/>
    <w:rsid w:val="00B35E86"/>
    <w:rsid w:val="00B35EB5"/>
    <w:rsid w:val="00B3600E"/>
    <w:rsid w:val="00B361FB"/>
    <w:rsid w:val="00B362B3"/>
    <w:rsid w:val="00B372A3"/>
    <w:rsid w:val="00B37535"/>
    <w:rsid w:val="00B37707"/>
    <w:rsid w:val="00B40174"/>
    <w:rsid w:val="00B401D5"/>
    <w:rsid w:val="00B40701"/>
    <w:rsid w:val="00B4088D"/>
    <w:rsid w:val="00B40CA6"/>
    <w:rsid w:val="00B41365"/>
    <w:rsid w:val="00B41933"/>
    <w:rsid w:val="00B41AAA"/>
    <w:rsid w:val="00B42A51"/>
    <w:rsid w:val="00B431F4"/>
    <w:rsid w:val="00B4342D"/>
    <w:rsid w:val="00B4388E"/>
    <w:rsid w:val="00B43952"/>
    <w:rsid w:val="00B44164"/>
    <w:rsid w:val="00B444A1"/>
    <w:rsid w:val="00B44502"/>
    <w:rsid w:val="00B44507"/>
    <w:rsid w:val="00B4472D"/>
    <w:rsid w:val="00B454D2"/>
    <w:rsid w:val="00B45C3A"/>
    <w:rsid w:val="00B45D4D"/>
    <w:rsid w:val="00B469BA"/>
    <w:rsid w:val="00B46BBC"/>
    <w:rsid w:val="00B4701A"/>
    <w:rsid w:val="00B47726"/>
    <w:rsid w:val="00B47781"/>
    <w:rsid w:val="00B479A2"/>
    <w:rsid w:val="00B51340"/>
    <w:rsid w:val="00B51D47"/>
    <w:rsid w:val="00B52F73"/>
    <w:rsid w:val="00B5358F"/>
    <w:rsid w:val="00B54118"/>
    <w:rsid w:val="00B54A28"/>
    <w:rsid w:val="00B55D92"/>
    <w:rsid w:val="00B56DD2"/>
    <w:rsid w:val="00B56EED"/>
    <w:rsid w:val="00B576F0"/>
    <w:rsid w:val="00B57D7A"/>
    <w:rsid w:val="00B57DC3"/>
    <w:rsid w:val="00B60205"/>
    <w:rsid w:val="00B609BA"/>
    <w:rsid w:val="00B6103A"/>
    <w:rsid w:val="00B61840"/>
    <w:rsid w:val="00B61BB9"/>
    <w:rsid w:val="00B61CE8"/>
    <w:rsid w:val="00B62B39"/>
    <w:rsid w:val="00B63440"/>
    <w:rsid w:val="00B634CF"/>
    <w:rsid w:val="00B6366A"/>
    <w:rsid w:val="00B63F88"/>
    <w:rsid w:val="00B63FDD"/>
    <w:rsid w:val="00B640FD"/>
    <w:rsid w:val="00B647D2"/>
    <w:rsid w:val="00B64936"/>
    <w:rsid w:val="00B653E4"/>
    <w:rsid w:val="00B65DF5"/>
    <w:rsid w:val="00B66C76"/>
    <w:rsid w:val="00B6769A"/>
    <w:rsid w:val="00B678C1"/>
    <w:rsid w:val="00B67962"/>
    <w:rsid w:val="00B7092C"/>
    <w:rsid w:val="00B70DA3"/>
    <w:rsid w:val="00B7118B"/>
    <w:rsid w:val="00B71378"/>
    <w:rsid w:val="00B72067"/>
    <w:rsid w:val="00B72D93"/>
    <w:rsid w:val="00B72DAB"/>
    <w:rsid w:val="00B7395B"/>
    <w:rsid w:val="00B744B0"/>
    <w:rsid w:val="00B748A0"/>
    <w:rsid w:val="00B74914"/>
    <w:rsid w:val="00B75645"/>
    <w:rsid w:val="00B75AE1"/>
    <w:rsid w:val="00B75B20"/>
    <w:rsid w:val="00B75E13"/>
    <w:rsid w:val="00B75F4E"/>
    <w:rsid w:val="00B7656C"/>
    <w:rsid w:val="00B76B17"/>
    <w:rsid w:val="00B76CBA"/>
    <w:rsid w:val="00B76F77"/>
    <w:rsid w:val="00B76FAC"/>
    <w:rsid w:val="00B7750F"/>
    <w:rsid w:val="00B77B96"/>
    <w:rsid w:val="00B804A9"/>
    <w:rsid w:val="00B80524"/>
    <w:rsid w:val="00B80894"/>
    <w:rsid w:val="00B80C34"/>
    <w:rsid w:val="00B80F9D"/>
    <w:rsid w:val="00B817BC"/>
    <w:rsid w:val="00B81EFB"/>
    <w:rsid w:val="00B83720"/>
    <w:rsid w:val="00B8484E"/>
    <w:rsid w:val="00B85084"/>
    <w:rsid w:val="00B85C2E"/>
    <w:rsid w:val="00B900DC"/>
    <w:rsid w:val="00B90A62"/>
    <w:rsid w:val="00B90E58"/>
    <w:rsid w:val="00B90FC7"/>
    <w:rsid w:val="00B91072"/>
    <w:rsid w:val="00B92032"/>
    <w:rsid w:val="00B921EF"/>
    <w:rsid w:val="00B92C15"/>
    <w:rsid w:val="00B936E6"/>
    <w:rsid w:val="00B94388"/>
    <w:rsid w:val="00B94DD0"/>
    <w:rsid w:val="00B95870"/>
    <w:rsid w:val="00B96012"/>
    <w:rsid w:val="00B96067"/>
    <w:rsid w:val="00B960FE"/>
    <w:rsid w:val="00BA0418"/>
    <w:rsid w:val="00BA0B63"/>
    <w:rsid w:val="00BA13CC"/>
    <w:rsid w:val="00BA1E06"/>
    <w:rsid w:val="00BA1F0E"/>
    <w:rsid w:val="00BA2057"/>
    <w:rsid w:val="00BA2D96"/>
    <w:rsid w:val="00BA396C"/>
    <w:rsid w:val="00BA40C8"/>
    <w:rsid w:val="00BA44CE"/>
    <w:rsid w:val="00BA4563"/>
    <w:rsid w:val="00BA4793"/>
    <w:rsid w:val="00BA483F"/>
    <w:rsid w:val="00BA4C1A"/>
    <w:rsid w:val="00BA4F97"/>
    <w:rsid w:val="00BA542F"/>
    <w:rsid w:val="00BA54DE"/>
    <w:rsid w:val="00BA5D70"/>
    <w:rsid w:val="00BA6243"/>
    <w:rsid w:val="00BA6CA6"/>
    <w:rsid w:val="00BA6F50"/>
    <w:rsid w:val="00BA7296"/>
    <w:rsid w:val="00BA765A"/>
    <w:rsid w:val="00BA7B38"/>
    <w:rsid w:val="00BA7E93"/>
    <w:rsid w:val="00BB0662"/>
    <w:rsid w:val="00BB0D52"/>
    <w:rsid w:val="00BB0F90"/>
    <w:rsid w:val="00BB0FAF"/>
    <w:rsid w:val="00BB2E80"/>
    <w:rsid w:val="00BB3A14"/>
    <w:rsid w:val="00BB3B2A"/>
    <w:rsid w:val="00BB5104"/>
    <w:rsid w:val="00BB634D"/>
    <w:rsid w:val="00BB68B3"/>
    <w:rsid w:val="00BB7194"/>
    <w:rsid w:val="00BB7858"/>
    <w:rsid w:val="00BB7EFD"/>
    <w:rsid w:val="00BC0151"/>
    <w:rsid w:val="00BC07B0"/>
    <w:rsid w:val="00BC09BB"/>
    <w:rsid w:val="00BC1305"/>
    <w:rsid w:val="00BC1647"/>
    <w:rsid w:val="00BC1CB6"/>
    <w:rsid w:val="00BC35BF"/>
    <w:rsid w:val="00BC3642"/>
    <w:rsid w:val="00BC373B"/>
    <w:rsid w:val="00BC39DD"/>
    <w:rsid w:val="00BC3D2F"/>
    <w:rsid w:val="00BC4AE9"/>
    <w:rsid w:val="00BC5186"/>
    <w:rsid w:val="00BC589C"/>
    <w:rsid w:val="00BC59D1"/>
    <w:rsid w:val="00BC5A6C"/>
    <w:rsid w:val="00BC5FDB"/>
    <w:rsid w:val="00BC6448"/>
    <w:rsid w:val="00BC6DE9"/>
    <w:rsid w:val="00BC792B"/>
    <w:rsid w:val="00BC7E97"/>
    <w:rsid w:val="00BC7F66"/>
    <w:rsid w:val="00BD07AE"/>
    <w:rsid w:val="00BD0DB1"/>
    <w:rsid w:val="00BD21B7"/>
    <w:rsid w:val="00BD2E3F"/>
    <w:rsid w:val="00BD2ECE"/>
    <w:rsid w:val="00BD2FD9"/>
    <w:rsid w:val="00BD353A"/>
    <w:rsid w:val="00BD3DBA"/>
    <w:rsid w:val="00BD4279"/>
    <w:rsid w:val="00BD493B"/>
    <w:rsid w:val="00BD4C8F"/>
    <w:rsid w:val="00BD64BE"/>
    <w:rsid w:val="00BD64DE"/>
    <w:rsid w:val="00BD719A"/>
    <w:rsid w:val="00BD72B4"/>
    <w:rsid w:val="00BD733F"/>
    <w:rsid w:val="00BD7388"/>
    <w:rsid w:val="00BE07A4"/>
    <w:rsid w:val="00BE0D80"/>
    <w:rsid w:val="00BE0F06"/>
    <w:rsid w:val="00BE1C5D"/>
    <w:rsid w:val="00BE1FF3"/>
    <w:rsid w:val="00BE20F3"/>
    <w:rsid w:val="00BE220A"/>
    <w:rsid w:val="00BE27CF"/>
    <w:rsid w:val="00BE2CB8"/>
    <w:rsid w:val="00BE3881"/>
    <w:rsid w:val="00BE3C32"/>
    <w:rsid w:val="00BE4F25"/>
    <w:rsid w:val="00BE4F31"/>
    <w:rsid w:val="00BE5794"/>
    <w:rsid w:val="00BE5905"/>
    <w:rsid w:val="00BE764A"/>
    <w:rsid w:val="00BE7DE1"/>
    <w:rsid w:val="00BF01A9"/>
    <w:rsid w:val="00BF0531"/>
    <w:rsid w:val="00BF1649"/>
    <w:rsid w:val="00BF1880"/>
    <w:rsid w:val="00BF23C3"/>
    <w:rsid w:val="00BF2565"/>
    <w:rsid w:val="00BF29B1"/>
    <w:rsid w:val="00BF3450"/>
    <w:rsid w:val="00BF3966"/>
    <w:rsid w:val="00BF407C"/>
    <w:rsid w:val="00BF5760"/>
    <w:rsid w:val="00BF61D8"/>
    <w:rsid w:val="00BF6A49"/>
    <w:rsid w:val="00BF7E7E"/>
    <w:rsid w:val="00BF7F4A"/>
    <w:rsid w:val="00C0012D"/>
    <w:rsid w:val="00C00E9D"/>
    <w:rsid w:val="00C01A2B"/>
    <w:rsid w:val="00C01DEE"/>
    <w:rsid w:val="00C024ED"/>
    <w:rsid w:val="00C026DA"/>
    <w:rsid w:val="00C02AFB"/>
    <w:rsid w:val="00C02F93"/>
    <w:rsid w:val="00C040B9"/>
    <w:rsid w:val="00C0440F"/>
    <w:rsid w:val="00C04A7A"/>
    <w:rsid w:val="00C0510B"/>
    <w:rsid w:val="00C055E4"/>
    <w:rsid w:val="00C0584F"/>
    <w:rsid w:val="00C05C73"/>
    <w:rsid w:val="00C05FB9"/>
    <w:rsid w:val="00C06500"/>
    <w:rsid w:val="00C06847"/>
    <w:rsid w:val="00C06DD3"/>
    <w:rsid w:val="00C0737B"/>
    <w:rsid w:val="00C0798B"/>
    <w:rsid w:val="00C07B18"/>
    <w:rsid w:val="00C101FC"/>
    <w:rsid w:val="00C10388"/>
    <w:rsid w:val="00C10641"/>
    <w:rsid w:val="00C10E04"/>
    <w:rsid w:val="00C11A74"/>
    <w:rsid w:val="00C12C91"/>
    <w:rsid w:val="00C12DE5"/>
    <w:rsid w:val="00C139C9"/>
    <w:rsid w:val="00C13C99"/>
    <w:rsid w:val="00C14AB2"/>
    <w:rsid w:val="00C14C46"/>
    <w:rsid w:val="00C14FBA"/>
    <w:rsid w:val="00C1503A"/>
    <w:rsid w:val="00C153B8"/>
    <w:rsid w:val="00C164DC"/>
    <w:rsid w:val="00C16708"/>
    <w:rsid w:val="00C16B1D"/>
    <w:rsid w:val="00C16B7A"/>
    <w:rsid w:val="00C16C02"/>
    <w:rsid w:val="00C16F21"/>
    <w:rsid w:val="00C17AE6"/>
    <w:rsid w:val="00C20C5C"/>
    <w:rsid w:val="00C21413"/>
    <w:rsid w:val="00C21460"/>
    <w:rsid w:val="00C2158C"/>
    <w:rsid w:val="00C21DE8"/>
    <w:rsid w:val="00C22627"/>
    <w:rsid w:val="00C22830"/>
    <w:rsid w:val="00C23B01"/>
    <w:rsid w:val="00C24817"/>
    <w:rsid w:val="00C249C9"/>
    <w:rsid w:val="00C25618"/>
    <w:rsid w:val="00C25BA6"/>
    <w:rsid w:val="00C25ECB"/>
    <w:rsid w:val="00C2608A"/>
    <w:rsid w:val="00C26801"/>
    <w:rsid w:val="00C26D66"/>
    <w:rsid w:val="00C27A43"/>
    <w:rsid w:val="00C27B24"/>
    <w:rsid w:val="00C305C0"/>
    <w:rsid w:val="00C309D1"/>
    <w:rsid w:val="00C30BE4"/>
    <w:rsid w:val="00C310D6"/>
    <w:rsid w:val="00C31947"/>
    <w:rsid w:val="00C3200E"/>
    <w:rsid w:val="00C328A8"/>
    <w:rsid w:val="00C334A3"/>
    <w:rsid w:val="00C33B0A"/>
    <w:rsid w:val="00C33E53"/>
    <w:rsid w:val="00C3427D"/>
    <w:rsid w:val="00C343E3"/>
    <w:rsid w:val="00C345A5"/>
    <w:rsid w:val="00C351F1"/>
    <w:rsid w:val="00C351F6"/>
    <w:rsid w:val="00C35DD8"/>
    <w:rsid w:val="00C36CCC"/>
    <w:rsid w:val="00C36F21"/>
    <w:rsid w:val="00C376A8"/>
    <w:rsid w:val="00C40040"/>
    <w:rsid w:val="00C401FE"/>
    <w:rsid w:val="00C411E4"/>
    <w:rsid w:val="00C41655"/>
    <w:rsid w:val="00C41E20"/>
    <w:rsid w:val="00C424B9"/>
    <w:rsid w:val="00C42547"/>
    <w:rsid w:val="00C42DF1"/>
    <w:rsid w:val="00C432C4"/>
    <w:rsid w:val="00C437E7"/>
    <w:rsid w:val="00C44690"/>
    <w:rsid w:val="00C44771"/>
    <w:rsid w:val="00C44951"/>
    <w:rsid w:val="00C4512A"/>
    <w:rsid w:val="00C45CB2"/>
    <w:rsid w:val="00C4651C"/>
    <w:rsid w:val="00C47D73"/>
    <w:rsid w:val="00C500F3"/>
    <w:rsid w:val="00C501FC"/>
    <w:rsid w:val="00C5060B"/>
    <w:rsid w:val="00C512F4"/>
    <w:rsid w:val="00C51717"/>
    <w:rsid w:val="00C517C8"/>
    <w:rsid w:val="00C51882"/>
    <w:rsid w:val="00C519A1"/>
    <w:rsid w:val="00C51BD8"/>
    <w:rsid w:val="00C526C4"/>
    <w:rsid w:val="00C52754"/>
    <w:rsid w:val="00C52D57"/>
    <w:rsid w:val="00C5351E"/>
    <w:rsid w:val="00C54343"/>
    <w:rsid w:val="00C54428"/>
    <w:rsid w:val="00C547DD"/>
    <w:rsid w:val="00C54A24"/>
    <w:rsid w:val="00C54FD9"/>
    <w:rsid w:val="00C556CE"/>
    <w:rsid w:val="00C56098"/>
    <w:rsid w:val="00C5633A"/>
    <w:rsid w:val="00C568E1"/>
    <w:rsid w:val="00C57890"/>
    <w:rsid w:val="00C61148"/>
    <w:rsid w:val="00C612AB"/>
    <w:rsid w:val="00C6142C"/>
    <w:rsid w:val="00C618F0"/>
    <w:rsid w:val="00C62A22"/>
    <w:rsid w:val="00C62C2B"/>
    <w:rsid w:val="00C630FC"/>
    <w:rsid w:val="00C63169"/>
    <w:rsid w:val="00C634BE"/>
    <w:rsid w:val="00C63AB4"/>
    <w:rsid w:val="00C63CDF"/>
    <w:rsid w:val="00C64249"/>
    <w:rsid w:val="00C64C8E"/>
    <w:rsid w:val="00C6531C"/>
    <w:rsid w:val="00C65650"/>
    <w:rsid w:val="00C65A2B"/>
    <w:rsid w:val="00C65A43"/>
    <w:rsid w:val="00C660CD"/>
    <w:rsid w:val="00C66CB7"/>
    <w:rsid w:val="00C6709C"/>
    <w:rsid w:val="00C674B9"/>
    <w:rsid w:val="00C67784"/>
    <w:rsid w:val="00C67A82"/>
    <w:rsid w:val="00C67CF5"/>
    <w:rsid w:val="00C67F5A"/>
    <w:rsid w:val="00C7056F"/>
    <w:rsid w:val="00C706D1"/>
    <w:rsid w:val="00C708AD"/>
    <w:rsid w:val="00C7228A"/>
    <w:rsid w:val="00C724B4"/>
    <w:rsid w:val="00C7266F"/>
    <w:rsid w:val="00C72CF5"/>
    <w:rsid w:val="00C73E06"/>
    <w:rsid w:val="00C7506B"/>
    <w:rsid w:val="00C75355"/>
    <w:rsid w:val="00C75951"/>
    <w:rsid w:val="00C75B60"/>
    <w:rsid w:val="00C75F91"/>
    <w:rsid w:val="00C7613D"/>
    <w:rsid w:val="00C76632"/>
    <w:rsid w:val="00C76CE1"/>
    <w:rsid w:val="00C77055"/>
    <w:rsid w:val="00C77373"/>
    <w:rsid w:val="00C77A0F"/>
    <w:rsid w:val="00C80240"/>
    <w:rsid w:val="00C80505"/>
    <w:rsid w:val="00C81054"/>
    <w:rsid w:val="00C81096"/>
    <w:rsid w:val="00C811A3"/>
    <w:rsid w:val="00C8139D"/>
    <w:rsid w:val="00C814A3"/>
    <w:rsid w:val="00C81AA5"/>
    <w:rsid w:val="00C81D97"/>
    <w:rsid w:val="00C82860"/>
    <w:rsid w:val="00C829E3"/>
    <w:rsid w:val="00C8315E"/>
    <w:rsid w:val="00C83565"/>
    <w:rsid w:val="00C842FC"/>
    <w:rsid w:val="00C84E0A"/>
    <w:rsid w:val="00C8536A"/>
    <w:rsid w:val="00C8586A"/>
    <w:rsid w:val="00C86ECA"/>
    <w:rsid w:val="00C86F0C"/>
    <w:rsid w:val="00C87344"/>
    <w:rsid w:val="00C8786A"/>
    <w:rsid w:val="00C87A01"/>
    <w:rsid w:val="00C87C41"/>
    <w:rsid w:val="00C90AD7"/>
    <w:rsid w:val="00C9130C"/>
    <w:rsid w:val="00C91310"/>
    <w:rsid w:val="00C913D9"/>
    <w:rsid w:val="00C914D0"/>
    <w:rsid w:val="00C9192C"/>
    <w:rsid w:val="00C91A3C"/>
    <w:rsid w:val="00C932E7"/>
    <w:rsid w:val="00C93525"/>
    <w:rsid w:val="00C93721"/>
    <w:rsid w:val="00C946FE"/>
    <w:rsid w:val="00C94FEC"/>
    <w:rsid w:val="00C95081"/>
    <w:rsid w:val="00C95450"/>
    <w:rsid w:val="00C960DE"/>
    <w:rsid w:val="00C96D04"/>
    <w:rsid w:val="00C96E71"/>
    <w:rsid w:val="00C97348"/>
    <w:rsid w:val="00C9749C"/>
    <w:rsid w:val="00C977F9"/>
    <w:rsid w:val="00C97CB0"/>
    <w:rsid w:val="00CA0ACA"/>
    <w:rsid w:val="00CA1011"/>
    <w:rsid w:val="00CA23F9"/>
    <w:rsid w:val="00CA25F9"/>
    <w:rsid w:val="00CA2776"/>
    <w:rsid w:val="00CA36B9"/>
    <w:rsid w:val="00CA4E7A"/>
    <w:rsid w:val="00CA54F4"/>
    <w:rsid w:val="00CA59FF"/>
    <w:rsid w:val="00CA5F4F"/>
    <w:rsid w:val="00CA6941"/>
    <w:rsid w:val="00CA723A"/>
    <w:rsid w:val="00CA7404"/>
    <w:rsid w:val="00CA7E84"/>
    <w:rsid w:val="00CB0070"/>
    <w:rsid w:val="00CB00D1"/>
    <w:rsid w:val="00CB0B7B"/>
    <w:rsid w:val="00CB0C2D"/>
    <w:rsid w:val="00CB1951"/>
    <w:rsid w:val="00CB2661"/>
    <w:rsid w:val="00CB2E11"/>
    <w:rsid w:val="00CB380A"/>
    <w:rsid w:val="00CB3850"/>
    <w:rsid w:val="00CB4015"/>
    <w:rsid w:val="00CB4B44"/>
    <w:rsid w:val="00CB4CC1"/>
    <w:rsid w:val="00CB6360"/>
    <w:rsid w:val="00CB6404"/>
    <w:rsid w:val="00CB6543"/>
    <w:rsid w:val="00CB743A"/>
    <w:rsid w:val="00CB77F1"/>
    <w:rsid w:val="00CB7F26"/>
    <w:rsid w:val="00CC03AB"/>
    <w:rsid w:val="00CC0586"/>
    <w:rsid w:val="00CC149F"/>
    <w:rsid w:val="00CC1751"/>
    <w:rsid w:val="00CC17E8"/>
    <w:rsid w:val="00CC1922"/>
    <w:rsid w:val="00CC22F0"/>
    <w:rsid w:val="00CC25C7"/>
    <w:rsid w:val="00CC29A8"/>
    <w:rsid w:val="00CC2B30"/>
    <w:rsid w:val="00CC2BE2"/>
    <w:rsid w:val="00CC2D09"/>
    <w:rsid w:val="00CC2E5D"/>
    <w:rsid w:val="00CC3B27"/>
    <w:rsid w:val="00CC405E"/>
    <w:rsid w:val="00CC543E"/>
    <w:rsid w:val="00CC560C"/>
    <w:rsid w:val="00CC5FB1"/>
    <w:rsid w:val="00CC651B"/>
    <w:rsid w:val="00CC6671"/>
    <w:rsid w:val="00CC77F8"/>
    <w:rsid w:val="00CC7DB9"/>
    <w:rsid w:val="00CD03E3"/>
    <w:rsid w:val="00CD060E"/>
    <w:rsid w:val="00CD10DA"/>
    <w:rsid w:val="00CD1730"/>
    <w:rsid w:val="00CD19CA"/>
    <w:rsid w:val="00CD2599"/>
    <w:rsid w:val="00CD26B3"/>
    <w:rsid w:val="00CD402A"/>
    <w:rsid w:val="00CD490C"/>
    <w:rsid w:val="00CD583A"/>
    <w:rsid w:val="00CD643C"/>
    <w:rsid w:val="00CD6DF5"/>
    <w:rsid w:val="00CD764C"/>
    <w:rsid w:val="00CE0D86"/>
    <w:rsid w:val="00CE180F"/>
    <w:rsid w:val="00CE262E"/>
    <w:rsid w:val="00CE2FCC"/>
    <w:rsid w:val="00CE31F4"/>
    <w:rsid w:val="00CE39AF"/>
    <w:rsid w:val="00CE446F"/>
    <w:rsid w:val="00CE4A3E"/>
    <w:rsid w:val="00CE57A3"/>
    <w:rsid w:val="00CE5BEC"/>
    <w:rsid w:val="00CE5E8A"/>
    <w:rsid w:val="00CE77D4"/>
    <w:rsid w:val="00CE78C3"/>
    <w:rsid w:val="00CF124B"/>
    <w:rsid w:val="00CF182D"/>
    <w:rsid w:val="00CF1DDF"/>
    <w:rsid w:val="00CF2256"/>
    <w:rsid w:val="00CF3542"/>
    <w:rsid w:val="00CF3C6C"/>
    <w:rsid w:val="00CF4ACA"/>
    <w:rsid w:val="00CF54CC"/>
    <w:rsid w:val="00CF54E8"/>
    <w:rsid w:val="00CF67FE"/>
    <w:rsid w:val="00CF6A7F"/>
    <w:rsid w:val="00CF6EBF"/>
    <w:rsid w:val="00CF712A"/>
    <w:rsid w:val="00CF7F1F"/>
    <w:rsid w:val="00D00731"/>
    <w:rsid w:val="00D00BD3"/>
    <w:rsid w:val="00D00C6E"/>
    <w:rsid w:val="00D011EC"/>
    <w:rsid w:val="00D0120A"/>
    <w:rsid w:val="00D021DC"/>
    <w:rsid w:val="00D02274"/>
    <w:rsid w:val="00D02598"/>
    <w:rsid w:val="00D0349B"/>
    <w:rsid w:val="00D03847"/>
    <w:rsid w:val="00D03EC3"/>
    <w:rsid w:val="00D04010"/>
    <w:rsid w:val="00D0418F"/>
    <w:rsid w:val="00D041D2"/>
    <w:rsid w:val="00D0446E"/>
    <w:rsid w:val="00D04754"/>
    <w:rsid w:val="00D049AD"/>
    <w:rsid w:val="00D050C7"/>
    <w:rsid w:val="00D05C97"/>
    <w:rsid w:val="00D06182"/>
    <w:rsid w:val="00D07073"/>
    <w:rsid w:val="00D077E1"/>
    <w:rsid w:val="00D07A87"/>
    <w:rsid w:val="00D10294"/>
    <w:rsid w:val="00D104E5"/>
    <w:rsid w:val="00D10A30"/>
    <w:rsid w:val="00D11B37"/>
    <w:rsid w:val="00D11BC0"/>
    <w:rsid w:val="00D11E47"/>
    <w:rsid w:val="00D1202C"/>
    <w:rsid w:val="00D13215"/>
    <w:rsid w:val="00D13C77"/>
    <w:rsid w:val="00D14DDE"/>
    <w:rsid w:val="00D15102"/>
    <w:rsid w:val="00D152BC"/>
    <w:rsid w:val="00D165BF"/>
    <w:rsid w:val="00D174E7"/>
    <w:rsid w:val="00D17F25"/>
    <w:rsid w:val="00D201D0"/>
    <w:rsid w:val="00D20844"/>
    <w:rsid w:val="00D21406"/>
    <w:rsid w:val="00D2141B"/>
    <w:rsid w:val="00D21850"/>
    <w:rsid w:val="00D21DDE"/>
    <w:rsid w:val="00D22BE3"/>
    <w:rsid w:val="00D231CF"/>
    <w:rsid w:val="00D241EE"/>
    <w:rsid w:val="00D2472B"/>
    <w:rsid w:val="00D2480E"/>
    <w:rsid w:val="00D24C55"/>
    <w:rsid w:val="00D256B3"/>
    <w:rsid w:val="00D25CA4"/>
    <w:rsid w:val="00D260AE"/>
    <w:rsid w:val="00D264A5"/>
    <w:rsid w:val="00D30341"/>
    <w:rsid w:val="00D30D3F"/>
    <w:rsid w:val="00D30FD1"/>
    <w:rsid w:val="00D314BC"/>
    <w:rsid w:val="00D322B0"/>
    <w:rsid w:val="00D32883"/>
    <w:rsid w:val="00D32FF7"/>
    <w:rsid w:val="00D3338C"/>
    <w:rsid w:val="00D343C9"/>
    <w:rsid w:val="00D34478"/>
    <w:rsid w:val="00D35B00"/>
    <w:rsid w:val="00D35D87"/>
    <w:rsid w:val="00D36C41"/>
    <w:rsid w:val="00D36F2F"/>
    <w:rsid w:val="00D373CD"/>
    <w:rsid w:val="00D3768E"/>
    <w:rsid w:val="00D40BD9"/>
    <w:rsid w:val="00D41167"/>
    <w:rsid w:val="00D41B8E"/>
    <w:rsid w:val="00D41BC2"/>
    <w:rsid w:val="00D4286A"/>
    <w:rsid w:val="00D42E66"/>
    <w:rsid w:val="00D43DA7"/>
    <w:rsid w:val="00D4415B"/>
    <w:rsid w:val="00D45868"/>
    <w:rsid w:val="00D45A39"/>
    <w:rsid w:val="00D45CA4"/>
    <w:rsid w:val="00D45F45"/>
    <w:rsid w:val="00D4659D"/>
    <w:rsid w:val="00D50852"/>
    <w:rsid w:val="00D50938"/>
    <w:rsid w:val="00D50B6D"/>
    <w:rsid w:val="00D51878"/>
    <w:rsid w:val="00D51953"/>
    <w:rsid w:val="00D51A55"/>
    <w:rsid w:val="00D51F28"/>
    <w:rsid w:val="00D52120"/>
    <w:rsid w:val="00D53429"/>
    <w:rsid w:val="00D5370A"/>
    <w:rsid w:val="00D54FAF"/>
    <w:rsid w:val="00D5518D"/>
    <w:rsid w:val="00D559A0"/>
    <w:rsid w:val="00D560EB"/>
    <w:rsid w:val="00D563F7"/>
    <w:rsid w:val="00D5668B"/>
    <w:rsid w:val="00D56C45"/>
    <w:rsid w:val="00D56E48"/>
    <w:rsid w:val="00D56EDF"/>
    <w:rsid w:val="00D60096"/>
    <w:rsid w:val="00D61435"/>
    <w:rsid w:val="00D62142"/>
    <w:rsid w:val="00D62E2A"/>
    <w:rsid w:val="00D63333"/>
    <w:rsid w:val="00D63442"/>
    <w:rsid w:val="00D63B78"/>
    <w:rsid w:val="00D64805"/>
    <w:rsid w:val="00D64B2E"/>
    <w:rsid w:val="00D6554D"/>
    <w:rsid w:val="00D665EA"/>
    <w:rsid w:val="00D66E22"/>
    <w:rsid w:val="00D66EF1"/>
    <w:rsid w:val="00D678A0"/>
    <w:rsid w:val="00D702E8"/>
    <w:rsid w:val="00D7091E"/>
    <w:rsid w:val="00D70D82"/>
    <w:rsid w:val="00D70E63"/>
    <w:rsid w:val="00D731D8"/>
    <w:rsid w:val="00D73EF4"/>
    <w:rsid w:val="00D74F7D"/>
    <w:rsid w:val="00D75512"/>
    <w:rsid w:val="00D7666E"/>
    <w:rsid w:val="00D76932"/>
    <w:rsid w:val="00D800C2"/>
    <w:rsid w:val="00D8050B"/>
    <w:rsid w:val="00D80F15"/>
    <w:rsid w:val="00D80F77"/>
    <w:rsid w:val="00D81BE5"/>
    <w:rsid w:val="00D81E31"/>
    <w:rsid w:val="00D82983"/>
    <w:rsid w:val="00D82D9F"/>
    <w:rsid w:val="00D82FD6"/>
    <w:rsid w:val="00D833F8"/>
    <w:rsid w:val="00D8457A"/>
    <w:rsid w:val="00D84661"/>
    <w:rsid w:val="00D84713"/>
    <w:rsid w:val="00D84D5A"/>
    <w:rsid w:val="00D84DC4"/>
    <w:rsid w:val="00D8576B"/>
    <w:rsid w:val="00D85FD0"/>
    <w:rsid w:val="00D86359"/>
    <w:rsid w:val="00D86507"/>
    <w:rsid w:val="00D86828"/>
    <w:rsid w:val="00D86CE7"/>
    <w:rsid w:val="00D87B8A"/>
    <w:rsid w:val="00D91750"/>
    <w:rsid w:val="00D91961"/>
    <w:rsid w:val="00D91C60"/>
    <w:rsid w:val="00D927FE"/>
    <w:rsid w:val="00D92C4B"/>
    <w:rsid w:val="00D93756"/>
    <w:rsid w:val="00D93A3D"/>
    <w:rsid w:val="00D93BE9"/>
    <w:rsid w:val="00D95A14"/>
    <w:rsid w:val="00D95C53"/>
    <w:rsid w:val="00D968EB"/>
    <w:rsid w:val="00D96A35"/>
    <w:rsid w:val="00DA01B0"/>
    <w:rsid w:val="00DA02D4"/>
    <w:rsid w:val="00DA03A1"/>
    <w:rsid w:val="00DA08AF"/>
    <w:rsid w:val="00DA10CF"/>
    <w:rsid w:val="00DA1734"/>
    <w:rsid w:val="00DA1802"/>
    <w:rsid w:val="00DA2296"/>
    <w:rsid w:val="00DA2947"/>
    <w:rsid w:val="00DA2CD8"/>
    <w:rsid w:val="00DA3729"/>
    <w:rsid w:val="00DA39C3"/>
    <w:rsid w:val="00DA4061"/>
    <w:rsid w:val="00DA452D"/>
    <w:rsid w:val="00DA4865"/>
    <w:rsid w:val="00DA4B03"/>
    <w:rsid w:val="00DA4E43"/>
    <w:rsid w:val="00DA53CA"/>
    <w:rsid w:val="00DA5660"/>
    <w:rsid w:val="00DA5FF8"/>
    <w:rsid w:val="00DA6042"/>
    <w:rsid w:val="00DA71ED"/>
    <w:rsid w:val="00DA7A7E"/>
    <w:rsid w:val="00DA7C43"/>
    <w:rsid w:val="00DB0172"/>
    <w:rsid w:val="00DB044B"/>
    <w:rsid w:val="00DB0548"/>
    <w:rsid w:val="00DB0E08"/>
    <w:rsid w:val="00DB25F1"/>
    <w:rsid w:val="00DB29F0"/>
    <w:rsid w:val="00DB3554"/>
    <w:rsid w:val="00DB3800"/>
    <w:rsid w:val="00DB3E42"/>
    <w:rsid w:val="00DB3E60"/>
    <w:rsid w:val="00DB436D"/>
    <w:rsid w:val="00DB4902"/>
    <w:rsid w:val="00DB52B5"/>
    <w:rsid w:val="00DB535B"/>
    <w:rsid w:val="00DB587F"/>
    <w:rsid w:val="00DB5A5D"/>
    <w:rsid w:val="00DB5B78"/>
    <w:rsid w:val="00DB5B9A"/>
    <w:rsid w:val="00DB5C42"/>
    <w:rsid w:val="00DB5DF6"/>
    <w:rsid w:val="00DB6076"/>
    <w:rsid w:val="00DB6C3B"/>
    <w:rsid w:val="00DB7D06"/>
    <w:rsid w:val="00DB7E91"/>
    <w:rsid w:val="00DC05FC"/>
    <w:rsid w:val="00DC0C91"/>
    <w:rsid w:val="00DC16C7"/>
    <w:rsid w:val="00DC1C80"/>
    <w:rsid w:val="00DC35FA"/>
    <w:rsid w:val="00DC43E0"/>
    <w:rsid w:val="00DC4AFF"/>
    <w:rsid w:val="00DC57AA"/>
    <w:rsid w:val="00DC5C68"/>
    <w:rsid w:val="00DC5E11"/>
    <w:rsid w:val="00DC61D1"/>
    <w:rsid w:val="00DC6B79"/>
    <w:rsid w:val="00DD18D0"/>
    <w:rsid w:val="00DD1EB7"/>
    <w:rsid w:val="00DD23C5"/>
    <w:rsid w:val="00DD32C7"/>
    <w:rsid w:val="00DD3600"/>
    <w:rsid w:val="00DD3C5E"/>
    <w:rsid w:val="00DD566E"/>
    <w:rsid w:val="00DD5CF8"/>
    <w:rsid w:val="00DD678C"/>
    <w:rsid w:val="00DD6E57"/>
    <w:rsid w:val="00DD6F71"/>
    <w:rsid w:val="00DD7260"/>
    <w:rsid w:val="00DD77C0"/>
    <w:rsid w:val="00DD78AF"/>
    <w:rsid w:val="00DD7A41"/>
    <w:rsid w:val="00DE0133"/>
    <w:rsid w:val="00DE02C0"/>
    <w:rsid w:val="00DE05F6"/>
    <w:rsid w:val="00DE0812"/>
    <w:rsid w:val="00DE087D"/>
    <w:rsid w:val="00DE0CB7"/>
    <w:rsid w:val="00DE0D9E"/>
    <w:rsid w:val="00DE1ED9"/>
    <w:rsid w:val="00DE2D64"/>
    <w:rsid w:val="00DE4544"/>
    <w:rsid w:val="00DE4DE1"/>
    <w:rsid w:val="00DE5067"/>
    <w:rsid w:val="00DE53D8"/>
    <w:rsid w:val="00DE57E8"/>
    <w:rsid w:val="00DE5959"/>
    <w:rsid w:val="00DE5A2A"/>
    <w:rsid w:val="00DE6BE8"/>
    <w:rsid w:val="00DE76FC"/>
    <w:rsid w:val="00DE7A4C"/>
    <w:rsid w:val="00DF0806"/>
    <w:rsid w:val="00DF08DC"/>
    <w:rsid w:val="00DF0A45"/>
    <w:rsid w:val="00DF0D53"/>
    <w:rsid w:val="00DF0F18"/>
    <w:rsid w:val="00DF1957"/>
    <w:rsid w:val="00DF1D27"/>
    <w:rsid w:val="00DF1DE7"/>
    <w:rsid w:val="00DF269D"/>
    <w:rsid w:val="00DF26B6"/>
    <w:rsid w:val="00DF3337"/>
    <w:rsid w:val="00DF3CDD"/>
    <w:rsid w:val="00DF4F0A"/>
    <w:rsid w:val="00DF5449"/>
    <w:rsid w:val="00DF5514"/>
    <w:rsid w:val="00DF5647"/>
    <w:rsid w:val="00DF5B23"/>
    <w:rsid w:val="00DF66A8"/>
    <w:rsid w:val="00DF6932"/>
    <w:rsid w:val="00DF6BAF"/>
    <w:rsid w:val="00DF6D1C"/>
    <w:rsid w:val="00DF7406"/>
    <w:rsid w:val="00DF7451"/>
    <w:rsid w:val="00DF79D5"/>
    <w:rsid w:val="00E00636"/>
    <w:rsid w:val="00E00B80"/>
    <w:rsid w:val="00E00EDC"/>
    <w:rsid w:val="00E0160B"/>
    <w:rsid w:val="00E01C50"/>
    <w:rsid w:val="00E02330"/>
    <w:rsid w:val="00E024AC"/>
    <w:rsid w:val="00E02553"/>
    <w:rsid w:val="00E03121"/>
    <w:rsid w:val="00E03130"/>
    <w:rsid w:val="00E0339C"/>
    <w:rsid w:val="00E03C6D"/>
    <w:rsid w:val="00E041FB"/>
    <w:rsid w:val="00E04D07"/>
    <w:rsid w:val="00E04FBA"/>
    <w:rsid w:val="00E05A80"/>
    <w:rsid w:val="00E06345"/>
    <w:rsid w:val="00E07616"/>
    <w:rsid w:val="00E10AF0"/>
    <w:rsid w:val="00E11517"/>
    <w:rsid w:val="00E1183F"/>
    <w:rsid w:val="00E11A66"/>
    <w:rsid w:val="00E12041"/>
    <w:rsid w:val="00E12CB4"/>
    <w:rsid w:val="00E12D25"/>
    <w:rsid w:val="00E13ECB"/>
    <w:rsid w:val="00E1407B"/>
    <w:rsid w:val="00E14097"/>
    <w:rsid w:val="00E1515C"/>
    <w:rsid w:val="00E15762"/>
    <w:rsid w:val="00E15855"/>
    <w:rsid w:val="00E163F0"/>
    <w:rsid w:val="00E16C0D"/>
    <w:rsid w:val="00E176F4"/>
    <w:rsid w:val="00E2007F"/>
    <w:rsid w:val="00E20388"/>
    <w:rsid w:val="00E2055A"/>
    <w:rsid w:val="00E20641"/>
    <w:rsid w:val="00E21E9B"/>
    <w:rsid w:val="00E22231"/>
    <w:rsid w:val="00E222C8"/>
    <w:rsid w:val="00E22D84"/>
    <w:rsid w:val="00E22EED"/>
    <w:rsid w:val="00E232E2"/>
    <w:rsid w:val="00E23A4D"/>
    <w:rsid w:val="00E23F78"/>
    <w:rsid w:val="00E244EA"/>
    <w:rsid w:val="00E24A1B"/>
    <w:rsid w:val="00E25E3F"/>
    <w:rsid w:val="00E260BB"/>
    <w:rsid w:val="00E26716"/>
    <w:rsid w:val="00E27591"/>
    <w:rsid w:val="00E275FB"/>
    <w:rsid w:val="00E27F4D"/>
    <w:rsid w:val="00E303F3"/>
    <w:rsid w:val="00E30437"/>
    <w:rsid w:val="00E306CD"/>
    <w:rsid w:val="00E30A15"/>
    <w:rsid w:val="00E32B6E"/>
    <w:rsid w:val="00E335CC"/>
    <w:rsid w:val="00E33A1A"/>
    <w:rsid w:val="00E348B2"/>
    <w:rsid w:val="00E34B2F"/>
    <w:rsid w:val="00E34B52"/>
    <w:rsid w:val="00E34EAC"/>
    <w:rsid w:val="00E34F04"/>
    <w:rsid w:val="00E35882"/>
    <w:rsid w:val="00E358BF"/>
    <w:rsid w:val="00E35D53"/>
    <w:rsid w:val="00E36028"/>
    <w:rsid w:val="00E363E3"/>
    <w:rsid w:val="00E368D3"/>
    <w:rsid w:val="00E3692B"/>
    <w:rsid w:val="00E36A78"/>
    <w:rsid w:val="00E4083E"/>
    <w:rsid w:val="00E40F23"/>
    <w:rsid w:val="00E41097"/>
    <w:rsid w:val="00E41D89"/>
    <w:rsid w:val="00E4254A"/>
    <w:rsid w:val="00E43008"/>
    <w:rsid w:val="00E435F2"/>
    <w:rsid w:val="00E4382A"/>
    <w:rsid w:val="00E43B9B"/>
    <w:rsid w:val="00E43F4C"/>
    <w:rsid w:val="00E44445"/>
    <w:rsid w:val="00E4467D"/>
    <w:rsid w:val="00E44764"/>
    <w:rsid w:val="00E44F27"/>
    <w:rsid w:val="00E4647C"/>
    <w:rsid w:val="00E47397"/>
    <w:rsid w:val="00E47891"/>
    <w:rsid w:val="00E47CB9"/>
    <w:rsid w:val="00E504B3"/>
    <w:rsid w:val="00E506A9"/>
    <w:rsid w:val="00E50E99"/>
    <w:rsid w:val="00E513F1"/>
    <w:rsid w:val="00E5153A"/>
    <w:rsid w:val="00E52B32"/>
    <w:rsid w:val="00E52C85"/>
    <w:rsid w:val="00E52C95"/>
    <w:rsid w:val="00E52CDB"/>
    <w:rsid w:val="00E53909"/>
    <w:rsid w:val="00E53A69"/>
    <w:rsid w:val="00E53B41"/>
    <w:rsid w:val="00E53B6F"/>
    <w:rsid w:val="00E53DB5"/>
    <w:rsid w:val="00E53F81"/>
    <w:rsid w:val="00E55C7B"/>
    <w:rsid w:val="00E56361"/>
    <w:rsid w:val="00E57432"/>
    <w:rsid w:val="00E576CB"/>
    <w:rsid w:val="00E60D21"/>
    <w:rsid w:val="00E610E9"/>
    <w:rsid w:val="00E617E8"/>
    <w:rsid w:val="00E61E8C"/>
    <w:rsid w:val="00E62C75"/>
    <w:rsid w:val="00E62EB2"/>
    <w:rsid w:val="00E63493"/>
    <w:rsid w:val="00E64CE8"/>
    <w:rsid w:val="00E65813"/>
    <w:rsid w:val="00E65C11"/>
    <w:rsid w:val="00E66293"/>
    <w:rsid w:val="00E66370"/>
    <w:rsid w:val="00E66716"/>
    <w:rsid w:val="00E66B40"/>
    <w:rsid w:val="00E66F41"/>
    <w:rsid w:val="00E670E6"/>
    <w:rsid w:val="00E6735F"/>
    <w:rsid w:val="00E67C64"/>
    <w:rsid w:val="00E7049F"/>
    <w:rsid w:val="00E70A24"/>
    <w:rsid w:val="00E70DE1"/>
    <w:rsid w:val="00E71782"/>
    <w:rsid w:val="00E71965"/>
    <w:rsid w:val="00E727CE"/>
    <w:rsid w:val="00E72A10"/>
    <w:rsid w:val="00E72CB8"/>
    <w:rsid w:val="00E72D5A"/>
    <w:rsid w:val="00E73756"/>
    <w:rsid w:val="00E73881"/>
    <w:rsid w:val="00E73BEE"/>
    <w:rsid w:val="00E74BD1"/>
    <w:rsid w:val="00E755E6"/>
    <w:rsid w:val="00E75618"/>
    <w:rsid w:val="00E76364"/>
    <w:rsid w:val="00E7696B"/>
    <w:rsid w:val="00E76FEC"/>
    <w:rsid w:val="00E778B9"/>
    <w:rsid w:val="00E77F48"/>
    <w:rsid w:val="00E80C51"/>
    <w:rsid w:val="00E80CDF"/>
    <w:rsid w:val="00E80FD2"/>
    <w:rsid w:val="00E810EB"/>
    <w:rsid w:val="00E8162F"/>
    <w:rsid w:val="00E816BA"/>
    <w:rsid w:val="00E81C6F"/>
    <w:rsid w:val="00E8210D"/>
    <w:rsid w:val="00E82595"/>
    <w:rsid w:val="00E82F18"/>
    <w:rsid w:val="00E832A1"/>
    <w:rsid w:val="00E83AD0"/>
    <w:rsid w:val="00E84234"/>
    <w:rsid w:val="00E84437"/>
    <w:rsid w:val="00E848F1"/>
    <w:rsid w:val="00E84B35"/>
    <w:rsid w:val="00E84C1C"/>
    <w:rsid w:val="00E85287"/>
    <w:rsid w:val="00E855AC"/>
    <w:rsid w:val="00E85C37"/>
    <w:rsid w:val="00E85C54"/>
    <w:rsid w:val="00E8689A"/>
    <w:rsid w:val="00E86B6F"/>
    <w:rsid w:val="00E87191"/>
    <w:rsid w:val="00E87F22"/>
    <w:rsid w:val="00E90351"/>
    <w:rsid w:val="00E91385"/>
    <w:rsid w:val="00E91449"/>
    <w:rsid w:val="00E91613"/>
    <w:rsid w:val="00E9194F"/>
    <w:rsid w:val="00E91F7C"/>
    <w:rsid w:val="00E92097"/>
    <w:rsid w:val="00E924A9"/>
    <w:rsid w:val="00E92AF5"/>
    <w:rsid w:val="00E92E60"/>
    <w:rsid w:val="00E93874"/>
    <w:rsid w:val="00E93B67"/>
    <w:rsid w:val="00E93D13"/>
    <w:rsid w:val="00E93EA4"/>
    <w:rsid w:val="00E95327"/>
    <w:rsid w:val="00E95EC3"/>
    <w:rsid w:val="00E97B62"/>
    <w:rsid w:val="00EA0341"/>
    <w:rsid w:val="00EA16D2"/>
    <w:rsid w:val="00EA179F"/>
    <w:rsid w:val="00EA1880"/>
    <w:rsid w:val="00EA18F0"/>
    <w:rsid w:val="00EA20CD"/>
    <w:rsid w:val="00EA22BB"/>
    <w:rsid w:val="00EA285F"/>
    <w:rsid w:val="00EA2CB6"/>
    <w:rsid w:val="00EA4288"/>
    <w:rsid w:val="00EA474E"/>
    <w:rsid w:val="00EA491F"/>
    <w:rsid w:val="00EA4B4D"/>
    <w:rsid w:val="00EA5197"/>
    <w:rsid w:val="00EA5D11"/>
    <w:rsid w:val="00EA5D20"/>
    <w:rsid w:val="00EA6359"/>
    <w:rsid w:val="00EA7353"/>
    <w:rsid w:val="00EA7926"/>
    <w:rsid w:val="00EB0167"/>
    <w:rsid w:val="00EB0650"/>
    <w:rsid w:val="00EB145C"/>
    <w:rsid w:val="00EB1841"/>
    <w:rsid w:val="00EB189A"/>
    <w:rsid w:val="00EB1BD4"/>
    <w:rsid w:val="00EB204B"/>
    <w:rsid w:val="00EB33BE"/>
    <w:rsid w:val="00EB3923"/>
    <w:rsid w:val="00EB399B"/>
    <w:rsid w:val="00EB3EEF"/>
    <w:rsid w:val="00EB42CF"/>
    <w:rsid w:val="00EB47DF"/>
    <w:rsid w:val="00EB51D9"/>
    <w:rsid w:val="00EB5415"/>
    <w:rsid w:val="00EB55CB"/>
    <w:rsid w:val="00EB5701"/>
    <w:rsid w:val="00EB5E93"/>
    <w:rsid w:val="00EB6F0F"/>
    <w:rsid w:val="00EB71F4"/>
    <w:rsid w:val="00EB7227"/>
    <w:rsid w:val="00EB72B0"/>
    <w:rsid w:val="00EB73C7"/>
    <w:rsid w:val="00EB753D"/>
    <w:rsid w:val="00EB7A8C"/>
    <w:rsid w:val="00EC039D"/>
    <w:rsid w:val="00EC0826"/>
    <w:rsid w:val="00EC094D"/>
    <w:rsid w:val="00EC0D10"/>
    <w:rsid w:val="00EC20DD"/>
    <w:rsid w:val="00EC2235"/>
    <w:rsid w:val="00EC2949"/>
    <w:rsid w:val="00EC2DB0"/>
    <w:rsid w:val="00EC34FD"/>
    <w:rsid w:val="00EC3F1C"/>
    <w:rsid w:val="00EC563F"/>
    <w:rsid w:val="00EC56D5"/>
    <w:rsid w:val="00EC58C6"/>
    <w:rsid w:val="00EC5E03"/>
    <w:rsid w:val="00EC7281"/>
    <w:rsid w:val="00EC7898"/>
    <w:rsid w:val="00EC7F2A"/>
    <w:rsid w:val="00ED0533"/>
    <w:rsid w:val="00ED11EE"/>
    <w:rsid w:val="00ED1A8E"/>
    <w:rsid w:val="00ED1FE8"/>
    <w:rsid w:val="00ED225D"/>
    <w:rsid w:val="00ED23F8"/>
    <w:rsid w:val="00ED26F3"/>
    <w:rsid w:val="00ED2FD4"/>
    <w:rsid w:val="00ED31D2"/>
    <w:rsid w:val="00ED3BE9"/>
    <w:rsid w:val="00ED3CB4"/>
    <w:rsid w:val="00ED4DC4"/>
    <w:rsid w:val="00ED5657"/>
    <w:rsid w:val="00ED584F"/>
    <w:rsid w:val="00ED6509"/>
    <w:rsid w:val="00ED7268"/>
    <w:rsid w:val="00ED7B50"/>
    <w:rsid w:val="00EE1170"/>
    <w:rsid w:val="00EE294E"/>
    <w:rsid w:val="00EE2A52"/>
    <w:rsid w:val="00EE377C"/>
    <w:rsid w:val="00EE38AE"/>
    <w:rsid w:val="00EE3C27"/>
    <w:rsid w:val="00EE3EC0"/>
    <w:rsid w:val="00EE4001"/>
    <w:rsid w:val="00EE4307"/>
    <w:rsid w:val="00EE485C"/>
    <w:rsid w:val="00EE4A89"/>
    <w:rsid w:val="00EE514F"/>
    <w:rsid w:val="00EE5932"/>
    <w:rsid w:val="00EE5F05"/>
    <w:rsid w:val="00EE64FC"/>
    <w:rsid w:val="00EF0715"/>
    <w:rsid w:val="00EF12F8"/>
    <w:rsid w:val="00EF1A2B"/>
    <w:rsid w:val="00EF1D38"/>
    <w:rsid w:val="00EF2349"/>
    <w:rsid w:val="00EF2E67"/>
    <w:rsid w:val="00EF4063"/>
    <w:rsid w:val="00EF4740"/>
    <w:rsid w:val="00EF594D"/>
    <w:rsid w:val="00EF5984"/>
    <w:rsid w:val="00EF5BE7"/>
    <w:rsid w:val="00EF69D0"/>
    <w:rsid w:val="00EF6F78"/>
    <w:rsid w:val="00EF78D6"/>
    <w:rsid w:val="00EF78FE"/>
    <w:rsid w:val="00EF7983"/>
    <w:rsid w:val="00F0037E"/>
    <w:rsid w:val="00F003D2"/>
    <w:rsid w:val="00F01357"/>
    <w:rsid w:val="00F0147A"/>
    <w:rsid w:val="00F014D9"/>
    <w:rsid w:val="00F01B37"/>
    <w:rsid w:val="00F01BD0"/>
    <w:rsid w:val="00F02CC4"/>
    <w:rsid w:val="00F02CF8"/>
    <w:rsid w:val="00F03D33"/>
    <w:rsid w:val="00F04037"/>
    <w:rsid w:val="00F04FF3"/>
    <w:rsid w:val="00F0519A"/>
    <w:rsid w:val="00F051A1"/>
    <w:rsid w:val="00F0558B"/>
    <w:rsid w:val="00F059BD"/>
    <w:rsid w:val="00F06EE0"/>
    <w:rsid w:val="00F071E4"/>
    <w:rsid w:val="00F0789B"/>
    <w:rsid w:val="00F10AF6"/>
    <w:rsid w:val="00F10DC1"/>
    <w:rsid w:val="00F11051"/>
    <w:rsid w:val="00F11157"/>
    <w:rsid w:val="00F113C9"/>
    <w:rsid w:val="00F114CE"/>
    <w:rsid w:val="00F1184E"/>
    <w:rsid w:val="00F11FA9"/>
    <w:rsid w:val="00F12DC4"/>
    <w:rsid w:val="00F13C5A"/>
    <w:rsid w:val="00F13E13"/>
    <w:rsid w:val="00F13E25"/>
    <w:rsid w:val="00F13FF4"/>
    <w:rsid w:val="00F14696"/>
    <w:rsid w:val="00F16C5A"/>
    <w:rsid w:val="00F1711C"/>
    <w:rsid w:val="00F1783B"/>
    <w:rsid w:val="00F17A5B"/>
    <w:rsid w:val="00F200EB"/>
    <w:rsid w:val="00F20A73"/>
    <w:rsid w:val="00F21C52"/>
    <w:rsid w:val="00F222D9"/>
    <w:rsid w:val="00F2316E"/>
    <w:rsid w:val="00F23E58"/>
    <w:rsid w:val="00F23E8C"/>
    <w:rsid w:val="00F2447F"/>
    <w:rsid w:val="00F24765"/>
    <w:rsid w:val="00F2478F"/>
    <w:rsid w:val="00F2483E"/>
    <w:rsid w:val="00F24964"/>
    <w:rsid w:val="00F24D8D"/>
    <w:rsid w:val="00F25A75"/>
    <w:rsid w:val="00F25BBB"/>
    <w:rsid w:val="00F2628E"/>
    <w:rsid w:val="00F26440"/>
    <w:rsid w:val="00F26504"/>
    <w:rsid w:val="00F27802"/>
    <w:rsid w:val="00F27A8B"/>
    <w:rsid w:val="00F27AD3"/>
    <w:rsid w:val="00F27CF2"/>
    <w:rsid w:val="00F302A3"/>
    <w:rsid w:val="00F30342"/>
    <w:rsid w:val="00F3038E"/>
    <w:rsid w:val="00F312A8"/>
    <w:rsid w:val="00F31380"/>
    <w:rsid w:val="00F319BA"/>
    <w:rsid w:val="00F322AB"/>
    <w:rsid w:val="00F323CF"/>
    <w:rsid w:val="00F33033"/>
    <w:rsid w:val="00F33AA4"/>
    <w:rsid w:val="00F349C1"/>
    <w:rsid w:val="00F3566A"/>
    <w:rsid w:val="00F35B24"/>
    <w:rsid w:val="00F35CC7"/>
    <w:rsid w:val="00F35E64"/>
    <w:rsid w:val="00F365B5"/>
    <w:rsid w:val="00F3706B"/>
    <w:rsid w:val="00F37EE0"/>
    <w:rsid w:val="00F41238"/>
    <w:rsid w:val="00F41430"/>
    <w:rsid w:val="00F42215"/>
    <w:rsid w:val="00F42555"/>
    <w:rsid w:val="00F445FE"/>
    <w:rsid w:val="00F446DD"/>
    <w:rsid w:val="00F446EA"/>
    <w:rsid w:val="00F44728"/>
    <w:rsid w:val="00F450DA"/>
    <w:rsid w:val="00F45102"/>
    <w:rsid w:val="00F459DE"/>
    <w:rsid w:val="00F45B74"/>
    <w:rsid w:val="00F46C57"/>
    <w:rsid w:val="00F471FA"/>
    <w:rsid w:val="00F479EF"/>
    <w:rsid w:val="00F47F45"/>
    <w:rsid w:val="00F509B3"/>
    <w:rsid w:val="00F5118A"/>
    <w:rsid w:val="00F51B74"/>
    <w:rsid w:val="00F5214E"/>
    <w:rsid w:val="00F52213"/>
    <w:rsid w:val="00F527EB"/>
    <w:rsid w:val="00F52C23"/>
    <w:rsid w:val="00F531CA"/>
    <w:rsid w:val="00F531ED"/>
    <w:rsid w:val="00F534CD"/>
    <w:rsid w:val="00F538AE"/>
    <w:rsid w:val="00F5476F"/>
    <w:rsid w:val="00F54C09"/>
    <w:rsid w:val="00F54F75"/>
    <w:rsid w:val="00F55444"/>
    <w:rsid w:val="00F557DD"/>
    <w:rsid w:val="00F56A6C"/>
    <w:rsid w:val="00F5707A"/>
    <w:rsid w:val="00F57550"/>
    <w:rsid w:val="00F57B6B"/>
    <w:rsid w:val="00F601F5"/>
    <w:rsid w:val="00F614A9"/>
    <w:rsid w:val="00F615F7"/>
    <w:rsid w:val="00F633A3"/>
    <w:rsid w:val="00F6406E"/>
    <w:rsid w:val="00F640B0"/>
    <w:rsid w:val="00F64282"/>
    <w:rsid w:val="00F64999"/>
    <w:rsid w:val="00F64C15"/>
    <w:rsid w:val="00F651CD"/>
    <w:rsid w:val="00F6567E"/>
    <w:rsid w:val="00F65790"/>
    <w:rsid w:val="00F65DC9"/>
    <w:rsid w:val="00F6639A"/>
    <w:rsid w:val="00F668F6"/>
    <w:rsid w:val="00F708F8"/>
    <w:rsid w:val="00F71303"/>
    <w:rsid w:val="00F7184B"/>
    <w:rsid w:val="00F726D3"/>
    <w:rsid w:val="00F73F8B"/>
    <w:rsid w:val="00F74AC7"/>
    <w:rsid w:val="00F74D10"/>
    <w:rsid w:val="00F74E51"/>
    <w:rsid w:val="00F7520E"/>
    <w:rsid w:val="00F7545F"/>
    <w:rsid w:val="00F76C55"/>
    <w:rsid w:val="00F76EAC"/>
    <w:rsid w:val="00F82781"/>
    <w:rsid w:val="00F82883"/>
    <w:rsid w:val="00F832D6"/>
    <w:rsid w:val="00F8378E"/>
    <w:rsid w:val="00F83E7F"/>
    <w:rsid w:val="00F84437"/>
    <w:rsid w:val="00F8554A"/>
    <w:rsid w:val="00F85A72"/>
    <w:rsid w:val="00F861E0"/>
    <w:rsid w:val="00F87370"/>
    <w:rsid w:val="00F879DF"/>
    <w:rsid w:val="00F903B7"/>
    <w:rsid w:val="00F91047"/>
    <w:rsid w:val="00F91BC6"/>
    <w:rsid w:val="00F922DF"/>
    <w:rsid w:val="00F92815"/>
    <w:rsid w:val="00F937D2"/>
    <w:rsid w:val="00F9381A"/>
    <w:rsid w:val="00F93D34"/>
    <w:rsid w:val="00F93EF5"/>
    <w:rsid w:val="00F9403B"/>
    <w:rsid w:val="00F9408D"/>
    <w:rsid w:val="00F941B2"/>
    <w:rsid w:val="00F94230"/>
    <w:rsid w:val="00F9478A"/>
    <w:rsid w:val="00F95B63"/>
    <w:rsid w:val="00F95F29"/>
    <w:rsid w:val="00F96A0A"/>
    <w:rsid w:val="00F96EB6"/>
    <w:rsid w:val="00F96F44"/>
    <w:rsid w:val="00F971FD"/>
    <w:rsid w:val="00F97531"/>
    <w:rsid w:val="00FA038F"/>
    <w:rsid w:val="00FA0539"/>
    <w:rsid w:val="00FA066F"/>
    <w:rsid w:val="00FA0927"/>
    <w:rsid w:val="00FA10B0"/>
    <w:rsid w:val="00FA2DBA"/>
    <w:rsid w:val="00FA2E86"/>
    <w:rsid w:val="00FA3699"/>
    <w:rsid w:val="00FA454E"/>
    <w:rsid w:val="00FA46B8"/>
    <w:rsid w:val="00FA4839"/>
    <w:rsid w:val="00FA5143"/>
    <w:rsid w:val="00FA5276"/>
    <w:rsid w:val="00FA5608"/>
    <w:rsid w:val="00FA568B"/>
    <w:rsid w:val="00FA5A3B"/>
    <w:rsid w:val="00FA5F89"/>
    <w:rsid w:val="00FA7214"/>
    <w:rsid w:val="00FA75AA"/>
    <w:rsid w:val="00FA7F41"/>
    <w:rsid w:val="00FB0A5B"/>
    <w:rsid w:val="00FB1045"/>
    <w:rsid w:val="00FB10EE"/>
    <w:rsid w:val="00FB1211"/>
    <w:rsid w:val="00FB167E"/>
    <w:rsid w:val="00FB1FE8"/>
    <w:rsid w:val="00FB23DC"/>
    <w:rsid w:val="00FB271E"/>
    <w:rsid w:val="00FB2AA0"/>
    <w:rsid w:val="00FB2DAB"/>
    <w:rsid w:val="00FB2FF3"/>
    <w:rsid w:val="00FB3043"/>
    <w:rsid w:val="00FB36D5"/>
    <w:rsid w:val="00FB37C4"/>
    <w:rsid w:val="00FB39B8"/>
    <w:rsid w:val="00FB4CE5"/>
    <w:rsid w:val="00FB4D85"/>
    <w:rsid w:val="00FB50E9"/>
    <w:rsid w:val="00FB67FF"/>
    <w:rsid w:val="00FB7B26"/>
    <w:rsid w:val="00FB7CFF"/>
    <w:rsid w:val="00FC0992"/>
    <w:rsid w:val="00FC0BA6"/>
    <w:rsid w:val="00FC0C4D"/>
    <w:rsid w:val="00FC0F48"/>
    <w:rsid w:val="00FC212D"/>
    <w:rsid w:val="00FC30B0"/>
    <w:rsid w:val="00FC3968"/>
    <w:rsid w:val="00FC4322"/>
    <w:rsid w:val="00FC4673"/>
    <w:rsid w:val="00FC4EDE"/>
    <w:rsid w:val="00FC4FA1"/>
    <w:rsid w:val="00FC574D"/>
    <w:rsid w:val="00FC593E"/>
    <w:rsid w:val="00FC5EE5"/>
    <w:rsid w:val="00FC6539"/>
    <w:rsid w:val="00FC67DA"/>
    <w:rsid w:val="00FC737F"/>
    <w:rsid w:val="00FC76D9"/>
    <w:rsid w:val="00FC7ACE"/>
    <w:rsid w:val="00FC7D02"/>
    <w:rsid w:val="00FC7E5B"/>
    <w:rsid w:val="00FD05EF"/>
    <w:rsid w:val="00FD07BF"/>
    <w:rsid w:val="00FD0B41"/>
    <w:rsid w:val="00FD0FCB"/>
    <w:rsid w:val="00FD1007"/>
    <w:rsid w:val="00FD1D16"/>
    <w:rsid w:val="00FD2ADA"/>
    <w:rsid w:val="00FD38A3"/>
    <w:rsid w:val="00FD3EF8"/>
    <w:rsid w:val="00FD494D"/>
    <w:rsid w:val="00FD4E78"/>
    <w:rsid w:val="00FD5935"/>
    <w:rsid w:val="00FD73FF"/>
    <w:rsid w:val="00FD7F27"/>
    <w:rsid w:val="00FD7F42"/>
    <w:rsid w:val="00FE0313"/>
    <w:rsid w:val="00FE0381"/>
    <w:rsid w:val="00FE097C"/>
    <w:rsid w:val="00FE28B3"/>
    <w:rsid w:val="00FE3033"/>
    <w:rsid w:val="00FE49AC"/>
    <w:rsid w:val="00FE4AA3"/>
    <w:rsid w:val="00FE52AD"/>
    <w:rsid w:val="00FE5CFA"/>
    <w:rsid w:val="00FE6689"/>
    <w:rsid w:val="00FE6B0A"/>
    <w:rsid w:val="00FE6B5B"/>
    <w:rsid w:val="00FE7B35"/>
    <w:rsid w:val="00FF0547"/>
    <w:rsid w:val="00FF18B7"/>
    <w:rsid w:val="00FF2210"/>
    <w:rsid w:val="00FF23E2"/>
    <w:rsid w:val="00FF2776"/>
    <w:rsid w:val="00FF441E"/>
    <w:rsid w:val="00FF491C"/>
    <w:rsid w:val="00FF4F61"/>
    <w:rsid w:val="00FF4FD8"/>
    <w:rsid w:val="00FF54A8"/>
    <w:rsid w:val="00FF6006"/>
    <w:rsid w:val="00FF6BAE"/>
    <w:rsid w:val="00FF6C98"/>
    <w:rsid w:val="00FF780F"/>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B3E26"/>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uiPriority w:val="9"/>
    <w:qFormat/>
    <w:rsid w:val="00E30437"/>
    <w:pPr>
      <w:keepNext/>
      <w:spacing w:before="240" w:after="60"/>
      <w:outlineLvl w:val="2"/>
    </w:pPr>
    <w:rPr>
      <w:rFonts w:ascii="Arial" w:hAnsi="Arial"/>
      <w:b/>
      <w:bCs/>
      <w:szCs w:val="26"/>
    </w:rPr>
  </w:style>
  <w:style w:type="paragraph" w:styleId="4">
    <w:name w:val="heading 4"/>
    <w:basedOn w:val="a0"/>
    <w:next w:val="a0"/>
    <w:link w:val="40"/>
    <w:uiPriority w:val="9"/>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pPr>
  </w:style>
  <w:style w:type="paragraph" w:styleId="ab">
    <w:name w:val="Normal (Web)"/>
    <w:basedOn w:val="a0"/>
    <w:uiPriority w:val="99"/>
    <w:rsid w:val="00E30437"/>
    <w:pPr>
      <w:spacing w:before="100" w:beforeAutospacing="1" w:after="100" w:afterAutospacing="1"/>
      <w:jc w:val="left"/>
    </w:pPr>
    <w:rPr>
      <w:rFonts w:eastAsia="Times New Roman"/>
      <w:lang w:eastAsia="ru-RU"/>
    </w:rPr>
  </w:style>
  <w:style w:type="paragraph" w:styleId="31">
    <w:name w:val="toc 3"/>
    <w:basedOn w:val="a0"/>
    <w:next w:val="a0"/>
    <w:autoRedefine/>
    <w:uiPriority w:val="39"/>
    <w:rsid w:val="001546CC"/>
    <w:pPr>
      <w:tabs>
        <w:tab w:val="left" w:pos="1100"/>
        <w:tab w:val="right" w:leader="dot" w:pos="9345"/>
      </w:tabs>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jc w:val="left"/>
    </w:pPr>
    <w:rPr>
      <w:rFonts w:eastAsia="Times New Roman"/>
      <w:sz w:val="20"/>
      <w:szCs w:val="20"/>
      <w:lang w:eastAsia="ru-RU"/>
    </w:rPr>
  </w:style>
  <w:style w:type="character" w:customStyle="1" w:styleId="ae">
    <w:name w:val="Текст сноски Знак"/>
    <w:basedOn w:val="a1"/>
    <w:link w:val="ad"/>
    <w:uiPriority w:val="99"/>
    <w:rsid w:val="00E30437"/>
    <w:rPr>
      <w:rFonts w:ascii="Times New Roman" w:eastAsia="Times New Roman" w:hAnsi="Times New Roman" w:cs="Times New Roman"/>
      <w:sz w:val="20"/>
      <w:szCs w:val="20"/>
      <w:lang w:eastAsia="ru-RU"/>
    </w:rPr>
  </w:style>
  <w:style w:type="character" w:styleId="af">
    <w:name w:val="footnote reference"/>
    <w:uiPriority w:val="99"/>
    <w:qFormat/>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spacing w:before="0" w:after="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3"/>
    <w:qFormat/>
    <w:rsid w:val="006A2AD7"/>
    <w:pPr>
      <w:spacing w:after="240"/>
    </w:pPr>
    <w:rPr>
      <w:rFonts w:ascii="Times New Roman" w:hAnsi="Times New Roman"/>
      <w:color w:val="000000" w:themeColor="text1"/>
      <w:szCs w:val="24"/>
    </w:rPr>
  </w:style>
  <w:style w:type="paragraph" w:customStyle="1" w:styleId="1111">
    <w:name w:val="Отчет заголовок 1.1.1.1."/>
    <w:basedOn w:val="111"/>
    <w:qFormat/>
    <w:rsid w:val="00E2007F"/>
    <w:pPr>
      <w:numPr>
        <w:ilvl w:val="3"/>
      </w:numPr>
      <w:tabs>
        <w:tab w:val="num" w:pos="360"/>
      </w:tabs>
      <w:ind w:firstLine="567"/>
      <w:outlineLvl w:val="3"/>
    </w:pPr>
    <w:rPr>
      <w:b w:val="0"/>
    </w:rPr>
  </w:style>
  <w:style w:type="paragraph" w:customStyle="1" w:styleId="11111">
    <w:name w:val="Отчет заголовок 1.1.1.1.1."/>
    <w:basedOn w:val="1111"/>
    <w:qFormat/>
    <w:rsid w:val="00E2007F"/>
    <w:pPr>
      <w:numPr>
        <w:ilvl w:val="4"/>
      </w:numPr>
      <w:tabs>
        <w:tab w:val="num" w:pos="360"/>
      </w:tabs>
      <w:ind w:firstLine="567"/>
      <w:outlineLvl w:val="4"/>
    </w:pPr>
    <w:rPr>
      <w:u w:val="single"/>
    </w:rPr>
  </w:style>
  <w:style w:type="paragraph" w:customStyle="1" w:styleId="120">
    <w:name w:val="Обычный12"/>
    <w:rsid w:val="00016423"/>
    <w:pPr>
      <w:widowControl w:val="0"/>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rPr>
      <w:rFonts w:eastAsia="Times New Roman"/>
      <w:lang w:eastAsia="ru-RU"/>
    </w:rPr>
    <w:tblPr>
      <w:tblCellMar>
        <w:top w:w="0" w:type="dxa"/>
        <w:left w:w="0" w:type="dxa"/>
        <w:bottom w:w="0" w:type="dxa"/>
        <w:right w:w="0" w:type="dxa"/>
      </w:tblCellMar>
    </w:tblPr>
  </w:style>
  <w:style w:type="table" w:customStyle="1" w:styleId="TableGrid1">
    <w:name w:val="TableGrid1"/>
    <w:rsid w:val="00291A15"/>
    <w:rPr>
      <w:rFonts w:eastAsia="Times New Roman"/>
      <w:lang w:eastAsia="ru-RU"/>
    </w:rPr>
    <w:tblPr>
      <w:tblCellMar>
        <w:top w:w="0" w:type="dxa"/>
        <w:left w:w="0" w:type="dxa"/>
        <w:bottom w:w="0" w:type="dxa"/>
        <w:right w:w="0" w:type="dxa"/>
      </w:tblCellMar>
    </w:tblPr>
  </w:style>
  <w:style w:type="table" w:customStyle="1" w:styleId="TableGrid2">
    <w:name w:val="TableGrid2"/>
    <w:rsid w:val="00291A15"/>
    <w:rPr>
      <w:rFonts w:eastAsia="Times New Roman"/>
      <w:lang w:eastAsia="ru-RU"/>
    </w:rPr>
    <w:tblPr>
      <w:tblCellMar>
        <w:top w:w="0" w:type="dxa"/>
        <w:left w:w="0" w:type="dxa"/>
        <w:bottom w:w="0" w:type="dxa"/>
        <w:right w:w="0" w:type="dxa"/>
      </w:tblCellMar>
    </w:tblPr>
  </w:style>
  <w:style w:type="table" w:customStyle="1" w:styleId="TableGrid3">
    <w:name w:val="TableGrid3"/>
    <w:rsid w:val="00291A15"/>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character" w:customStyle="1" w:styleId="18">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9">
    <w:name w:val="Заголовок1"/>
    <w:basedOn w:val="a0"/>
    <w:link w:val="affd"/>
    <w:qFormat/>
    <w:rsid w:val="009E62E0"/>
    <w:pPr>
      <w:spacing w:before="120" w:line="360" w:lineRule="auto"/>
      <w:jc w:val="center"/>
    </w:pPr>
    <w:rPr>
      <w:rFonts w:eastAsiaTheme="minorHAnsi"/>
      <w:b/>
      <w:caps/>
      <w:color w:val="000000"/>
      <w:lang w:eastAsia="en-US"/>
    </w:rPr>
  </w:style>
  <w:style w:type="character" w:customStyle="1" w:styleId="affd">
    <w:name w:val="Заголовок Знак"/>
    <w:basedOn w:val="a1"/>
    <w:link w:val="19"/>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pPr>
    <w:rPr>
      <w:rFonts w:eastAsia="Times New Roman"/>
      <w:lang w:eastAsia="ru-RU"/>
    </w:rPr>
  </w:style>
  <w:style w:type="paragraph" w:styleId="2a">
    <w:name w:val="List 2"/>
    <w:basedOn w:val="a0"/>
    <w:rsid w:val="009E62E0"/>
    <w:pPr>
      <w:ind w:left="566" w:hanging="283"/>
      <w:jc w:val="left"/>
    </w:pPr>
    <w:rPr>
      <w:rFonts w:ascii="Calibri" w:eastAsia="Calibri" w:hAnsi="Calibri"/>
      <w:lang w:eastAsia="en-US"/>
    </w:rPr>
  </w:style>
  <w:style w:type="paragraph" w:customStyle="1" w:styleId="afff">
    <w:name w:val="Таб. осн."/>
    <w:basedOn w:val="a0"/>
    <w:rsid w:val="009E62E0"/>
    <w:pPr>
      <w:spacing w:before="60" w:after="60"/>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a">
    <w:name w:val="Название1"/>
    <w:basedOn w:val="a0"/>
    <w:rsid w:val="009E62E0"/>
    <w:pPr>
      <w:spacing w:before="100" w:beforeAutospacing="1" w:after="100" w:afterAutospacing="1"/>
      <w:jc w:val="left"/>
    </w:pPr>
    <w:rPr>
      <w:rFonts w:eastAsia="Times New Roman"/>
      <w:lang w:eastAsia="ru-RU"/>
    </w:rPr>
  </w:style>
  <w:style w:type="paragraph" w:customStyle="1" w:styleId="1b">
    <w:name w:val="Таблица1"/>
    <w:basedOn w:val="aff1"/>
    <w:link w:val="1c"/>
    <w:qFormat/>
    <w:rsid w:val="009E62E0"/>
    <w:pPr>
      <w:keepNext/>
      <w:spacing w:after="120"/>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c">
    <w:name w:val="Таблица1 Знак"/>
    <w:basedOn w:val="aff2"/>
    <w:link w:val="1b"/>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rPr>
      <w:rFonts w:eastAsia="Times New Roman"/>
      <w:lang w:eastAsia="ru-RU"/>
    </w:rPr>
    <w:tblPr>
      <w:tblCellMar>
        <w:top w:w="0" w:type="dxa"/>
        <w:left w:w="0" w:type="dxa"/>
        <w:bottom w:w="0" w:type="dxa"/>
        <w:right w:w="0" w:type="dxa"/>
      </w:tblCellMar>
    </w:tblPr>
  </w:style>
  <w:style w:type="table" w:customStyle="1" w:styleId="TableGrid6">
    <w:name w:val="TableGrid6"/>
    <w:rsid w:val="00705C2F"/>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rPr>
      <w:rFonts w:eastAsia="Times New Roman"/>
      <w:lang w:eastAsia="ru-RU"/>
    </w:rPr>
    <w:tblPr>
      <w:tblCellMar>
        <w:top w:w="0" w:type="dxa"/>
        <w:left w:w="0" w:type="dxa"/>
        <w:bottom w:w="0" w:type="dxa"/>
        <w:right w:w="0" w:type="dxa"/>
      </w:tblCellMar>
    </w:tblPr>
  </w:style>
  <w:style w:type="table" w:customStyle="1" w:styleId="TableGrid8">
    <w:name w:val="TableGrid8"/>
    <w:rsid w:val="00444517"/>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pPr>
      <w:tabs>
        <w:tab w:val="left" w:pos="504"/>
      </w:tabs>
      <w:spacing w:after="240"/>
      <w:ind w:left="504" w:hanging="504"/>
    </w:pPr>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d">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jc w:val="left"/>
    </w:pPr>
    <w:rPr>
      <w:rFonts w:eastAsia="Times New Roman"/>
      <w:lang w:eastAsia="ru-RU"/>
    </w:rPr>
  </w:style>
  <w:style w:type="paragraph" w:customStyle="1" w:styleId="tablesubscr">
    <w:name w:val="tablesubscr"/>
    <w:basedOn w:val="a0"/>
    <w:rsid w:val="00184AA4"/>
    <w:pPr>
      <w:spacing w:before="100" w:beforeAutospacing="1" w:after="100" w:afterAutospacing="1"/>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UnresolvedMention2">
    <w:name w:val="Unresolved Mention2"/>
    <w:basedOn w:val="a1"/>
    <w:uiPriority w:val="99"/>
    <w:semiHidden/>
    <w:unhideWhenUsed/>
    <w:rsid w:val="00357799"/>
    <w:rPr>
      <w:color w:val="605E5C"/>
      <w:shd w:val="clear" w:color="auto" w:fill="E1DFDD"/>
    </w:rPr>
  </w:style>
  <w:style w:type="paragraph" w:customStyle="1" w:styleId="afff7">
    <w:name w:val="СФ_Примечание"/>
    <w:basedOn w:val="affb"/>
    <w:uiPriority w:val="11"/>
    <w:qFormat/>
    <w:rsid w:val="00306A4A"/>
    <w:pPr>
      <w:spacing w:line="240" w:lineRule="auto"/>
      <w:jc w:val="left"/>
    </w:pPr>
    <w:rPr>
      <w:sz w:val="20"/>
    </w:rPr>
  </w:style>
  <w:style w:type="paragraph" w:customStyle="1" w:styleId="afff8">
    <w:name w:val="СФ_Таблица"/>
    <w:basedOn w:val="affb"/>
    <w:uiPriority w:val="11"/>
    <w:qFormat/>
    <w:rsid w:val="00F7545F"/>
    <w:pPr>
      <w:spacing w:before="0" w:after="0" w:line="240" w:lineRule="auto"/>
    </w:pPr>
    <w:rPr>
      <w:sz w:val="20"/>
    </w:rPr>
  </w:style>
  <w:style w:type="character" w:customStyle="1" w:styleId="afff9">
    <w:name w:val="СФ_Инструкции"/>
    <w:basedOn w:val="a1"/>
    <w:uiPriority w:val="1"/>
    <w:rsid w:val="00515DB2"/>
    <w:rPr>
      <w:bdr w:val="none" w:sz="0" w:space="0" w:color="auto"/>
      <w:shd w:val="clear" w:color="auto" w:fill="D6E3BC" w:themeFill="accent3" w:themeFillTint="66"/>
    </w:rPr>
  </w:style>
  <w:style w:type="table" w:customStyle="1" w:styleId="TableNormal1">
    <w:name w:val="Table Normal1"/>
    <w:uiPriority w:val="2"/>
    <w:semiHidden/>
    <w:unhideWhenUsed/>
    <w:qFormat/>
    <w:rsid w:val="00200EBA"/>
    <w:pPr>
      <w:widowControl w:val="0"/>
      <w:autoSpaceDE w:val="0"/>
      <w:autoSpaceDN w:val="0"/>
      <w:jc w:val="left"/>
    </w:pPr>
    <w:rPr>
      <w:rFonts w:eastAsiaTheme="minorHAnsi"/>
      <w:lang w:val="en-US"/>
    </w:rPr>
    <w:tblPr>
      <w:tblInd w:w="0" w:type="dxa"/>
      <w:tblCellMar>
        <w:top w:w="0" w:type="dxa"/>
        <w:left w:w="0" w:type="dxa"/>
        <w:bottom w:w="0" w:type="dxa"/>
        <w:right w:w="0" w:type="dxa"/>
      </w:tblCellMar>
    </w:tblPr>
  </w:style>
  <w:style w:type="table" w:customStyle="1" w:styleId="140">
    <w:name w:val="Сетка таблицы14"/>
    <w:basedOn w:val="a2"/>
    <w:next w:val="a8"/>
    <w:uiPriority w:val="59"/>
    <w:rsid w:val="004C2B5D"/>
    <w:pPr>
      <w:jc w:val="left"/>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1292213">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1729">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397707639">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oleObject" Target="embeddings/oleObject2.bin"/><Relationship Id="rId28"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20&#8212;%20&#1082;&#1086;&#1087;&#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20&#8212;%20&#1082;&#1086;&#1087;&#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Lenvatinib\&#1043;&#1051;&#1060;\&#1058;&#1057;&#1050;&#1056;\13803%20&#1055;&#1072;&#1082;&#1089;&#1083;&#1086;&#1074;&#1080;&#1076;%20&#1057;&#1058;&#1050;&#1056;%20&#8212;%20&#1082;&#1086;&#1087;&#1080;&#11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43127424559502"/>
          <c:y val="4.6291307884760026E-2"/>
          <c:w val="0.83534665241414607"/>
          <c:h val="0.75594541910331392"/>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1.2'!$B$3:$B$9</c:f>
              <c:numCache>
                <c:formatCode>General</c:formatCode>
                <c:ptCount val="7"/>
                <c:pt idx="0">
                  <c:v>0</c:v>
                </c:pt>
                <c:pt idx="1">
                  <c:v>10</c:v>
                </c:pt>
                <c:pt idx="2">
                  <c:v>15</c:v>
                </c:pt>
                <c:pt idx="3">
                  <c:v>20</c:v>
                </c:pt>
                <c:pt idx="4">
                  <c:v>30</c:v>
                </c:pt>
                <c:pt idx="5">
                  <c:v>45</c:v>
                </c:pt>
                <c:pt idx="6">
                  <c:v>60</c:v>
                </c:pt>
              </c:numCache>
            </c:numRef>
          </c:xVal>
          <c:yVal>
            <c:numRef>
              <c:f>'Профиль высвобождения 1.2'!$C$3:$C$9</c:f>
              <c:numCache>
                <c:formatCode>General</c:formatCode>
                <c:ptCount val="7"/>
                <c:pt idx="0">
                  <c:v>0</c:v>
                </c:pt>
                <c:pt idx="1">
                  <c:v>78</c:v>
                </c:pt>
                <c:pt idx="2">
                  <c:v>89</c:v>
                </c:pt>
                <c:pt idx="3">
                  <c:v>96</c:v>
                </c:pt>
                <c:pt idx="4">
                  <c:v>98</c:v>
                </c:pt>
                <c:pt idx="5">
                  <c:v>99</c:v>
                </c:pt>
              </c:numCache>
            </c:numRef>
          </c:yVal>
          <c:smooth val="0"/>
          <c:extLst>
            <c:ext xmlns:c16="http://schemas.microsoft.com/office/drawing/2014/chart" uri="{C3380CC4-5D6E-409C-BE32-E72D297353CC}">
              <c16:uniqueId val="{00000000-A37E-684A-973F-E62EAAD5FB77}"/>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9.640102827763496E-3"/>
                  <c:y val="3.46003898635477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C43-4C7F-955D-8C24B0152DE4}"/>
                </c:ext>
              </c:extLst>
            </c:dLbl>
            <c:dLbl>
              <c:idx val="2"/>
              <c:layout>
                <c:manualLayout>
                  <c:x val="-1.8209083119108904E-2"/>
                  <c:y val="4.92202729044834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C43-4C7F-955D-8C24B0152DE4}"/>
                </c:ext>
              </c:extLst>
            </c:dLbl>
            <c:dLbl>
              <c:idx val="3"/>
              <c:layout>
                <c:manualLayout>
                  <c:x val="-3.1062553556126821E-2"/>
                  <c:y val="5.40935672514619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C43-4C7F-955D-8C24B0152DE4}"/>
                </c:ext>
              </c:extLst>
            </c:dLbl>
            <c:dLbl>
              <c:idx val="4"/>
              <c:layout>
                <c:manualLayout>
                  <c:x val="-2.6778063410454155E-2"/>
                  <c:y val="2.97270955165691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C43-4C7F-955D-8C24B0152DE4}"/>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1.2'!$J$3:$J$9</c:f>
              <c:numCache>
                <c:formatCode>General</c:formatCode>
                <c:ptCount val="7"/>
                <c:pt idx="0">
                  <c:v>0</c:v>
                </c:pt>
                <c:pt idx="1">
                  <c:v>10</c:v>
                </c:pt>
                <c:pt idx="2">
                  <c:v>15</c:v>
                </c:pt>
                <c:pt idx="3">
                  <c:v>20</c:v>
                </c:pt>
                <c:pt idx="4">
                  <c:v>30</c:v>
                </c:pt>
                <c:pt idx="5">
                  <c:v>45</c:v>
                </c:pt>
                <c:pt idx="6">
                  <c:v>60</c:v>
                </c:pt>
              </c:numCache>
            </c:numRef>
          </c:xVal>
          <c:yVal>
            <c:numRef>
              <c:f>'Профиль высвобождения 1.2'!$K$3:$K$9</c:f>
              <c:numCache>
                <c:formatCode>General</c:formatCode>
                <c:ptCount val="7"/>
                <c:pt idx="0">
                  <c:v>0</c:v>
                </c:pt>
                <c:pt idx="1">
                  <c:v>65</c:v>
                </c:pt>
                <c:pt idx="2">
                  <c:v>82</c:v>
                </c:pt>
                <c:pt idx="3">
                  <c:v>89</c:v>
                </c:pt>
                <c:pt idx="4">
                  <c:v>95</c:v>
                </c:pt>
                <c:pt idx="5">
                  <c:v>99</c:v>
                </c:pt>
              </c:numCache>
            </c:numRef>
          </c:yVal>
          <c:smooth val="0"/>
          <c:extLst>
            <c:ext xmlns:c16="http://schemas.microsoft.com/office/drawing/2014/chart" uri="{C3380CC4-5D6E-409C-BE32-E72D297353CC}">
              <c16:uniqueId val="{00000001-A37E-684A-973F-E62EAAD5FB77}"/>
            </c:ext>
          </c:extLst>
        </c:ser>
        <c:dLbls>
          <c:dLblPos val="t"/>
          <c:showLegendKey val="0"/>
          <c:showVal val="1"/>
          <c:showCatName val="0"/>
          <c:showSerName val="0"/>
          <c:showPercent val="0"/>
          <c:showBubbleSize val="0"/>
        </c:dLbls>
        <c:axId val="290499976"/>
        <c:axId val="290523976"/>
      </c:scatterChart>
      <c:valAx>
        <c:axId val="290499976"/>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523976"/>
        <c:crosses val="autoZero"/>
        <c:crossBetween val="midCat"/>
        <c:majorUnit val="5"/>
        <c:minorUnit val="1"/>
      </c:valAx>
      <c:valAx>
        <c:axId val="290523976"/>
        <c:scaling>
          <c:orientation val="minMax"/>
          <c:max val="115"/>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499976"/>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58995506345768478"/>
          <c:y val="0.40026553698331568"/>
          <c:w val="0.33540473250612313"/>
          <c:h val="0.1721232214394253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43127424559502"/>
          <c:y val="7.5320044231040384E-2"/>
          <c:w val="0.83534665241414607"/>
          <c:h val="0.69521510682983667"/>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4.5'!$B$3:$B$9</c:f>
              <c:numCache>
                <c:formatCode>General</c:formatCode>
                <c:ptCount val="7"/>
                <c:pt idx="0">
                  <c:v>0</c:v>
                </c:pt>
                <c:pt idx="1">
                  <c:v>10</c:v>
                </c:pt>
                <c:pt idx="2">
                  <c:v>15</c:v>
                </c:pt>
                <c:pt idx="3">
                  <c:v>20</c:v>
                </c:pt>
                <c:pt idx="4">
                  <c:v>30</c:v>
                </c:pt>
                <c:pt idx="5">
                  <c:v>45</c:v>
                </c:pt>
              </c:numCache>
            </c:numRef>
          </c:xVal>
          <c:yVal>
            <c:numRef>
              <c:f>'Профиль высвобождения 4.5'!$C$3:$C$9</c:f>
              <c:numCache>
                <c:formatCode>General</c:formatCode>
                <c:ptCount val="7"/>
                <c:pt idx="0">
                  <c:v>0</c:v>
                </c:pt>
                <c:pt idx="1">
                  <c:v>21</c:v>
                </c:pt>
                <c:pt idx="2">
                  <c:v>35</c:v>
                </c:pt>
                <c:pt idx="3">
                  <c:v>44</c:v>
                </c:pt>
                <c:pt idx="4">
                  <c:v>50</c:v>
                </c:pt>
                <c:pt idx="5">
                  <c:v>59</c:v>
                </c:pt>
              </c:numCache>
            </c:numRef>
          </c:yVal>
          <c:smooth val="0"/>
          <c:extLst>
            <c:ext xmlns:c16="http://schemas.microsoft.com/office/drawing/2014/chart" uri="{C3380CC4-5D6E-409C-BE32-E72D297353CC}">
              <c16:uniqueId val="{00000000-E998-3E4D-A5EE-451B5F924CB3}"/>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1671637919854753E-2"/>
                  <c:y val="2.40339302544769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E2B-4585-BA7A-A814CA874252}"/>
                </c:ext>
              </c:extLst>
            </c:dLbl>
            <c:dLbl>
              <c:idx val="2"/>
              <c:layout>
                <c:manualLayout>
                  <c:x val="-9.0779406043315219E-3"/>
                  <c:y val="4.7596606974552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E2B-4585-BA7A-A814CA874252}"/>
                </c:ext>
              </c:extLst>
            </c:dLbl>
            <c:dLbl>
              <c:idx val="3"/>
              <c:layout>
                <c:manualLayout>
                  <c:x val="-1.685903255090131E-2"/>
                  <c:y val="5.23091423185673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E2B-4585-BA7A-A814CA874252}"/>
                </c:ext>
              </c:extLst>
            </c:dLbl>
            <c:dLbl>
              <c:idx val="4"/>
              <c:layout>
                <c:manualLayout>
                  <c:x val="-2.2046427181947867E-2"/>
                  <c:y val="5.70216776625823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2B-4585-BA7A-A814CA874252}"/>
                </c:ext>
              </c:extLst>
            </c:dLbl>
            <c:dLbl>
              <c:idx val="5"/>
              <c:layout>
                <c:manualLayout>
                  <c:x val="-4.3222229824047248E-2"/>
                  <c:y val="5.230914231856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E2B-4585-BA7A-A814CA874252}"/>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4.5'!$J$3:$J$9</c:f>
              <c:numCache>
                <c:formatCode>General</c:formatCode>
                <c:ptCount val="7"/>
                <c:pt idx="0">
                  <c:v>0</c:v>
                </c:pt>
                <c:pt idx="1">
                  <c:v>10</c:v>
                </c:pt>
                <c:pt idx="2">
                  <c:v>15</c:v>
                </c:pt>
                <c:pt idx="3">
                  <c:v>20</c:v>
                </c:pt>
                <c:pt idx="4">
                  <c:v>30</c:v>
                </c:pt>
                <c:pt idx="5">
                  <c:v>45</c:v>
                </c:pt>
              </c:numCache>
            </c:numRef>
          </c:xVal>
          <c:yVal>
            <c:numRef>
              <c:f>'Профиль высвобождения 4.5'!$K$3:$K$9</c:f>
              <c:numCache>
                <c:formatCode>General</c:formatCode>
                <c:ptCount val="7"/>
                <c:pt idx="0">
                  <c:v>0</c:v>
                </c:pt>
                <c:pt idx="1">
                  <c:v>15</c:v>
                </c:pt>
                <c:pt idx="2">
                  <c:v>26</c:v>
                </c:pt>
                <c:pt idx="3">
                  <c:v>35</c:v>
                </c:pt>
                <c:pt idx="4">
                  <c:v>44</c:v>
                </c:pt>
                <c:pt idx="5">
                  <c:v>55</c:v>
                </c:pt>
              </c:numCache>
            </c:numRef>
          </c:yVal>
          <c:smooth val="0"/>
          <c:extLst>
            <c:ext xmlns:c16="http://schemas.microsoft.com/office/drawing/2014/chart" uri="{C3380CC4-5D6E-409C-BE32-E72D297353CC}">
              <c16:uniqueId val="{00000001-E998-3E4D-A5EE-451B5F924CB3}"/>
            </c:ext>
          </c:extLst>
        </c:ser>
        <c:dLbls>
          <c:dLblPos val="t"/>
          <c:showLegendKey val="0"/>
          <c:showVal val="1"/>
          <c:showCatName val="0"/>
          <c:showSerName val="0"/>
          <c:showPercent val="0"/>
          <c:showBubbleSize val="0"/>
        </c:dLbls>
        <c:axId val="158291936"/>
        <c:axId val="289717048"/>
      </c:scatterChart>
      <c:valAx>
        <c:axId val="158291936"/>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89717048"/>
        <c:crosses val="autoZero"/>
        <c:crossBetween val="midCat"/>
        <c:majorUnit val="5"/>
        <c:minorUnit val="1"/>
      </c:valAx>
      <c:valAx>
        <c:axId val="289717048"/>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8291936"/>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4700757078022497"/>
          <c:y val="0.57073151050293469"/>
          <c:w val="0.28978583616614778"/>
          <c:h val="0.1685146979153524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43127424559502"/>
          <c:y val="6.7085766628581497E-2"/>
          <c:w val="0.83534665241414607"/>
          <c:h val="0.68385720938108541"/>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6.8'!$B$3:$B$9</c:f>
              <c:numCache>
                <c:formatCode>General</c:formatCode>
                <c:ptCount val="7"/>
                <c:pt idx="0">
                  <c:v>0</c:v>
                </c:pt>
                <c:pt idx="1">
                  <c:v>10</c:v>
                </c:pt>
                <c:pt idx="2">
                  <c:v>15</c:v>
                </c:pt>
                <c:pt idx="3">
                  <c:v>20</c:v>
                </c:pt>
                <c:pt idx="4">
                  <c:v>30</c:v>
                </c:pt>
                <c:pt idx="5">
                  <c:v>45</c:v>
                </c:pt>
              </c:numCache>
            </c:numRef>
          </c:xVal>
          <c:yVal>
            <c:numRef>
              <c:f>'Профиль высвобождения 6.8'!$C$3:$C$9</c:f>
              <c:numCache>
                <c:formatCode>General</c:formatCode>
                <c:ptCount val="7"/>
                <c:pt idx="0">
                  <c:v>0</c:v>
                </c:pt>
                <c:pt idx="1">
                  <c:v>5</c:v>
                </c:pt>
                <c:pt idx="2">
                  <c:v>8</c:v>
                </c:pt>
                <c:pt idx="3">
                  <c:v>10</c:v>
                </c:pt>
                <c:pt idx="4">
                  <c:v>12</c:v>
                </c:pt>
                <c:pt idx="5">
                  <c:v>14</c:v>
                </c:pt>
              </c:numCache>
            </c:numRef>
          </c:yVal>
          <c:smooth val="0"/>
          <c:extLst>
            <c:ext xmlns:c16="http://schemas.microsoft.com/office/drawing/2014/chart" uri="{C3380CC4-5D6E-409C-BE32-E72D297353CC}">
              <c16:uniqueId val="{00000000-B3D3-5340-9618-DC7994EF7CDA}"/>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4.9409496264160038E-2"/>
                  <c:y val="-9.3413978494623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1C-4E7F-A8BC-4584342BF9E6}"/>
                </c:ext>
              </c:extLst>
            </c:dLbl>
            <c:dLbl>
              <c:idx val="2"/>
              <c:layout>
                <c:manualLayout>
                  <c:x val="-5.181971559411911E-2"/>
                  <c:y val="-9.3413978494623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1C-4E7F-A8BC-4584342BF9E6}"/>
                </c:ext>
              </c:extLst>
            </c:dLbl>
            <c:dLbl>
              <c:idx val="3"/>
              <c:layout>
                <c:manualLayout>
                  <c:x val="-5.4229934924078092E-2"/>
                  <c:y val="-0.100134408602150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1C-4E7F-A8BC-4584342BF9E6}"/>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6.8'!$J$3:$J$9</c:f>
              <c:numCache>
                <c:formatCode>General</c:formatCode>
                <c:ptCount val="7"/>
                <c:pt idx="0">
                  <c:v>0</c:v>
                </c:pt>
                <c:pt idx="1">
                  <c:v>10</c:v>
                </c:pt>
                <c:pt idx="2">
                  <c:v>15</c:v>
                </c:pt>
                <c:pt idx="3">
                  <c:v>20</c:v>
                </c:pt>
                <c:pt idx="4">
                  <c:v>30</c:v>
                </c:pt>
                <c:pt idx="5">
                  <c:v>45</c:v>
                </c:pt>
              </c:numCache>
            </c:numRef>
          </c:xVal>
          <c:yVal>
            <c:numRef>
              <c:f>'Профиль высвобождения 6.8'!$K$3:$K$9</c:f>
              <c:numCache>
                <c:formatCode>General</c:formatCode>
                <c:ptCount val="7"/>
                <c:pt idx="0">
                  <c:v>0</c:v>
                </c:pt>
                <c:pt idx="1">
                  <c:v>3</c:v>
                </c:pt>
                <c:pt idx="2">
                  <c:v>7</c:v>
                </c:pt>
                <c:pt idx="3">
                  <c:v>9</c:v>
                </c:pt>
                <c:pt idx="4">
                  <c:v>12</c:v>
                </c:pt>
                <c:pt idx="5">
                  <c:v>14</c:v>
                </c:pt>
              </c:numCache>
            </c:numRef>
          </c:yVal>
          <c:smooth val="0"/>
          <c:extLst>
            <c:ext xmlns:c16="http://schemas.microsoft.com/office/drawing/2014/chart" uri="{C3380CC4-5D6E-409C-BE32-E72D297353CC}">
              <c16:uniqueId val="{00000001-B3D3-5340-9618-DC7994EF7CDA}"/>
            </c:ext>
          </c:extLst>
        </c:ser>
        <c:dLbls>
          <c:dLblPos val="t"/>
          <c:showLegendKey val="0"/>
          <c:showVal val="1"/>
          <c:showCatName val="0"/>
          <c:showSerName val="0"/>
          <c:showPercent val="0"/>
          <c:showBubbleSize val="0"/>
        </c:dLbls>
        <c:axId val="290178848"/>
        <c:axId val="290805104"/>
      </c:scatterChart>
      <c:valAx>
        <c:axId val="290178848"/>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514762936123981"/>
              <c:y val="0.8598023029379392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805104"/>
        <c:crosses val="autoZero"/>
        <c:crossBetween val="midCat"/>
        <c:majorUnit val="5"/>
        <c:minorUnit val="1"/>
      </c:valAx>
      <c:valAx>
        <c:axId val="29080510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layout>
            <c:manualLayout>
              <c:xMode val="edge"/>
              <c:yMode val="edge"/>
              <c:x val="2.3012470512769421E-2"/>
              <c:y val="7.8490457788201878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178848"/>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0019547448109112"/>
          <c:y val="0.11171048175429685"/>
          <c:w val="0.29494233502807815"/>
          <c:h val="0.2953766615866564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43127424559502"/>
          <c:y val="6.4450035031928074E-2"/>
          <c:w val="0.83534665241414607"/>
          <c:h val="0.72427924855849712"/>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6.1833688699360338E-2"/>
                  <c:y val="-6.77330687994709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162-4AEF-BE61-F10B48935D22}"/>
                </c:ext>
              </c:extLst>
            </c:dLbl>
            <c:dLbl>
              <c:idx val="5"/>
              <c:layout>
                <c:manualLayout>
                  <c:x val="-4.4288232627638119E-2"/>
                  <c:y val="-6.77330687994709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162-4AEF-BE61-F10B48935D22}"/>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1.2'!$B$3:$B$9</c:f>
              <c:numCache>
                <c:formatCode>General</c:formatCode>
                <c:ptCount val="7"/>
                <c:pt idx="0">
                  <c:v>0</c:v>
                </c:pt>
                <c:pt idx="1">
                  <c:v>10</c:v>
                </c:pt>
                <c:pt idx="2">
                  <c:v>15</c:v>
                </c:pt>
                <c:pt idx="3">
                  <c:v>20</c:v>
                </c:pt>
                <c:pt idx="4">
                  <c:v>30</c:v>
                </c:pt>
                <c:pt idx="5">
                  <c:v>45</c:v>
                </c:pt>
                <c:pt idx="6">
                  <c:v>60</c:v>
                </c:pt>
              </c:numCache>
            </c:numRef>
          </c:xVal>
          <c:yVal>
            <c:numRef>
              <c:f>'Профиль высвобождения 1.2'!$C$3:$C$9</c:f>
              <c:numCache>
                <c:formatCode>General</c:formatCode>
                <c:ptCount val="7"/>
                <c:pt idx="0">
                  <c:v>0</c:v>
                </c:pt>
                <c:pt idx="1">
                  <c:v>75</c:v>
                </c:pt>
                <c:pt idx="2">
                  <c:v>85</c:v>
                </c:pt>
                <c:pt idx="3">
                  <c:v>91</c:v>
                </c:pt>
                <c:pt idx="4">
                  <c:v>96</c:v>
                </c:pt>
                <c:pt idx="5">
                  <c:v>98</c:v>
                </c:pt>
              </c:numCache>
            </c:numRef>
          </c:yVal>
          <c:smooth val="0"/>
          <c:extLst>
            <c:ext xmlns:c16="http://schemas.microsoft.com/office/drawing/2014/chart" uri="{C3380CC4-5D6E-409C-BE32-E72D297353CC}">
              <c16:uniqueId val="{00000000-7F5D-A044-AE2E-F723AB2842C0}"/>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60980810234541E-2"/>
                  <c:y val="5.03771674210015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162-4AEF-BE61-F10B48935D22}"/>
                </c:ext>
              </c:extLst>
            </c:dLbl>
            <c:dLbl>
              <c:idx val="2"/>
              <c:layout>
                <c:manualLayout>
                  <c:x val="-1.279317697228145E-2"/>
                  <c:y val="5.69388472110277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162-4AEF-BE61-F10B48935D22}"/>
                </c:ext>
              </c:extLst>
            </c:dLbl>
            <c:dLbl>
              <c:idx val="3"/>
              <c:layout>
                <c:manualLayout>
                  <c:x val="-1.9189765458422176E-2"/>
                  <c:y val="7.66238865811064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162-4AEF-BE61-F10B48935D22}"/>
                </c:ext>
              </c:extLst>
            </c:dLbl>
            <c:dLbl>
              <c:idx val="4"/>
              <c:layout>
                <c:manualLayout>
                  <c:x val="-2.9850746268656716E-2"/>
                  <c:y val="5.69388472110277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162-4AEF-BE61-F10B48935D22}"/>
                </c:ext>
              </c:extLst>
            </c:dLbl>
            <c:dLbl>
              <c:idx val="5"/>
              <c:layout>
                <c:manualLayout>
                  <c:x val="-4.0023840303544306E-2"/>
                  <c:y val="3.72538078409490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162-4AEF-BE61-F10B48935D22}"/>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1.2'!$J$3:$J$9</c:f>
              <c:numCache>
                <c:formatCode>General</c:formatCode>
                <c:ptCount val="7"/>
                <c:pt idx="0">
                  <c:v>0</c:v>
                </c:pt>
                <c:pt idx="1">
                  <c:v>10</c:v>
                </c:pt>
                <c:pt idx="2">
                  <c:v>15</c:v>
                </c:pt>
                <c:pt idx="3">
                  <c:v>20</c:v>
                </c:pt>
                <c:pt idx="4">
                  <c:v>30</c:v>
                </c:pt>
                <c:pt idx="5">
                  <c:v>45</c:v>
                </c:pt>
                <c:pt idx="6">
                  <c:v>60</c:v>
                </c:pt>
              </c:numCache>
            </c:numRef>
          </c:xVal>
          <c:yVal>
            <c:numRef>
              <c:f>'Профиль высвобождения 1.2'!$K$3:$K$9</c:f>
              <c:numCache>
                <c:formatCode>General</c:formatCode>
                <c:ptCount val="7"/>
                <c:pt idx="0">
                  <c:v>0</c:v>
                </c:pt>
                <c:pt idx="1">
                  <c:v>62</c:v>
                </c:pt>
                <c:pt idx="2">
                  <c:v>77</c:v>
                </c:pt>
                <c:pt idx="3">
                  <c:v>88</c:v>
                </c:pt>
                <c:pt idx="4">
                  <c:v>91</c:v>
                </c:pt>
                <c:pt idx="5">
                  <c:v>94</c:v>
                </c:pt>
              </c:numCache>
            </c:numRef>
          </c:yVal>
          <c:smooth val="0"/>
          <c:extLst>
            <c:ext xmlns:c16="http://schemas.microsoft.com/office/drawing/2014/chart" uri="{C3380CC4-5D6E-409C-BE32-E72D297353CC}">
              <c16:uniqueId val="{00000001-7F5D-A044-AE2E-F723AB2842C0}"/>
            </c:ext>
          </c:extLst>
        </c:ser>
        <c:dLbls>
          <c:dLblPos val="t"/>
          <c:showLegendKey val="0"/>
          <c:showVal val="1"/>
          <c:showCatName val="0"/>
          <c:showSerName val="0"/>
          <c:showPercent val="0"/>
          <c:showBubbleSize val="0"/>
        </c:dLbls>
        <c:axId val="290499976"/>
        <c:axId val="290523976"/>
      </c:scatterChart>
      <c:valAx>
        <c:axId val="290499976"/>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523976"/>
        <c:crosses val="autoZero"/>
        <c:crossBetween val="midCat"/>
        <c:majorUnit val="5"/>
        <c:minorUnit val="1"/>
      </c:valAx>
      <c:valAx>
        <c:axId val="290523976"/>
        <c:scaling>
          <c:orientation val="minMax"/>
          <c:max val="115"/>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499976"/>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73288904185484283"/>
          <c:y val="0.38150846301692609"/>
          <c:w val="0.22233483874217216"/>
          <c:h val="0.2369830739661479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1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34073925471"/>
          <c:y val="8.1781017781984419E-2"/>
          <c:w val="0.83534665241414607"/>
          <c:h val="0.62923961180990418"/>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3.6371416345742404E-2"/>
                  <c:y val="-0.1319297853725731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E5-4613-8776-4961CD673D9C}"/>
                </c:ext>
              </c:extLst>
            </c:dLbl>
            <c:dLbl>
              <c:idx val="5"/>
              <c:layout>
                <c:manualLayout>
                  <c:x val="-4.0029279074390411E-2"/>
                  <c:y val="-7.87382960108709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9E5-4613-8776-4961CD673D9C}"/>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4.5'!$B$3:$B$9</c:f>
              <c:numCache>
                <c:formatCode>General</c:formatCode>
                <c:ptCount val="7"/>
                <c:pt idx="0">
                  <c:v>0</c:v>
                </c:pt>
                <c:pt idx="1">
                  <c:v>10</c:v>
                </c:pt>
                <c:pt idx="2">
                  <c:v>15</c:v>
                </c:pt>
                <c:pt idx="3">
                  <c:v>20</c:v>
                </c:pt>
                <c:pt idx="4">
                  <c:v>30</c:v>
                </c:pt>
                <c:pt idx="5">
                  <c:v>45</c:v>
                </c:pt>
              </c:numCache>
            </c:numRef>
          </c:xVal>
          <c:yVal>
            <c:numRef>
              <c:f>'Профиль высвобождения 4.5'!$C$3:$C$9</c:f>
              <c:numCache>
                <c:formatCode>General</c:formatCode>
                <c:ptCount val="7"/>
                <c:pt idx="0">
                  <c:v>0</c:v>
                </c:pt>
                <c:pt idx="1">
                  <c:v>16</c:v>
                </c:pt>
                <c:pt idx="2">
                  <c:v>25</c:v>
                </c:pt>
                <c:pt idx="3">
                  <c:v>31</c:v>
                </c:pt>
                <c:pt idx="4">
                  <c:v>36</c:v>
                </c:pt>
                <c:pt idx="5">
                  <c:v>42</c:v>
                </c:pt>
              </c:numCache>
            </c:numRef>
          </c:yVal>
          <c:smooth val="0"/>
          <c:extLst>
            <c:ext xmlns:c16="http://schemas.microsoft.com/office/drawing/2014/chart" uri="{C3380CC4-5D6E-409C-BE32-E72D297353CC}">
              <c16:uniqueId val="{00000000-BA6B-654D-AF3A-BBD45DAF16D3}"/>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2.1394950791612786E-3"/>
                  <c:y val="9.914186258632455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E5-4613-8776-4961CD673D9C}"/>
                </c:ext>
              </c:extLst>
            </c:dLbl>
            <c:dLbl>
              <c:idx val="2"/>
              <c:layout>
                <c:manualLayout>
                  <c:x val="-1.069747539580659E-2"/>
                  <c:y val="4.53751791664339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9E5-4613-8776-4961CD673D9C}"/>
                </c:ext>
              </c:extLst>
            </c:dLbl>
            <c:dLbl>
              <c:idx val="3"/>
              <c:layout>
                <c:manualLayout>
                  <c:x val="-1.2836970474967908E-2"/>
                  <c:y val="6.69015057328360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9E5-4613-8776-4961CD673D9C}"/>
                </c:ext>
              </c:extLst>
            </c:dLbl>
            <c:dLbl>
              <c:idx val="4"/>
              <c:layout>
                <c:manualLayout>
                  <c:x val="-1.4976465554129305E-2"/>
                  <c:y val="4.8330261908750768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3.6371416345742404E-2"/>
                      <c:h val="9.8374937175406268E-2"/>
                    </c:manualLayout>
                  </c15:layout>
                </c:ext>
                <c:ext xmlns:c16="http://schemas.microsoft.com/office/drawing/2014/chart" uri="{C3380CC4-5D6E-409C-BE32-E72D297353CC}">
                  <c16:uniqueId val="{00000002-89E5-4613-8776-4961CD673D9C}"/>
                </c:ext>
              </c:extLst>
            </c:dLbl>
            <c:dLbl>
              <c:idx val="5"/>
              <c:layout>
                <c:manualLayout>
                  <c:x val="-4.4308269232713048E-2"/>
                  <c:y val="6.90158411049681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9E5-4613-8776-4961CD673D9C}"/>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4.5'!$J$3:$J$9</c:f>
              <c:numCache>
                <c:formatCode>General</c:formatCode>
                <c:ptCount val="7"/>
                <c:pt idx="0">
                  <c:v>0</c:v>
                </c:pt>
                <c:pt idx="1">
                  <c:v>10</c:v>
                </c:pt>
                <c:pt idx="2">
                  <c:v>15</c:v>
                </c:pt>
                <c:pt idx="3">
                  <c:v>20</c:v>
                </c:pt>
                <c:pt idx="4">
                  <c:v>30</c:v>
                </c:pt>
                <c:pt idx="5">
                  <c:v>45</c:v>
                </c:pt>
              </c:numCache>
            </c:numRef>
          </c:xVal>
          <c:yVal>
            <c:numRef>
              <c:f>'Профиль высвобождения 4.5'!$K$3:$K$9</c:f>
              <c:numCache>
                <c:formatCode>General</c:formatCode>
                <c:ptCount val="7"/>
                <c:pt idx="0">
                  <c:v>0</c:v>
                </c:pt>
                <c:pt idx="1">
                  <c:v>10</c:v>
                </c:pt>
                <c:pt idx="2">
                  <c:v>20</c:v>
                </c:pt>
                <c:pt idx="3">
                  <c:v>26</c:v>
                </c:pt>
                <c:pt idx="4">
                  <c:v>34</c:v>
                </c:pt>
                <c:pt idx="5">
                  <c:v>39</c:v>
                </c:pt>
              </c:numCache>
            </c:numRef>
          </c:yVal>
          <c:smooth val="0"/>
          <c:extLst>
            <c:ext xmlns:c16="http://schemas.microsoft.com/office/drawing/2014/chart" uri="{C3380CC4-5D6E-409C-BE32-E72D297353CC}">
              <c16:uniqueId val="{00000001-BA6B-654D-AF3A-BBD45DAF16D3}"/>
            </c:ext>
          </c:extLst>
        </c:ser>
        <c:dLbls>
          <c:dLblPos val="t"/>
          <c:showLegendKey val="0"/>
          <c:showVal val="1"/>
          <c:showCatName val="0"/>
          <c:showSerName val="0"/>
          <c:showPercent val="0"/>
          <c:showBubbleSize val="0"/>
        </c:dLbls>
        <c:axId val="158291936"/>
        <c:axId val="289717048"/>
      </c:scatterChart>
      <c:valAx>
        <c:axId val="158291936"/>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89717048"/>
        <c:crosses val="autoZero"/>
        <c:crossBetween val="midCat"/>
        <c:majorUnit val="5"/>
        <c:minorUnit val="1"/>
      </c:valAx>
      <c:valAx>
        <c:axId val="289717048"/>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8291936"/>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7470611423892946"/>
          <c:y val="0.12906330787598919"/>
          <c:w val="0.24610738472505753"/>
          <c:h val="0.1848750814042981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1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43127424559502"/>
          <c:y val="7.639015462050297E-2"/>
          <c:w val="0.83534665241414607"/>
          <c:h val="0.6714419857000633"/>
        </c:manualLayout>
      </c:layout>
      <c:scatterChart>
        <c:scatterStyle val="lineMarker"/>
        <c:varyColors val="0"/>
        <c:ser>
          <c:idx val="0"/>
          <c:order val="0"/>
          <c:tx>
            <c:v>Ленвима</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1.5511339323919555E-2"/>
                  <c:y val="-0.121991925897155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47-4AF8-A523-42FDAF3F1F73}"/>
                </c:ext>
              </c:extLst>
            </c:dLbl>
            <c:dLbl>
              <c:idx val="3"/>
              <c:layout>
                <c:manualLayout>
                  <c:x val="-3.4231921266581089E-2"/>
                  <c:y val="-0.1444134505608323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47-4AF8-A523-42FDAF3F1F73}"/>
                </c:ext>
              </c:extLst>
            </c:dLbl>
            <c:dLbl>
              <c:idx val="4"/>
              <c:layout>
                <c:manualLayout>
                  <c:x val="-2.3534445870774575E-2"/>
                  <c:y val="-0.1070442427880372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B47-4AF8-A523-42FDAF3F1F73}"/>
                </c:ext>
              </c:extLst>
            </c:dLbl>
            <c:dLbl>
              <c:idx val="5"/>
              <c:layout>
                <c:manualLayout>
                  <c:x val="-3.7873274505641867E-2"/>
                  <c:y val="-0.1459951126798805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B47-4AF8-A523-42FDAF3F1F73}"/>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6.8'!$B$3:$B$9</c:f>
              <c:numCache>
                <c:formatCode>General</c:formatCode>
                <c:ptCount val="7"/>
                <c:pt idx="0">
                  <c:v>0</c:v>
                </c:pt>
                <c:pt idx="1">
                  <c:v>10</c:v>
                </c:pt>
                <c:pt idx="2">
                  <c:v>15</c:v>
                </c:pt>
                <c:pt idx="3">
                  <c:v>20</c:v>
                </c:pt>
                <c:pt idx="4">
                  <c:v>30</c:v>
                </c:pt>
                <c:pt idx="5">
                  <c:v>45</c:v>
                </c:pt>
              </c:numCache>
            </c:numRef>
          </c:xVal>
          <c:yVal>
            <c:numRef>
              <c:f>'Профиль высвобождения 6.8'!$C$3:$C$9</c:f>
              <c:numCache>
                <c:formatCode>General</c:formatCode>
                <c:ptCount val="7"/>
                <c:pt idx="0">
                  <c:v>0</c:v>
                </c:pt>
                <c:pt idx="1">
                  <c:v>5</c:v>
                </c:pt>
                <c:pt idx="2">
                  <c:v>7</c:v>
                </c:pt>
                <c:pt idx="3">
                  <c:v>10</c:v>
                </c:pt>
                <c:pt idx="4">
                  <c:v>12</c:v>
                </c:pt>
                <c:pt idx="5">
                  <c:v>15</c:v>
                </c:pt>
              </c:numCache>
            </c:numRef>
          </c:yVal>
          <c:smooth val="0"/>
          <c:extLst>
            <c:ext xmlns:c16="http://schemas.microsoft.com/office/drawing/2014/chart" uri="{C3380CC4-5D6E-409C-BE32-E72D297353CC}">
              <c16:uniqueId val="{00000000-B238-8B44-AF4E-51990C8B470F}"/>
            </c:ext>
          </c:extLst>
        </c:ser>
        <c:ser>
          <c:idx val="1"/>
          <c:order val="1"/>
          <c:tx>
            <c:v>ЛЕНВАТИНИБ</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5.6161745827984597E-2"/>
                  <c:y val="-7.71488765698009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47-4AF8-A523-42FDAF3F1F73}"/>
                </c:ext>
              </c:extLst>
            </c:dLbl>
            <c:dLbl>
              <c:idx val="2"/>
              <c:layout>
                <c:manualLayout>
                  <c:x val="-4.7603765511339324E-2"/>
                  <c:y val="-6.96750350152419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47-4AF8-A523-42FDAF3F1F73}"/>
                </c:ext>
              </c:extLst>
            </c:dLbl>
            <c:dLbl>
              <c:idx val="3"/>
              <c:layout>
                <c:manualLayout>
                  <c:x val="-4.8138639281130437E-3"/>
                  <c:y val="-0.1444134505608323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47-4AF8-A523-42FDAF3F1F73}"/>
                </c:ext>
              </c:extLst>
            </c:dLbl>
            <c:dLbl>
              <c:idx val="4"/>
              <c:layout>
                <c:manualLayout>
                  <c:x val="-6.8463842533162095E-2"/>
                  <c:y val="-0.1294657674517142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B47-4AF8-A523-42FDAF3F1F73}"/>
                </c:ext>
              </c:extLst>
            </c:dLbl>
            <c:dLbl>
              <c:idx val="5"/>
              <c:layout>
                <c:manualLayout>
                  <c:x val="-6.3547215455577843E-2"/>
                  <c:y val="-9.5707756358041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B47-4AF8-A523-42FDAF3F1F73}"/>
                </c:ext>
              </c:extLst>
            </c:dLbl>
            <c:spPr>
              <a:noFill/>
              <a:ln>
                <a:noFill/>
              </a:ln>
              <a:effectLst/>
            </c:spPr>
            <c:txPr>
              <a:bodyPr rot="0" spcFirstLastPara="1" vertOverflow="ellipsis" vert="horz" wrap="square" anchor="ctr" anchorCtr="1"/>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'Профиль высвобождения 6.8'!$J$3:$J$9</c:f>
              <c:numCache>
                <c:formatCode>General</c:formatCode>
                <c:ptCount val="7"/>
                <c:pt idx="0">
                  <c:v>0</c:v>
                </c:pt>
                <c:pt idx="1">
                  <c:v>10</c:v>
                </c:pt>
                <c:pt idx="2">
                  <c:v>15</c:v>
                </c:pt>
                <c:pt idx="3">
                  <c:v>20</c:v>
                </c:pt>
                <c:pt idx="4">
                  <c:v>30</c:v>
                </c:pt>
                <c:pt idx="5">
                  <c:v>45</c:v>
                </c:pt>
              </c:numCache>
            </c:numRef>
          </c:xVal>
          <c:yVal>
            <c:numRef>
              <c:f>'Профиль высвобождения 6.8'!$K$3:$K$9</c:f>
              <c:numCache>
                <c:formatCode>General</c:formatCode>
                <c:ptCount val="7"/>
                <c:pt idx="0">
                  <c:v>0</c:v>
                </c:pt>
                <c:pt idx="1">
                  <c:v>2</c:v>
                </c:pt>
                <c:pt idx="2">
                  <c:v>6</c:v>
                </c:pt>
                <c:pt idx="3">
                  <c:v>8</c:v>
                </c:pt>
                <c:pt idx="4">
                  <c:v>11</c:v>
                </c:pt>
                <c:pt idx="5">
                  <c:v>14</c:v>
                </c:pt>
              </c:numCache>
            </c:numRef>
          </c:yVal>
          <c:smooth val="0"/>
          <c:extLst>
            <c:ext xmlns:c16="http://schemas.microsoft.com/office/drawing/2014/chart" uri="{C3380CC4-5D6E-409C-BE32-E72D297353CC}">
              <c16:uniqueId val="{00000001-B238-8B44-AF4E-51990C8B470F}"/>
            </c:ext>
          </c:extLst>
        </c:ser>
        <c:dLbls>
          <c:dLblPos val="t"/>
          <c:showLegendKey val="0"/>
          <c:showVal val="1"/>
          <c:showCatName val="0"/>
          <c:showSerName val="0"/>
          <c:showPercent val="0"/>
          <c:showBubbleSize val="0"/>
        </c:dLbls>
        <c:axId val="290178848"/>
        <c:axId val="290805104"/>
      </c:scatterChart>
      <c:valAx>
        <c:axId val="290178848"/>
        <c:scaling>
          <c:orientation val="minMax"/>
          <c:max val="4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805104"/>
        <c:crosses val="autoZero"/>
        <c:crossBetween val="midCat"/>
        <c:majorUnit val="5"/>
        <c:minorUnit val="1"/>
      </c:valAx>
      <c:valAx>
        <c:axId val="29080510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Высвобождение, %</a:t>
                </a:r>
              </a:p>
            </c:rich>
          </c:tx>
          <c:layout>
            <c:manualLayout>
              <c:xMode val="edge"/>
              <c:yMode val="edge"/>
              <c:x val="2.4888055552747819E-2"/>
              <c:y val="7.3164992306996093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0178848"/>
        <c:crosses val="autoZero"/>
        <c:crossBetween val="midCat"/>
        <c:majorUnit val="20"/>
        <c:minorUnit val="5"/>
      </c:valAx>
      <c:spPr>
        <a:noFill/>
        <a:ln>
          <a:solidFill>
            <a:schemeClr val="tx1">
              <a:lumMod val="25000"/>
              <a:lumOff val="75000"/>
            </a:schemeClr>
          </a:solidFill>
        </a:ln>
        <a:effectLst/>
      </c:spPr>
    </c:plotArea>
    <c:legend>
      <c:legendPos val="r"/>
      <c:layout>
        <c:manualLayout>
          <c:xMode val="edge"/>
          <c:yMode val="edge"/>
          <c:x val="0.67179421089693703"/>
          <c:y val="0.15467180287808852"/>
          <c:w val="0.26332080649009781"/>
          <c:h val="0.17489695144039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rgbClr val="0070C0"/>
      </a:solidFill>
      <a:round/>
    </a:ln>
    <a:effectLst/>
  </c:spPr>
  <c:txPr>
    <a:bodyPr/>
    <a:lstStyle/>
    <a:p>
      <a:pPr>
        <a:defRPr sz="11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96723F19-4FBE-4470-BE25-6CA24FE1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88805</Words>
  <Characters>506195</Characters>
  <Application>Microsoft Office Word</Application>
  <DocSecurity>0</DocSecurity>
  <Lines>4218</Lines>
  <Paragraphs>1187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2022-11-29T05:22:00Z</dcterms:created>
  <dcterms:modified xsi:type="dcterms:W3CDTF">2023-01-31T09:14:00Z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id="HTUrDqca"/&gt;&lt;style id="http://www.zotero.org/styles/vancouver-brackets" locale="ru-RU" hasBibliography="1" bibliographyStyleHasBeenSet="1"/&gt;&lt;prefs&gt;&lt;pref name="fieldType" value="Field"/&gt;&lt;/prefs&gt;&lt;/d</vt:lpwstr>
  </property>
  <property fmtid="{D5CDD505-2E9C-101B-9397-08002B2CF9AE}" pid="3" name="ZOTERO_PREF_2">
    <vt:lpwstr>ata&gt;</vt:lpwstr>
  </property>
</Properties>
</file>